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4490790D"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5-01-</w:t>
      </w:r>
      <w:r w:rsidR="004E4E9A">
        <w:rPr>
          <w:rFonts w:ascii="Times New Roman" w:hAnsi="Times New Roman"/>
          <w:color w:val="000000" w:themeColor="text1"/>
          <w:sz w:val="24"/>
          <w:szCs w:val="24"/>
        </w:rPr>
        <w:t>21</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CD209A">
        <w:rPr>
          <w:rFonts w:ascii="Times New Roman" w:hAnsi="Times New Roman"/>
          <w:color w:val="000000" w:themeColor="text1"/>
          <w:sz w:val="24"/>
          <w:szCs w:val="24"/>
        </w:rPr>
        <w:t>6</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5C4168B4" w14:textId="77777777" w:rsidR="004E4E9A" w:rsidRDefault="004E4E9A" w:rsidP="004E4E9A">
      <w:pPr>
        <w:spacing w:after="0" w:line="240" w:lineRule="auto"/>
        <w:ind w:left="1296"/>
        <w:jc w:val="center"/>
        <w:outlineLvl w:val="0"/>
        <w:rPr>
          <w:rFonts w:ascii="Times New Roman" w:eastAsia="Times New Roman" w:hAnsi="Times New Roman"/>
          <w:b/>
          <w:color w:val="000000"/>
          <w:sz w:val="24"/>
          <w:szCs w:val="24"/>
        </w:rPr>
      </w:pPr>
      <w:bookmarkStart w:id="0" w:name="_heading=h.gjdgxs"/>
      <w:bookmarkEnd w:id="0"/>
      <w:r>
        <w:rPr>
          <w:rFonts w:ascii="Times New Roman" w:eastAsia="Times New Roman" w:hAnsi="Times New Roman"/>
          <w:b/>
          <w:color w:val="000000"/>
          <w:sz w:val="24"/>
          <w:szCs w:val="24"/>
        </w:rPr>
        <w:t xml:space="preserve">KULTŪRINIO UGDYMO INTEGRAVIMO Į MOKOMUOSIUS </w:t>
      </w:r>
    </w:p>
    <w:p w14:paraId="3AFDDF14" w14:textId="0D485755" w:rsidR="00F317BC" w:rsidRPr="004E4E9A" w:rsidRDefault="004E4E9A" w:rsidP="004E4E9A">
      <w:pPr>
        <w:spacing w:after="0" w:line="240" w:lineRule="auto"/>
        <w:ind w:left="1296"/>
        <w:jc w:val="center"/>
        <w:outlineLvl w:val="0"/>
        <w:rPr>
          <w:rFonts w:ascii="Times New Roman" w:hAnsi="Times New Roman"/>
          <w:b/>
          <w:color w:val="000000"/>
          <w:szCs w:val="24"/>
        </w:rPr>
      </w:pPr>
      <w:r>
        <w:rPr>
          <w:rFonts w:ascii="Times New Roman" w:eastAsia="Times New Roman" w:hAnsi="Times New Roman"/>
          <w:b/>
          <w:color w:val="000000"/>
          <w:sz w:val="24"/>
          <w:szCs w:val="24"/>
        </w:rPr>
        <w:t xml:space="preserve">DALYKUS MOKYMŲ PEDAGOGAMS </w:t>
      </w:r>
    </w:p>
    <w:p w14:paraId="1FB8CFB3" w14:textId="4881EA14"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1" w:name="_Toc47844928"/>
      <w:bookmarkStart w:id="2" w:name="_Toc60525482"/>
      <w:r w:rsidRPr="00B30E9F">
        <w:rPr>
          <w:b/>
          <w:color w:val="000000"/>
          <w:szCs w:val="24"/>
        </w:rPr>
        <w:t>BENDROSIOS NUOSTATOS</w:t>
      </w:r>
      <w:bookmarkEnd w:id="1"/>
      <w:bookmarkEnd w:id="2"/>
    </w:p>
    <w:p w14:paraId="66E4F60F" w14:textId="77777777" w:rsidR="00E92498" w:rsidRPr="00E92498" w:rsidRDefault="00E92498" w:rsidP="00E92498">
      <w:pPr>
        <w:pStyle w:val="Sraopastraipa"/>
        <w:rPr>
          <w:b/>
          <w:color w:val="000000"/>
          <w:szCs w:val="24"/>
        </w:rPr>
      </w:pPr>
    </w:p>
    <w:p w14:paraId="6464535E" w14:textId="3B753E77" w:rsidR="00B30E9F" w:rsidRPr="00F317BC" w:rsidRDefault="00F317BC" w:rsidP="00BF108F">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3" w:name="_Hlk166571284"/>
      <w:r w:rsidR="00B30E9F" w:rsidRPr="00F317BC">
        <w:rPr>
          <w:rFonts w:ascii="Times New Roman" w:hAnsi="Times New Roman"/>
          <w:color w:val="000000" w:themeColor="text1"/>
          <w:sz w:val="24"/>
          <w:szCs w:val="24"/>
          <w:lang w:eastAsia="lt-LT"/>
        </w:rPr>
        <w:t xml:space="preserve">– </w:t>
      </w:r>
      <w:bookmarkStart w:id="4" w:name="_Hlk132786181"/>
      <w:r w:rsidR="00B30E9F" w:rsidRPr="00F317BC">
        <w:rPr>
          <w:rFonts w:ascii="Times New Roman" w:hAnsi="Times New Roman"/>
          <w:sz w:val="24"/>
          <w:szCs w:val="24"/>
        </w:rPr>
        <w:t xml:space="preserve"> </w:t>
      </w:r>
      <w:bookmarkStart w:id="5" w:name="_Hlk177977375"/>
      <w:r w:rsidRPr="00F317BC">
        <w:rPr>
          <w:rFonts w:ascii="Times New Roman" w:hAnsi="Times New Roman"/>
          <w:bCs/>
          <w:color w:val="000000"/>
          <w:sz w:val="24"/>
          <w:szCs w:val="24"/>
        </w:rPr>
        <w:t>Švenčionių r. Švenčionėlių karaliaus Mindaugo gimnazija</w:t>
      </w:r>
      <w:r>
        <w:rPr>
          <w:rFonts w:ascii="Times New Roman" w:hAnsi="Times New Roman"/>
          <w:bCs/>
          <w:color w:val="000000"/>
          <w:sz w:val="24"/>
          <w:szCs w:val="24"/>
        </w:rPr>
        <w:t>,</w:t>
      </w:r>
      <w:r w:rsidRPr="00F317BC">
        <w:rPr>
          <w:rFonts w:ascii="Times New Roman" w:hAnsi="Times New Roman"/>
          <w:bCs/>
          <w:color w:val="000000"/>
          <w:sz w:val="24"/>
          <w:szCs w:val="24"/>
        </w:rPr>
        <w:t xml:space="preserve">       </w:t>
      </w:r>
      <w:r w:rsidRPr="00F317BC">
        <w:rPr>
          <w:rFonts w:ascii="Times New Roman" w:hAnsi="Times New Roman"/>
          <w:bCs/>
          <w:sz w:val="24"/>
          <w:szCs w:val="24"/>
        </w:rPr>
        <w:t>juri</w:t>
      </w:r>
      <w:r w:rsidRPr="00F317BC">
        <w:rPr>
          <w:rFonts w:ascii="Times New Roman" w:hAnsi="Times New Roman"/>
          <w:sz w:val="24"/>
          <w:szCs w:val="24"/>
        </w:rPr>
        <w:t xml:space="preserve">dinio asmens kodas </w:t>
      </w:r>
      <w:r w:rsidRPr="00F317BC">
        <w:rPr>
          <w:rFonts w:ascii="Times New Roman" w:hAnsi="Times New Roman"/>
          <w:noProof/>
          <w:sz w:val="24"/>
          <w:szCs w:val="24"/>
        </w:rPr>
        <w:t>305613992</w:t>
      </w:r>
      <w:r>
        <w:rPr>
          <w:rFonts w:ascii="Times New Roman" w:hAnsi="Times New Roman"/>
          <w:noProof/>
          <w:sz w:val="24"/>
          <w:szCs w:val="24"/>
        </w:rPr>
        <w:t>,</w:t>
      </w:r>
      <w:r w:rsidRPr="00F317BC">
        <w:rPr>
          <w:rFonts w:ascii="Times New Roman" w:hAnsi="Times New Roman"/>
          <w:sz w:val="24"/>
          <w:szCs w:val="24"/>
        </w:rPr>
        <w:t xml:space="preserve"> kurios registruota buveinė yra</w:t>
      </w:r>
      <w:r>
        <w:rPr>
          <w:rFonts w:ascii="Times New Roman" w:hAnsi="Times New Roman"/>
          <w:noProof/>
          <w:sz w:val="24"/>
          <w:szCs w:val="24"/>
          <w:lang w:eastAsia="lt-LT"/>
        </w:rPr>
        <w:t xml:space="preserve">  </w:t>
      </w:r>
      <w:r w:rsidRPr="00F317BC">
        <w:rPr>
          <w:rFonts w:ascii="Times New Roman" w:hAnsi="Times New Roman"/>
          <w:noProof/>
          <w:sz w:val="24"/>
          <w:szCs w:val="24"/>
        </w:rPr>
        <w:t>Mokyklos g. 24, Švenčionėliai</w:t>
      </w:r>
      <w:r w:rsidRPr="00F317BC">
        <w:rPr>
          <w:rFonts w:ascii="Times New Roman" w:hAnsi="Times New Roman"/>
          <w:sz w:val="24"/>
          <w:szCs w:val="24"/>
        </w:rPr>
        <w:t xml:space="preserve">, </w:t>
      </w:r>
      <w:r w:rsidRPr="00F317BC">
        <w:rPr>
          <w:rFonts w:ascii="Times New Roman" w:hAnsi="Times New Roman"/>
          <w:noProof/>
          <w:sz w:val="24"/>
          <w:szCs w:val="24"/>
        </w:rPr>
        <w:t>18220 Švenčionių r.</w:t>
      </w:r>
      <w:r w:rsidR="00B30E9F" w:rsidRPr="00F317BC">
        <w:rPr>
          <w:rFonts w:ascii="Times New Roman" w:hAnsi="Times New Roman"/>
          <w:color w:val="000000" w:themeColor="text1"/>
          <w:sz w:val="24"/>
          <w:szCs w:val="24"/>
          <w:lang w:eastAsia="lt-LT"/>
        </w:rPr>
        <w:t xml:space="preserve"> </w:t>
      </w:r>
      <w:bookmarkEnd w:id="3"/>
      <w:bookmarkEnd w:id="5"/>
      <w:r w:rsidR="00B30E9F" w:rsidRPr="00F317BC">
        <w:rPr>
          <w:rFonts w:ascii="Times New Roman" w:hAnsi="Times New Roman"/>
          <w:color w:val="000000" w:themeColor="text1"/>
          <w:sz w:val="24"/>
          <w:szCs w:val="24"/>
        </w:rPr>
        <w:t>Perkančioji organizacija nėra PVM mokėtoja</w:t>
      </w:r>
      <w:r w:rsidR="00B30E9F" w:rsidRPr="00B30E9F">
        <w:rPr>
          <w:rFonts w:ascii="Times New Roman" w:hAnsi="Times New Roman"/>
          <w:color w:val="000000" w:themeColor="text1"/>
          <w:sz w:val="24"/>
          <w:szCs w:val="24"/>
          <w:lang w:eastAsia="lt-LT"/>
        </w:rPr>
        <w:t xml:space="preserve">. </w:t>
      </w:r>
      <w:bookmarkEnd w:id="4"/>
    </w:p>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35B1E14F" w:rsidR="00D84FD9" w:rsidRPr="004E4E9A" w:rsidRDefault="009C6F27" w:rsidP="009C6F27">
      <w:pPr>
        <w:spacing w:after="0" w:line="240" w:lineRule="auto"/>
        <w:outlineLvl w:val="0"/>
        <w:rPr>
          <w:rFonts w:ascii="Times New Roman" w:eastAsia="Arial Unicode MS" w:hAnsi="Times New Roman"/>
          <w:color w:val="000000"/>
          <w:sz w:val="24"/>
          <w:szCs w:val="24"/>
          <w:lang w:eastAsia="en-GB"/>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4E4E9A" w:rsidRPr="004E4E9A">
        <w:rPr>
          <w:rFonts w:ascii="Times New Roman" w:eastAsia="Times New Roman" w:hAnsi="Times New Roman"/>
          <w:bCs/>
          <w:color w:val="000000"/>
          <w:sz w:val="24"/>
          <w:szCs w:val="24"/>
        </w:rPr>
        <w:t>kultūrinio ugdymo integravimo į mokomuosius dalykus mokymų pedagogams</w:t>
      </w:r>
      <w:r w:rsidR="004E4E9A" w:rsidRPr="00D769CC">
        <w:rPr>
          <w:rFonts w:ascii="Times New Roman" w:hAnsi="Times New Roman"/>
          <w:bCs/>
          <w:color w:val="000000"/>
          <w:sz w:val="24"/>
          <w:szCs w:val="24"/>
        </w:rPr>
        <w:t xml:space="preserve"> </w:t>
      </w:r>
      <w:r w:rsidR="00B17596" w:rsidRPr="00D769CC">
        <w:rPr>
          <w:rFonts w:ascii="Times New Roman" w:hAnsi="Times New Roman"/>
          <w:bCs/>
          <w:color w:val="000000"/>
          <w:sz w:val="24"/>
          <w:szCs w:val="24"/>
        </w:rPr>
        <w:t>paslaugas</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4E4E9A" w:rsidRPr="004E4E9A">
        <w:rPr>
          <w:rFonts w:ascii="Times New Roman" w:eastAsia="Times New Roman" w:hAnsi="Times New Roman"/>
          <w:sz w:val="24"/>
          <w:szCs w:val="24"/>
          <w:lang w:eastAsia="lt-LT"/>
        </w:rPr>
        <w:t>80590000-6</w:t>
      </w:r>
      <w:r w:rsidR="00F317BC" w:rsidRPr="004E4E9A">
        <w:rPr>
          <w:rFonts w:ascii="Times New Roman" w:eastAsia="Times New Roman" w:hAnsi="Times New Roman"/>
          <w:sz w:val="24"/>
          <w:szCs w:val="24"/>
          <w:lang w:eastAsia="lt-LT"/>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6"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6"/>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P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4282DDB1"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r w:rsidR="004E4E9A" w:rsidRPr="004E4E9A">
        <w:rPr>
          <w:rFonts w:ascii="Times New Roman" w:eastAsia="Times New Roman" w:hAnsi="Times New Roman"/>
          <w:color w:val="000000"/>
          <w:sz w:val="24"/>
          <w:szCs w:val="24"/>
        </w:rPr>
        <w:t>Kultūrinio ugdymo integravimo į mokomuosius dalykus mokym</w:t>
      </w:r>
      <w:r w:rsidR="00D85F9B">
        <w:rPr>
          <w:rFonts w:ascii="Times New Roman" w:eastAsia="Times New Roman" w:hAnsi="Times New Roman"/>
          <w:color w:val="000000"/>
          <w:sz w:val="24"/>
          <w:szCs w:val="24"/>
        </w:rPr>
        <w:t xml:space="preserve">ų </w:t>
      </w:r>
      <w:r w:rsidR="004E4E9A" w:rsidRPr="004E4E9A">
        <w:rPr>
          <w:rFonts w:ascii="Times New Roman" w:eastAsia="Times New Roman" w:hAnsi="Times New Roman"/>
          <w:color w:val="000000"/>
          <w:sz w:val="24"/>
          <w:szCs w:val="24"/>
        </w:rPr>
        <w:t>pedagogams</w:t>
      </w:r>
      <w:r w:rsidR="004E4E9A" w:rsidRPr="004E4E9A">
        <w:rPr>
          <w:rFonts w:ascii="Times New Roman" w:eastAsia="Times New Roman" w:hAnsi="Times New Roman"/>
          <w:color w:val="000000"/>
          <w:sz w:val="24"/>
          <w:szCs w:val="24"/>
          <w:lang w:eastAsia="lt-LT"/>
        </w:rPr>
        <w:t xml:space="preserve"> </w:t>
      </w:r>
      <w:bookmarkStart w:id="7" w:name="_Hlk166596358"/>
      <w:r w:rsidR="00B17596" w:rsidRPr="004E4E9A">
        <w:rPr>
          <w:rFonts w:ascii="Times New Roman" w:hAnsi="Times New Roman"/>
          <w:bCs/>
          <w:color w:val="000000"/>
          <w:sz w:val="24"/>
          <w:szCs w:val="24"/>
        </w:rPr>
        <w:t>paslaugos</w:t>
      </w:r>
      <w:r w:rsidR="009C6F27" w:rsidRPr="004E4E9A">
        <w:rPr>
          <w:rFonts w:ascii="Times New Roman" w:eastAsia="Times New Roman" w:hAnsi="Times New Roman"/>
          <w:bCs/>
          <w:color w:val="000000"/>
          <w:sz w:val="24"/>
          <w:szCs w:val="24"/>
          <w:lang w:eastAsia="lt-LT"/>
        </w:rPr>
        <w:t>.</w:t>
      </w:r>
      <w:r w:rsidR="009C6F27" w:rsidRPr="004E4E9A">
        <w:rPr>
          <w:rFonts w:ascii="Times New Roman" w:eastAsia="Times New Roman" w:hAnsi="Times New Roman"/>
          <w:color w:val="000000"/>
          <w:sz w:val="24"/>
          <w:szCs w:val="24"/>
          <w:lang w:eastAsia="lt-LT"/>
        </w:rPr>
        <w:t xml:space="preserve"> </w:t>
      </w:r>
      <w:r w:rsidR="00F317BC" w:rsidRPr="004E4E9A">
        <w:rPr>
          <w:rFonts w:ascii="Times New Roman" w:hAnsi="Times New Roman"/>
          <w:sz w:val="24"/>
          <w:szCs w:val="24"/>
        </w:rPr>
        <w:t xml:space="preserve"> </w:t>
      </w:r>
      <w:r w:rsidR="00DF71D3" w:rsidRPr="004E4E9A">
        <w:rPr>
          <w:rFonts w:ascii="Times New Roman" w:hAnsi="Times New Roman"/>
          <w:sz w:val="24"/>
          <w:szCs w:val="24"/>
        </w:rPr>
        <w:t>Det</w:t>
      </w:r>
      <w:r w:rsidR="00DF71D3" w:rsidRPr="00D769CC">
        <w:rPr>
          <w:rFonts w:ascii="Times New Roman" w:hAnsi="Times New Roman"/>
          <w:sz w:val="24"/>
          <w:szCs w:val="24"/>
        </w:rPr>
        <w:t>alesnis aprašymas techninėje specifikacijoje</w:t>
      </w:r>
      <w:bookmarkEnd w:id="7"/>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3A6F4254"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 xml:space="preserve">vieta: </w:t>
      </w:r>
      <w:r w:rsidR="00F317BC" w:rsidRPr="00D769CC">
        <w:rPr>
          <w:rFonts w:ascii="Times New Roman" w:hAnsi="Times New Roman"/>
          <w:bCs/>
          <w:color w:val="000000"/>
          <w:sz w:val="24"/>
          <w:szCs w:val="24"/>
        </w:rPr>
        <w:t xml:space="preserve">Švenčionių r. Švenčionėlių karaliaus Mindaugo gimnazija,      </w:t>
      </w:r>
      <w:r w:rsidR="00F317BC" w:rsidRPr="00D769CC">
        <w:rPr>
          <w:rFonts w:ascii="Times New Roman" w:hAnsi="Times New Roman"/>
          <w:noProof/>
          <w:sz w:val="24"/>
          <w:szCs w:val="24"/>
        </w:rPr>
        <w:t>Mokyklos g. 24, Švenčionėliai</w:t>
      </w:r>
      <w:r w:rsidR="00F317BC" w:rsidRPr="00D769CC">
        <w:rPr>
          <w:rFonts w:ascii="Times New Roman" w:hAnsi="Times New Roman"/>
          <w:sz w:val="24"/>
          <w:szCs w:val="24"/>
        </w:rPr>
        <w:t xml:space="preserve">, </w:t>
      </w:r>
      <w:r w:rsidR="00F317BC" w:rsidRPr="00D769CC">
        <w:rPr>
          <w:rFonts w:ascii="Times New Roman" w:hAnsi="Times New Roman"/>
          <w:noProof/>
          <w:sz w:val="24"/>
          <w:szCs w:val="24"/>
        </w:rPr>
        <w:t>18220 Švenčionių r.</w:t>
      </w:r>
    </w:p>
    <w:p w14:paraId="3A208B88" w14:textId="25FEDADA"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ne vėliau kaip iki 2025 m. gruodžio 31 d.</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110"/>
        <w:gridCol w:w="4649"/>
      </w:tblGrid>
      <w:tr w:rsidR="001030F3" w:rsidRPr="007849B0" w14:paraId="1AE7F154" w14:textId="77777777" w:rsidTr="00706BE6">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647FEE5A"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1030F3" w:rsidRPr="004E4E9A" w14:paraId="3EFA7BB9" w14:textId="77777777" w:rsidTr="001030F3">
        <w:tc>
          <w:tcPr>
            <w:tcW w:w="880" w:type="dxa"/>
            <w:tcBorders>
              <w:top w:val="single" w:sz="4" w:space="0" w:color="auto"/>
              <w:left w:val="single" w:sz="4" w:space="0" w:color="auto"/>
              <w:bottom w:val="single" w:sz="4" w:space="0" w:color="auto"/>
              <w:right w:val="single" w:sz="4" w:space="0" w:color="auto"/>
            </w:tcBorders>
            <w:vAlign w:val="center"/>
          </w:tcPr>
          <w:p w14:paraId="4F21D5F1" w14:textId="5504B02F" w:rsidR="001030F3" w:rsidRPr="004E4E9A" w:rsidRDefault="001030F3" w:rsidP="001030F3">
            <w:pPr>
              <w:spacing w:after="0" w:line="240" w:lineRule="auto"/>
              <w:rPr>
                <w:rFonts w:ascii="Times New Roman" w:eastAsia="Times New Roman" w:hAnsi="Times New Roman"/>
                <w:bCs/>
                <w:sz w:val="24"/>
                <w:szCs w:val="24"/>
              </w:rPr>
            </w:pPr>
            <w:r w:rsidRPr="004E4E9A">
              <w:rPr>
                <w:rFonts w:ascii="Times New Roman" w:eastAsia="Times New Roman" w:hAnsi="Times New Roman"/>
                <w:bCs/>
                <w:sz w:val="24"/>
                <w:szCs w:val="24"/>
              </w:rPr>
              <w:t>3.2.1</w:t>
            </w:r>
          </w:p>
        </w:tc>
        <w:tc>
          <w:tcPr>
            <w:tcW w:w="4110" w:type="dxa"/>
            <w:tcBorders>
              <w:top w:val="single" w:sz="4" w:space="0" w:color="auto"/>
              <w:left w:val="single" w:sz="4" w:space="0" w:color="auto"/>
              <w:bottom w:val="single" w:sz="4" w:space="0" w:color="auto"/>
              <w:right w:val="single" w:sz="4" w:space="0" w:color="auto"/>
            </w:tcBorders>
            <w:vAlign w:val="center"/>
          </w:tcPr>
          <w:p w14:paraId="601961C1" w14:textId="37ABF136" w:rsidR="001030F3" w:rsidRPr="004E4E9A" w:rsidRDefault="0009775F" w:rsidP="001030F3">
            <w:pPr>
              <w:spacing w:after="0" w:line="240" w:lineRule="auto"/>
              <w:rPr>
                <w:rFonts w:ascii="Times New Roman" w:eastAsia="Times New Roman" w:hAnsi="Times New Roman"/>
                <w:b/>
                <w:sz w:val="24"/>
                <w:szCs w:val="24"/>
              </w:rPr>
            </w:pPr>
            <w:bookmarkStart w:id="8" w:name="_Hlk177464223"/>
            <w:r w:rsidRPr="004E4E9A">
              <w:rPr>
                <w:rFonts w:ascii="Times New Roman" w:eastAsia="Times New Roman" w:hAnsi="Times New Roman"/>
                <w:sz w:val="24"/>
                <w:szCs w:val="24"/>
                <w:lang w:eastAsia="lt-LT"/>
              </w:rPr>
              <w:t xml:space="preserve"> </w:t>
            </w:r>
            <w:bookmarkEnd w:id="8"/>
            <w:r w:rsidR="004E4E9A" w:rsidRPr="004E4E9A">
              <w:rPr>
                <w:rFonts w:ascii="Times New Roman" w:hAnsi="Times New Roman"/>
                <w:sz w:val="24"/>
                <w:szCs w:val="24"/>
                <w:bdr w:val="none" w:sz="0" w:space="0" w:color="auto" w:frame="1"/>
              </w:rPr>
              <w:t>Sutarčiai vykdyti tiekėjas turi pasiūlyti ne mažiau kaip 1 specialistą lektorių, kuris ves Mokymus ir kuris per paskutinius 3 metus iki pasiūlymų pateikimo termino būtų pravedęs bent 1 mokymus kultūrinio ugdymo temomis pagal vieną ar daugiau paslaugų teikimo sutarčių ir kurių trukmė buvo ne mažiau kaip 30 akademinių valandų</w:t>
            </w:r>
          </w:p>
        </w:tc>
        <w:tc>
          <w:tcPr>
            <w:tcW w:w="4649" w:type="dxa"/>
            <w:tcBorders>
              <w:top w:val="single" w:sz="4" w:space="0" w:color="auto"/>
              <w:left w:val="single" w:sz="4" w:space="0" w:color="auto"/>
              <w:bottom w:val="single" w:sz="4" w:space="0" w:color="auto"/>
              <w:right w:val="single" w:sz="4" w:space="0" w:color="auto"/>
            </w:tcBorders>
            <w:vAlign w:val="center"/>
          </w:tcPr>
          <w:p w14:paraId="040DBCFD" w14:textId="77777777" w:rsidR="0009775F" w:rsidRPr="004E4E9A" w:rsidRDefault="0009775F" w:rsidP="001030F3">
            <w:pPr>
              <w:spacing w:after="0" w:line="240" w:lineRule="auto"/>
              <w:rPr>
                <w:rFonts w:ascii="Times New Roman" w:eastAsia="Times New Roman" w:hAnsi="Times New Roman"/>
                <w:sz w:val="24"/>
                <w:szCs w:val="24"/>
                <w:lang w:eastAsia="lt-LT"/>
              </w:rPr>
            </w:pPr>
            <w:r w:rsidRPr="004E4E9A">
              <w:rPr>
                <w:rFonts w:ascii="Times New Roman" w:eastAsia="Times New Roman" w:hAnsi="Times New Roman"/>
                <w:sz w:val="24"/>
                <w:szCs w:val="24"/>
                <w:lang w:eastAsia="lt-LT"/>
              </w:rPr>
              <w:t>Kaip atitiktį patvirtinantis dokumentas pateikiamas siūlomo(ų) specialisto(ų) darbų sąrašas, kur nurodytos suteiktos paslaugos, tema, trukmė, data, vieta, užsakovas ir jo kontaktai.</w:t>
            </w:r>
          </w:p>
          <w:p w14:paraId="18E52FAC" w14:textId="77777777" w:rsidR="0009775F" w:rsidRPr="004E4E9A" w:rsidRDefault="0009775F" w:rsidP="001030F3">
            <w:pPr>
              <w:spacing w:after="0" w:line="240" w:lineRule="auto"/>
              <w:rPr>
                <w:rFonts w:ascii="Times New Roman" w:eastAsia="Times New Roman" w:hAnsi="Times New Roman"/>
                <w:sz w:val="24"/>
                <w:szCs w:val="24"/>
                <w:lang w:eastAsia="lt-LT"/>
              </w:rPr>
            </w:pPr>
          </w:p>
          <w:p w14:paraId="48C815D6" w14:textId="60634562" w:rsidR="001030F3" w:rsidRPr="004E4E9A" w:rsidRDefault="001030F3" w:rsidP="001030F3">
            <w:pPr>
              <w:spacing w:after="0" w:line="240" w:lineRule="auto"/>
              <w:rPr>
                <w:rFonts w:ascii="Times New Roman" w:eastAsia="Times New Roman" w:hAnsi="Times New Roman"/>
                <w:b/>
                <w:sz w:val="24"/>
                <w:szCs w:val="24"/>
              </w:rPr>
            </w:pPr>
          </w:p>
        </w:tc>
      </w:tr>
    </w:tbl>
    <w:p w14:paraId="439C66AA" w14:textId="4402652D"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t>3.3.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E3470D">
        <w:rPr>
          <w:rFonts w:ascii="Times New Roman" w:eastAsia="Arial Unicode MS" w:hAnsi="Times New Roman"/>
          <w:color w:val="000000"/>
          <w:sz w:val="24"/>
          <w:szCs w:val="24"/>
          <w:bdr w:val="nil"/>
        </w:rPr>
        <w:t>4</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5</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6</w:t>
      </w:r>
      <w:r w:rsidRPr="000A2AB1">
        <w:rPr>
          <w:rFonts w:ascii="Times New Roman" w:eastAsia="Times New Roman" w:hAnsi="Times New Roman"/>
          <w:sz w:val="24"/>
          <w:szCs w:val="20"/>
        </w:rPr>
        <w:t xml:space="preserve">.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w:t>
      </w:r>
      <w:r w:rsidRPr="000A2AB1">
        <w:rPr>
          <w:rFonts w:ascii="Times New Roman" w:eastAsia="Times New Roman" w:hAnsi="Times New Roman"/>
          <w:sz w:val="24"/>
          <w:szCs w:val="20"/>
        </w:rPr>
        <w:lastRenderedPageBreak/>
        <w:t>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Default="00D84FD9" w:rsidP="00114D73">
      <w:pPr>
        <w:pStyle w:val="prastasis1"/>
        <w:spacing w:after="0" w:line="240" w:lineRule="auto"/>
        <w:ind w:firstLine="567"/>
        <w:jc w:val="both"/>
        <w:rPr>
          <w:rFonts w:cs="Times New Roman"/>
          <w:b/>
          <w:color w:val="000000"/>
          <w:lang w:val="lt-LT"/>
        </w:rPr>
      </w:pPr>
    </w:p>
    <w:p w14:paraId="1C56C100" w14:textId="77777777" w:rsidR="003C5499" w:rsidRDefault="003C5499" w:rsidP="00114D73">
      <w:pPr>
        <w:pStyle w:val="prastasis1"/>
        <w:spacing w:after="0" w:line="240" w:lineRule="auto"/>
        <w:ind w:firstLine="567"/>
        <w:jc w:val="both"/>
        <w:rPr>
          <w:rFonts w:cs="Times New Roman"/>
          <w:b/>
          <w:color w:val="000000"/>
          <w:lang w:val="lt-LT"/>
        </w:rPr>
      </w:pPr>
    </w:p>
    <w:p w14:paraId="1E1F1C07" w14:textId="77777777" w:rsidR="003C5499" w:rsidRPr="00083068" w:rsidRDefault="003C549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7CC57806"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tiekėjas neatitinka nustatytų kvalifikacijos reikalavimų arba </w:t>
      </w:r>
      <w:r>
        <w:rPr>
          <w:rFonts w:ascii="Times New Roman" w:hAnsi="Times New Roman"/>
          <w:bCs/>
          <w:snapToGrid w:val="0"/>
          <w:color w:val="000000" w:themeColor="text1"/>
          <w:sz w:val="24"/>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lastRenderedPageBreak/>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23D2F0CB" w14:textId="06625168" w:rsidR="003E65C9" w:rsidRPr="003E65C9" w:rsidRDefault="003E65C9" w:rsidP="00905276">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80BA" w14:textId="77777777" w:rsidR="008F4D6F" w:rsidRDefault="008F4D6F" w:rsidP="00C57110">
      <w:pPr>
        <w:spacing w:after="0" w:line="240" w:lineRule="auto"/>
      </w:pPr>
      <w:r>
        <w:separator/>
      </w:r>
    </w:p>
  </w:endnote>
  <w:endnote w:type="continuationSeparator" w:id="0">
    <w:p w14:paraId="3E863EAE" w14:textId="77777777" w:rsidR="008F4D6F" w:rsidRDefault="008F4D6F"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B240" w14:textId="77777777" w:rsidR="008F4D6F" w:rsidRDefault="008F4D6F" w:rsidP="00C57110">
      <w:pPr>
        <w:spacing w:after="0" w:line="240" w:lineRule="auto"/>
      </w:pPr>
      <w:r>
        <w:separator/>
      </w:r>
    </w:p>
  </w:footnote>
  <w:footnote w:type="continuationSeparator" w:id="0">
    <w:p w14:paraId="4CD78F68" w14:textId="77777777" w:rsidR="008F4D6F" w:rsidRDefault="008F4D6F"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E0463"/>
    <w:rsid w:val="000E398A"/>
    <w:rsid w:val="000F49FA"/>
    <w:rsid w:val="000F6998"/>
    <w:rsid w:val="000F6B02"/>
    <w:rsid w:val="00102131"/>
    <w:rsid w:val="001030F3"/>
    <w:rsid w:val="00105E3D"/>
    <w:rsid w:val="001079C5"/>
    <w:rsid w:val="00114D73"/>
    <w:rsid w:val="00116481"/>
    <w:rsid w:val="00134335"/>
    <w:rsid w:val="00143974"/>
    <w:rsid w:val="00152029"/>
    <w:rsid w:val="00156EBB"/>
    <w:rsid w:val="001608DD"/>
    <w:rsid w:val="001663BF"/>
    <w:rsid w:val="00176BF9"/>
    <w:rsid w:val="00177F39"/>
    <w:rsid w:val="00181C97"/>
    <w:rsid w:val="0019087E"/>
    <w:rsid w:val="001A0E30"/>
    <w:rsid w:val="001A34FA"/>
    <w:rsid w:val="001B2134"/>
    <w:rsid w:val="001B5906"/>
    <w:rsid w:val="001B69DB"/>
    <w:rsid w:val="001B6D8C"/>
    <w:rsid w:val="001C1B19"/>
    <w:rsid w:val="001C7A87"/>
    <w:rsid w:val="001E1DFD"/>
    <w:rsid w:val="001E53B2"/>
    <w:rsid w:val="001E7C51"/>
    <w:rsid w:val="001F1E1A"/>
    <w:rsid w:val="001F66E2"/>
    <w:rsid w:val="001F69CF"/>
    <w:rsid w:val="00210807"/>
    <w:rsid w:val="00214993"/>
    <w:rsid w:val="00216827"/>
    <w:rsid w:val="00216AA5"/>
    <w:rsid w:val="00222459"/>
    <w:rsid w:val="002313AE"/>
    <w:rsid w:val="002337A9"/>
    <w:rsid w:val="00234541"/>
    <w:rsid w:val="00240E69"/>
    <w:rsid w:val="002604C4"/>
    <w:rsid w:val="00260D0C"/>
    <w:rsid w:val="00264170"/>
    <w:rsid w:val="00266503"/>
    <w:rsid w:val="00275523"/>
    <w:rsid w:val="00276155"/>
    <w:rsid w:val="0028304D"/>
    <w:rsid w:val="0029024A"/>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716D"/>
    <w:rsid w:val="00417E65"/>
    <w:rsid w:val="004279CF"/>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C73BD"/>
    <w:rsid w:val="004D17DD"/>
    <w:rsid w:val="004D7219"/>
    <w:rsid w:val="004E4E9A"/>
    <w:rsid w:val="004E67AC"/>
    <w:rsid w:val="004E72CB"/>
    <w:rsid w:val="004F7527"/>
    <w:rsid w:val="00500B8C"/>
    <w:rsid w:val="00507BC9"/>
    <w:rsid w:val="00512AE7"/>
    <w:rsid w:val="00514EB0"/>
    <w:rsid w:val="00516D74"/>
    <w:rsid w:val="00516FF9"/>
    <w:rsid w:val="00526747"/>
    <w:rsid w:val="005321E6"/>
    <w:rsid w:val="005404B4"/>
    <w:rsid w:val="005410E0"/>
    <w:rsid w:val="00546E34"/>
    <w:rsid w:val="005539D7"/>
    <w:rsid w:val="00555054"/>
    <w:rsid w:val="0055721F"/>
    <w:rsid w:val="00562A87"/>
    <w:rsid w:val="005633B0"/>
    <w:rsid w:val="00576D63"/>
    <w:rsid w:val="005930C2"/>
    <w:rsid w:val="00594DEB"/>
    <w:rsid w:val="005A13CC"/>
    <w:rsid w:val="005A164A"/>
    <w:rsid w:val="005C4169"/>
    <w:rsid w:val="005C4474"/>
    <w:rsid w:val="005D266D"/>
    <w:rsid w:val="005D41E4"/>
    <w:rsid w:val="005E2962"/>
    <w:rsid w:val="005E7909"/>
    <w:rsid w:val="005F17B6"/>
    <w:rsid w:val="0060456B"/>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76BE"/>
    <w:rsid w:val="006C41F6"/>
    <w:rsid w:val="006C48E5"/>
    <w:rsid w:val="006C6E2F"/>
    <w:rsid w:val="006D3BBC"/>
    <w:rsid w:val="006D6236"/>
    <w:rsid w:val="006F1184"/>
    <w:rsid w:val="006F48AC"/>
    <w:rsid w:val="00701DD0"/>
    <w:rsid w:val="0070627B"/>
    <w:rsid w:val="00706F5C"/>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570E"/>
    <w:rsid w:val="00816A0C"/>
    <w:rsid w:val="0082626E"/>
    <w:rsid w:val="00837EA2"/>
    <w:rsid w:val="008501C2"/>
    <w:rsid w:val="008551B2"/>
    <w:rsid w:val="0086239F"/>
    <w:rsid w:val="00875DF3"/>
    <w:rsid w:val="00887350"/>
    <w:rsid w:val="008875E6"/>
    <w:rsid w:val="00890B73"/>
    <w:rsid w:val="00891CF5"/>
    <w:rsid w:val="00893523"/>
    <w:rsid w:val="008A0653"/>
    <w:rsid w:val="008A223C"/>
    <w:rsid w:val="008A3E13"/>
    <w:rsid w:val="008A5825"/>
    <w:rsid w:val="008C2573"/>
    <w:rsid w:val="008C3F59"/>
    <w:rsid w:val="008D2344"/>
    <w:rsid w:val="008D39F5"/>
    <w:rsid w:val="008D4B5D"/>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3951"/>
    <w:rsid w:val="009463BD"/>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220E9"/>
    <w:rsid w:val="00A265D9"/>
    <w:rsid w:val="00A272C8"/>
    <w:rsid w:val="00A36E00"/>
    <w:rsid w:val="00A42DD8"/>
    <w:rsid w:val="00A43802"/>
    <w:rsid w:val="00A44A4B"/>
    <w:rsid w:val="00A44CDA"/>
    <w:rsid w:val="00A57BB4"/>
    <w:rsid w:val="00A61F81"/>
    <w:rsid w:val="00A67CF5"/>
    <w:rsid w:val="00A71D11"/>
    <w:rsid w:val="00A725BF"/>
    <w:rsid w:val="00A7422E"/>
    <w:rsid w:val="00A7647E"/>
    <w:rsid w:val="00A76ABC"/>
    <w:rsid w:val="00A76FE0"/>
    <w:rsid w:val="00A87D00"/>
    <w:rsid w:val="00A9351B"/>
    <w:rsid w:val="00AA0471"/>
    <w:rsid w:val="00AA280C"/>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2377"/>
    <w:rsid w:val="00B63F9C"/>
    <w:rsid w:val="00B72457"/>
    <w:rsid w:val="00B73DCC"/>
    <w:rsid w:val="00B74DEF"/>
    <w:rsid w:val="00B765FC"/>
    <w:rsid w:val="00B826F4"/>
    <w:rsid w:val="00BA7E9F"/>
    <w:rsid w:val="00BB09BE"/>
    <w:rsid w:val="00BB192A"/>
    <w:rsid w:val="00BB5B6A"/>
    <w:rsid w:val="00BE61FA"/>
    <w:rsid w:val="00BE6231"/>
    <w:rsid w:val="00BE7806"/>
    <w:rsid w:val="00BF108F"/>
    <w:rsid w:val="00BF13C2"/>
    <w:rsid w:val="00BF2201"/>
    <w:rsid w:val="00BF55A2"/>
    <w:rsid w:val="00C076D9"/>
    <w:rsid w:val="00C31C94"/>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B17DF"/>
    <w:rsid w:val="00CB3B69"/>
    <w:rsid w:val="00CC358D"/>
    <w:rsid w:val="00CD1828"/>
    <w:rsid w:val="00CD1A35"/>
    <w:rsid w:val="00CD209A"/>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5F9B"/>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7C22"/>
    <w:rsid w:val="00E74A29"/>
    <w:rsid w:val="00E92498"/>
    <w:rsid w:val="00E941D1"/>
    <w:rsid w:val="00E967E2"/>
    <w:rsid w:val="00E97B6E"/>
    <w:rsid w:val="00E97DD3"/>
    <w:rsid w:val="00EA038B"/>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18215</Words>
  <Characters>10384</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17</cp:revision>
  <cp:lastPrinted>2024-03-19T09:39:00Z</cp:lastPrinted>
  <dcterms:created xsi:type="dcterms:W3CDTF">2025-01-09T12:06:00Z</dcterms:created>
  <dcterms:modified xsi:type="dcterms:W3CDTF">2025-01-21T14:12:00Z</dcterms:modified>
</cp:coreProperties>
</file>