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PIRKIMO OBJEKTAS</w:t>
      </w:r>
    </w:p>
    <w:p w14:paraId="2179436F" w14:textId="2B024CA7" w:rsidR="00FB55F6" w:rsidRPr="00B01EC0" w:rsidRDefault="005B760E" w:rsidP="00E13170">
      <w:pPr>
        <w:pStyle w:val="ListParagraph"/>
        <w:numPr>
          <w:ilvl w:val="1"/>
          <w:numId w:val="20"/>
        </w:numPr>
        <w:spacing w:before="60" w:after="60"/>
        <w:jc w:val="both"/>
        <w:rPr>
          <w:rFonts w:eastAsia="Arial" w:cs="Arial"/>
          <w:i/>
          <w:iCs/>
          <w:color w:val="000000" w:themeColor="text1"/>
          <w:sz w:val="20"/>
          <w:szCs w:val="20"/>
        </w:rPr>
      </w:pPr>
      <w:bookmarkStart w:id="1" w:name="_Hlk34729843"/>
      <w:r w:rsidRPr="00850676">
        <w:rPr>
          <w:rFonts w:eastAsia="Arial" w:cs="Arial"/>
          <w:b/>
          <w:bCs/>
          <w:sz w:val="20"/>
          <w:szCs w:val="20"/>
        </w:rPr>
        <w:t>Petrašiūnų elektrinės</w:t>
      </w:r>
      <w:r>
        <w:rPr>
          <w:rFonts w:eastAsia="Arial" w:cs="Arial"/>
          <w:sz w:val="20"/>
          <w:szCs w:val="20"/>
        </w:rPr>
        <w:t xml:space="preserve"> </w:t>
      </w:r>
      <w:r w:rsidR="00510ADD" w:rsidRPr="00510ADD">
        <w:rPr>
          <w:rFonts w:eastAsia="Arial" w:cs="Arial"/>
          <w:sz w:val="20"/>
          <w:szCs w:val="20"/>
        </w:rPr>
        <w:t>esamų, nenaudojamų, įrenginių ir vamzdynų demontavimo darbus (toliau – Darbai).</w:t>
      </w:r>
    </w:p>
    <w:p w14:paraId="2FA01F2F" w14:textId="77777777" w:rsidR="00B01EC0" w:rsidRPr="0043712E" w:rsidRDefault="00B01EC0"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SUTARTINIŲ ĮSIPAREIGOJIMŲ VYKDYMO VIETA</w:t>
      </w:r>
    </w:p>
    <w:p w14:paraId="2CD90DEA" w14:textId="77777777" w:rsidR="00B01EC0" w:rsidRPr="00A868C8" w:rsidRDefault="00B01EC0" w:rsidP="00B01EC0">
      <w:pPr>
        <w:pStyle w:val="ListParagraph"/>
        <w:numPr>
          <w:ilvl w:val="1"/>
          <w:numId w:val="20"/>
        </w:numPr>
        <w:spacing w:before="60" w:after="60"/>
        <w:jc w:val="both"/>
        <w:rPr>
          <w:rFonts w:cs="Arial"/>
          <w:i/>
          <w:color w:val="747474" w:themeColor="background2" w:themeShade="80"/>
          <w:sz w:val="20"/>
          <w:szCs w:val="20"/>
        </w:rPr>
      </w:pPr>
      <w:r w:rsidRPr="00B01EC0">
        <w:rPr>
          <w:rFonts w:eastAsia="Arial" w:cs="Arial"/>
          <w:b/>
          <w:bCs/>
          <w:sz w:val="20"/>
          <w:szCs w:val="20"/>
        </w:rPr>
        <w:t>Darbų</w:t>
      </w:r>
      <w:r w:rsidRPr="00FA0329">
        <w:rPr>
          <w:rFonts w:cs="Arial"/>
          <w:bCs/>
          <w:iCs/>
          <w:sz w:val="20"/>
          <w:szCs w:val="20"/>
        </w:rPr>
        <w:t xml:space="preserve"> atlikimo vieta: </w:t>
      </w:r>
      <w:r>
        <w:rPr>
          <w:rFonts w:cs="Arial"/>
          <w:bCs/>
          <w:iCs/>
          <w:sz w:val="20"/>
          <w:szCs w:val="20"/>
        </w:rPr>
        <w:t>Petrašiūnų elektrinė Jėgainės g. 12C, Kaunas</w:t>
      </w:r>
    </w:p>
    <w:bookmarkEnd w:id="1"/>
    <w:p w14:paraId="271188AC" w14:textId="7C22E6B6"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SĄVOKOS IR SUTRUMPINIMAI</w:t>
      </w:r>
    </w:p>
    <w:p w14:paraId="66B4FE81" w14:textId="7AD3AABC" w:rsidR="00FC1E11" w:rsidRPr="00FB55F6" w:rsidRDefault="00383CEA" w:rsidP="00D02E44">
      <w:pPr>
        <w:pStyle w:val="ListParagraph"/>
        <w:numPr>
          <w:ilvl w:val="1"/>
          <w:numId w:val="20"/>
        </w:numPr>
        <w:spacing w:before="60" w:after="6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116C38">
        <w:rPr>
          <w:rFonts w:eastAsia="Arial" w:cs="Arial"/>
          <w:sz w:val="20"/>
          <w:szCs w:val="20"/>
        </w:rPr>
        <w:t>AB „Kauno energija“</w:t>
      </w:r>
    </w:p>
    <w:p w14:paraId="48949AC4" w14:textId="3F689592" w:rsidR="00FC1E11" w:rsidRPr="007A2F36" w:rsidRDefault="00FC1E11" w:rsidP="00D02E44">
      <w:pPr>
        <w:pStyle w:val="ListParagraph"/>
        <w:numPr>
          <w:ilvl w:val="1"/>
          <w:numId w:val="20"/>
        </w:numPr>
        <w:spacing w:before="60" w:after="6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D02E44">
      <w:pPr>
        <w:pStyle w:val="ListParagraph"/>
        <w:numPr>
          <w:ilvl w:val="1"/>
          <w:numId w:val="20"/>
        </w:numPr>
        <w:spacing w:before="60" w:after="6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720A1B06" w:rsidR="00FC1E11" w:rsidRPr="00850676" w:rsidRDefault="009230AF" w:rsidP="00850676">
      <w:pPr>
        <w:pStyle w:val="ListParagraph"/>
        <w:numPr>
          <w:ilvl w:val="1"/>
          <w:numId w:val="20"/>
        </w:numPr>
        <w:rPr>
          <w:rFonts w:eastAsia="Arial" w:cs="Arial"/>
          <w:sz w:val="20"/>
          <w:szCs w:val="20"/>
        </w:rPr>
      </w:pPr>
      <w:r w:rsidRPr="00850676">
        <w:rPr>
          <w:rFonts w:eastAsia="Arial" w:cs="Arial"/>
          <w:b/>
          <w:bCs/>
          <w:sz w:val="20"/>
          <w:szCs w:val="20"/>
        </w:rPr>
        <w:t>Darbai</w:t>
      </w:r>
      <w:r w:rsidR="00F45757" w:rsidRPr="00850676">
        <w:rPr>
          <w:rFonts w:eastAsia="Arial" w:cs="Arial"/>
          <w:sz w:val="20"/>
          <w:szCs w:val="20"/>
        </w:rPr>
        <w:t xml:space="preserve"> </w:t>
      </w:r>
      <w:r w:rsidR="00FC1E11" w:rsidRPr="00850676">
        <w:rPr>
          <w:rFonts w:eastAsia="Arial" w:cs="Arial"/>
          <w:sz w:val="20"/>
          <w:szCs w:val="20"/>
        </w:rPr>
        <w:t xml:space="preserve">– </w:t>
      </w:r>
      <w:r w:rsidR="00BF6B1A">
        <w:rPr>
          <w:rFonts w:eastAsia="Arial" w:cs="Arial"/>
          <w:sz w:val="20"/>
          <w:szCs w:val="20"/>
        </w:rPr>
        <w:t>Demontavimo darbai Petrašiūnų elektrinėje.</w:t>
      </w:r>
    </w:p>
    <w:p w14:paraId="0CCC0AEE" w14:textId="77777777"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PIRKIMO OBJEKTO APIMTYS</w:t>
      </w:r>
    </w:p>
    <w:p w14:paraId="44B99FC6" w14:textId="13DCA60F" w:rsidR="00510ADD" w:rsidRPr="00510ADD" w:rsidRDefault="00510ADD" w:rsidP="00510ADD">
      <w:pPr>
        <w:pStyle w:val="ListParagraph"/>
        <w:numPr>
          <w:ilvl w:val="1"/>
          <w:numId w:val="3"/>
        </w:numPr>
        <w:spacing w:before="60" w:after="60"/>
        <w:jc w:val="both"/>
        <w:rPr>
          <w:rFonts w:cs="Arial"/>
          <w:bCs/>
          <w:sz w:val="20"/>
          <w:szCs w:val="20"/>
        </w:rPr>
      </w:pPr>
      <w:r w:rsidRPr="00510ADD">
        <w:rPr>
          <w:rFonts w:cs="Arial"/>
          <w:bCs/>
          <w:sz w:val="20"/>
          <w:szCs w:val="20"/>
        </w:rPr>
        <w:t>Pagrindiniai demontavimo darbai vyks pagrindinio katilinės pastato 2P1p turbinų salės patalpose 1-15</w:t>
      </w:r>
      <w:r w:rsidR="00650D56">
        <w:rPr>
          <w:rFonts w:cs="Arial"/>
          <w:bCs/>
          <w:sz w:val="20"/>
          <w:szCs w:val="20"/>
        </w:rPr>
        <w:t xml:space="preserve">, </w:t>
      </w:r>
      <w:r w:rsidR="00AA2EE0">
        <w:rPr>
          <w:rFonts w:cs="Arial"/>
          <w:bCs/>
          <w:sz w:val="20"/>
          <w:szCs w:val="20"/>
        </w:rPr>
        <w:t>1-63</w:t>
      </w:r>
      <w:r w:rsidRPr="00510ADD">
        <w:rPr>
          <w:rFonts w:cs="Arial"/>
          <w:bCs/>
          <w:sz w:val="20"/>
          <w:szCs w:val="20"/>
        </w:rPr>
        <w:t xml:space="preserve"> (priedas Nr. 1). Esant</w:t>
      </w:r>
      <w:r w:rsidR="00AA2EE0">
        <w:rPr>
          <w:rFonts w:cs="Arial"/>
          <w:bCs/>
          <w:sz w:val="20"/>
          <w:szCs w:val="20"/>
        </w:rPr>
        <w:t xml:space="preserve"> </w:t>
      </w:r>
      <w:r w:rsidR="005460EE">
        <w:rPr>
          <w:rFonts w:cs="Arial"/>
          <w:bCs/>
          <w:sz w:val="20"/>
          <w:szCs w:val="20"/>
        </w:rPr>
        <w:t>Perkančiojo subjekto</w:t>
      </w:r>
      <w:r w:rsidRPr="00510ADD">
        <w:rPr>
          <w:rFonts w:cs="Arial"/>
          <w:bCs/>
          <w:sz w:val="20"/>
          <w:szCs w:val="20"/>
        </w:rPr>
        <w:t xml:space="preserve"> poreikiui, demontavimo darb</w:t>
      </w:r>
      <w:r w:rsidR="00AA2EE0">
        <w:rPr>
          <w:rFonts w:cs="Arial"/>
          <w:bCs/>
          <w:sz w:val="20"/>
          <w:szCs w:val="20"/>
        </w:rPr>
        <w:t>ai</w:t>
      </w:r>
      <w:r w:rsidRPr="00510ADD">
        <w:rPr>
          <w:rFonts w:cs="Arial"/>
          <w:bCs/>
          <w:sz w:val="20"/>
          <w:szCs w:val="20"/>
        </w:rPr>
        <w:t xml:space="preserve"> vykd</w:t>
      </w:r>
      <w:r w:rsidR="00AA2EE0">
        <w:rPr>
          <w:rFonts w:cs="Arial"/>
          <w:bCs/>
          <w:sz w:val="20"/>
          <w:szCs w:val="20"/>
        </w:rPr>
        <w:t>omi ir visoje Petrašiūnų elektrinės teritorijoje įskaitant kitus pastatus</w:t>
      </w:r>
      <w:r w:rsidRPr="00510ADD">
        <w:rPr>
          <w:rFonts w:cs="Arial"/>
          <w:bCs/>
          <w:sz w:val="20"/>
          <w:szCs w:val="20"/>
        </w:rPr>
        <w:t>.</w:t>
      </w:r>
    </w:p>
    <w:p w14:paraId="20334314" w14:textId="77777777" w:rsidR="00510ADD" w:rsidRPr="00510ADD" w:rsidRDefault="00510ADD" w:rsidP="00510ADD">
      <w:pPr>
        <w:pStyle w:val="ListParagraph"/>
        <w:numPr>
          <w:ilvl w:val="1"/>
          <w:numId w:val="3"/>
        </w:numPr>
        <w:spacing w:before="60" w:after="60"/>
        <w:jc w:val="both"/>
        <w:rPr>
          <w:rFonts w:cs="Arial"/>
          <w:bCs/>
          <w:sz w:val="20"/>
          <w:szCs w:val="20"/>
        </w:rPr>
      </w:pPr>
      <w:r w:rsidRPr="00510ADD">
        <w:rPr>
          <w:rFonts w:cs="Arial"/>
          <w:bCs/>
          <w:sz w:val="20"/>
          <w:szCs w:val="20"/>
        </w:rPr>
        <w:t>Darbų metu bus demontuojami:</w:t>
      </w:r>
    </w:p>
    <w:p w14:paraId="69A10911" w14:textId="1595DD25"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Vamzdynai ≤DN</w:t>
      </w:r>
      <w:r w:rsidR="008E01DC">
        <w:rPr>
          <w:rFonts w:cs="Arial"/>
          <w:bCs/>
          <w:sz w:val="20"/>
          <w:szCs w:val="20"/>
        </w:rPr>
        <w:t>7</w:t>
      </w:r>
      <w:r w:rsidRPr="00510ADD">
        <w:rPr>
          <w:rFonts w:cs="Arial"/>
          <w:bCs/>
          <w:sz w:val="20"/>
          <w:szCs w:val="20"/>
        </w:rPr>
        <w:t>00;</w:t>
      </w:r>
    </w:p>
    <w:p w14:paraId="61E5B0DC" w14:textId="77777777"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siurbliai ir elektros varikliai;</w:t>
      </w:r>
    </w:p>
    <w:p w14:paraId="43BEC00A" w14:textId="77777777"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uždaromosios armatūros kartu su elektrinėmis pavaromis;</w:t>
      </w:r>
    </w:p>
    <w:p w14:paraId="07DA0A7D" w14:textId="77777777"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talpos;</w:t>
      </w:r>
    </w:p>
    <w:p w14:paraId="52D1227E" w14:textId="77777777"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atraminės konstrukcijos;</w:t>
      </w:r>
    </w:p>
    <w:p w14:paraId="3C2527BF" w14:textId="77777777"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aptarnavimo aikštelės;</w:t>
      </w:r>
    </w:p>
    <w:p w14:paraId="78729A68" w14:textId="3B072FAC"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kabeliai ir kabelinės konstrukcijos (nuo atjungtų įrenginių iki maitinimo ar valdymo spint</w:t>
      </w:r>
      <w:r w:rsidR="00AA2EE0">
        <w:rPr>
          <w:rFonts w:cs="Arial"/>
          <w:bCs/>
          <w:sz w:val="20"/>
          <w:szCs w:val="20"/>
        </w:rPr>
        <w:t>ų</w:t>
      </w:r>
      <w:r w:rsidRPr="00510ADD">
        <w:rPr>
          <w:rFonts w:cs="Arial"/>
          <w:bCs/>
          <w:sz w:val="20"/>
          <w:szCs w:val="20"/>
        </w:rPr>
        <w:t>);</w:t>
      </w:r>
    </w:p>
    <w:p w14:paraId="5F9A87AF" w14:textId="7AFB44EC"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valdymo ir elektros spintos</w:t>
      </w:r>
      <w:r w:rsidR="00AA2EE0">
        <w:rPr>
          <w:rFonts w:cs="Arial"/>
          <w:bCs/>
          <w:sz w:val="20"/>
          <w:szCs w:val="20"/>
        </w:rPr>
        <w:t>, išrenkant vidinius elektrinius prietaisus iš jų</w:t>
      </w:r>
      <w:r w:rsidRPr="00510ADD">
        <w:rPr>
          <w:rFonts w:cs="Arial"/>
          <w:bCs/>
          <w:sz w:val="20"/>
          <w:szCs w:val="20"/>
        </w:rPr>
        <w:t>;</w:t>
      </w:r>
    </w:p>
    <w:p w14:paraId="465420D0" w14:textId="77777777" w:rsidR="00510ADD" w:rsidRPr="00510ADD" w:rsidRDefault="00510ADD" w:rsidP="00510ADD">
      <w:pPr>
        <w:pStyle w:val="ListParagraph"/>
        <w:numPr>
          <w:ilvl w:val="2"/>
          <w:numId w:val="3"/>
        </w:numPr>
        <w:spacing w:before="60" w:after="60"/>
        <w:jc w:val="both"/>
        <w:rPr>
          <w:rFonts w:cs="Arial"/>
          <w:bCs/>
          <w:sz w:val="20"/>
          <w:szCs w:val="20"/>
        </w:rPr>
      </w:pPr>
      <w:r w:rsidRPr="00510ADD">
        <w:rPr>
          <w:rFonts w:cs="Arial"/>
          <w:bCs/>
          <w:sz w:val="20"/>
          <w:szCs w:val="20"/>
        </w:rPr>
        <w:t>ir kiti Perkančiojo subjekto nurodyti įrenginiai, vamzdynai ir kitos plieninės konstrukcijos.</w:t>
      </w:r>
    </w:p>
    <w:p w14:paraId="247B960B" w14:textId="31328995" w:rsidR="00510ADD" w:rsidRPr="00510ADD" w:rsidRDefault="00510ADD" w:rsidP="00510ADD">
      <w:pPr>
        <w:pStyle w:val="ListParagraph"/>
        <w:numPr>
          <w:ilvl w:val="1"/>
          <w:numId w:val="3"/>
        </w:numPr>
        <w:spacing w:before="60" w:after="60"/>
        <w:jc w:val="both"/>
        <w:rPr>
          <w:rFonts w:cs="Arial"/>
          <w:bCs/>
          <w:sz w:val="20"/>
          <w:szCs w:val="20"/>
        </w:rPr>
      </w:pPr>
      <w:r w:rsidRPr="00510ADD">
        <w:rPr>
          <w:rFonts w:cs="Arial"/>
          <w:bCs/>
          <w:sz w:val="20"/>
          <w:szCs w:val="20"/>
        </w:rPr>
        <w:t xml:space="preserve">Darbai bus vykdomi </w:t>
      </w:r>
      <w:r w:rsidR="008E01DC">
        <w:rPr>
          <w:rFonts w:cs="Arial"/>
          <w:bCs/>
          <w:sz w:val="20"/>
          <w:szCs w:val="20"/>
        </w:rPr>
        <w:t>≤7 m aukštyje</w:t>
      </w:r>
      <w:r w:rsidRPr="00510ADD">
        <w:rPr>
          <w:rFonts w:cs="Arial"/>
          <w:bCs/>
          <w:sz w:val="20"/>
          <w:szCs w:val="20"/>
        </w:rPr>
        <w:t>.</w:t>
      </w:r>
    </w:p>
    <w:p w14:paraId="3AA11931" w14:textId="2DBE5017" w:rsidR="00960398" w:rsidRDefault="00960398" w:rsidP="00510ADD">
      <w:pPr>
        <w:pStyle w:val="ListParagraph"/>
        <w:numPr>
          <w:ilvl w:val="1"/>
          <w:numId w:val="3"/>
        </w:numPr>
        <w:spacing w:before="60" w:after="60"/>
        <w:jc w:val="both"/>
        <w:rPr>
          <w:rFonts w:cs="Arial"/>
          <w:bCs/>
          <w:sz w:val="20"/>
          <w:szCs w:val="20"/>
        </w:rPr>
      </w:pPr>
      <w:r>
        <w:rPr>
          <w:rFonts w:cs="Arial"/>
          <w:bCs/>
          <w:sz w:val="20"/>
          <w:szCs w:val="20"/>
        </w:rPr>
        <w:t>Prieš atliekant vamzdynų ir įrangos demontavimo darbus turi būti atliktas elektros kabelių demontavimas;</w:t>
      </w:r>
    </w:p>
    <w:p w14:paraId="09F96E82" w14:textId="50315F58" w:rsidR="00374639" w:rsidRDefault="00374639" w:rsidP="00374639">
      <w:pPr>
        <w:pStyle w:val="ListParagraph"/>
        <w:numPr>
          <w:ilvl w:val="2"/>
          <w:numId w:val="3"/>
        </w:numPr>
        <w:spacing w:before="60" w:after="60"/>
        <w:jc w:val="both"/>
        <w:rPr>
          <w:rFonts w:cs="Arial"/>
          <w:bCs/>
          <w:sz w:val="20"/>
          <w:szCs w:val="20"/>
        </w:rPr>
      </w:pPr>
      <w:r>
        <w:rPr>
          <w:rFonts w:cs="Arial"/>
          <w:bCs/>
          <w:sz w:val="20"/>
          <w:szCs w:val="20"/>
        </w:rPr>
        <w:t>Demontuojami Perkančiojo subjekto nurodyti kabeliai</w:t>
      </w:r>
      <w:r w:rsidR="0031054E">
        <w:rPr>
          <w:rFonts w:cs="Arial"/>
          <w:bCs/>
          <w:sz w:val="20"/>
          <w:szCs w:val="20"/>
        </w:rPr>
        <w:t>;</w:t>
      </w:r>
    </w:p>
    <w:p w14:paraId="1C1FCFE6" w14:textId="362B3803" w:rsidR="0031054E" w:rsidRDefault="0031054E" w:rsidP="00374639">
      <w:pPr>
        <w:pStyle w:val="ListParagraph"/>
        <w:numPr>
          <w:ilvl w:val="2"/>
          <w:numId w:val="3"/>
        </w:numPr>
        <w:spacing w:before="60" w:after="60"/>
        <w:jc w:val="both"/>
        <w:rPr>
          <w:rFonts w:cs="Arial"/>
          <w:bCs/>
          <w:sz w:val="20"/>
          <w:szCs w:val="20"/>
        </w:rPr>
      </w:pPr>
      <w:r>
        <w:rPr>
          <w:rFonts w:cs="Arial"/>
          <w:bCs/>
          <w:sz w:val="20"/>
          <w:szCs w:val="20"/>
        </w:rPr>
        <w:t>Perkantysis subjektas atsakingas už elektros įrenginių atjungimą, o Tiekėjas atsakingas įsitikinti, kad kabeliai atjungti tinkamai.</w:t>
      </w:r>
    </w:p>
    <w:p w14:paraId="3437EC9A" w14:textId="7500CC0E" w:rsidR="00510ADD" w:rsidRPr="00510ADD" w:rsidRDefault="00510ADD" w:rsidP="00510ADD">
      <w:pPr>
        <w:pStyle w:val="ListParagraph"/>
        <w:numPr>
          <w:ilvl w:val="1"/>
          <w:numId w:val="3"/>
        </w:numPr>
        <w:spacing w:before="60" w:after="60"/>
        <w:jc w:val="both"/>
        <w:rPr>
          <w:rFonts w:cs="Arial"/>
          <w:bCs/>
          <w:sz w:val="20"/>
          <w:szCs w:val="20"/>
        </w:rPr>
      </w:pPr>
      <w:r w:rsidRPr="00510ADD">
        <w:rPr>
          <w:rFonts w:cs="Arial"/>
          <w:bCs/>
          <w:sz w:val="20"/>
          <w:szCs w:val="20"/>
        </w:rPr>
        <w:t>Tiekėjas demontavimo darbus privalo vykdyti iš anksto suderinęs jų apimtis su perkančiuoju subjektu bei vadovaujantis loginiu nuoseklumu (pvz. demontavus vamzdyną nuoseklumo tvarka demontuojamos ir atraminės konstrukcijos, jei vamzdynas išeina iš darbų vykdymo zonos, jis demontuojamas iki kolektoriaus arba sienos ar perdangos).</w:t>
      </w:r>
    </w:p>
    <w:p w14:paraId="607CAA28" w14:textId="17918558" w:rsidR="00510ADD" w:rsidRDefault="00866197" w:rsidP="00510ADD">
      <w:pPr>
        <w:pStyle w:val="ListParagraph"/>
        <w:numPr>
          <w:ilvl w:val="1"/>
          <w:numId w:val="3"/>
        </w:numPr>
        <w:spacing w:before="60" w:after="60"/>
        <w:jc w:val="both"/>
        <w:rPr>
          <w:rFonts w:cs="Arial"/>
          <w:bCs/>
          <w:sz w:val="20"/>
          <w:szCs w:val="20"/>
        </w:rPr>
      </w:pPr>
      <w:r>
        <w:rPr>
          <w:rFonts w:cs="Arial"/>
          <w:bCs/>
          <w:sz w:val="20"/>
          <w:szCs w:val="20"/>
        </w:rPr>
        <w:t>N</w:t>
      </w:r>
      <w:r w:rsidR="00510ADD" w:rsidRPr="00510ADD">
        <w:rPr>
          <w:rFonts w:cs="Arial"/>
          <w:bCs/>
          <w:sz w:val="20"/>
          <w:szCs w:val="20"/>
        </w:rPr>
        <w:t>umatomi preliminarūs darbų kiekiai</w:t>
      </w:r>
      <w:r w:rsidR="00AA4A18">
        <w:rPr>
          <w:rFonts w:cs="Arial"/>
          <w:bCs/>
          <w:sz w:val="20"/>
          <w:szCs w:val="20"/>
        </w:rPr>
        <w:t>,</w:t>
      </w:r>
      <w:r w:rsidR="000C7336">
        <w:rPr>
          <w:rFonts w:cs="Arial"/>
          <w:bCs/>
          <w:sz w:val="20"/>
          <w:szCs w:val="20"/>
        </w:rPr>
        <w:t xml:space="preserve"> </w:t>
      </w:r>
      <w:r w:rsidR="00510ADD" w:rsidRPr="00510ADD">
        <w:rPr>
          <w:rFonts w:cs="Arial"/>
          <w:bCs/>
          <w:sz w:val="20"/>
          <w:szCs w:val="20"/>
        </w:rPr>
        <w:t>pagal kurių įkainius atsiskaitoma už atliktus darbus, pateikiami Lentelėje Nr.1:</w:t>
      </w:r>
    </w:p>
    <w:p w14:paraId="03EFBB79" w14:textId="6BDA4D6D" w:rsidR="00800667" w:rsidRPr="00AA4A18" w:rsidRDefault="00800667" w:rsidP="00800667">
      <w:pPr>
        <w:pStyle w:val="ListParagraph"/>
        <w:spacing w:before="60" w:after="60"/>
        <w:ind w:left="567" w:firstLine="0"/>
        <w:jc w:val="right"/>
        <w:rPr>
          <w:rFonts w:cs="Arial"/>
          <w:b/>
          <w:sz w:val="20"/>
          <w:szCs w:val="20"/>
        </w:rPr>
      </w:pPr>
      <w:r w:rsidRPr="00AA4A18">
        <w:rPr>
          <w:rFonts w:cs="Arial"/>
          <w:b/>
          <w:sz w:val="20"/>
          <w:szCs w:val="20"/>
        </w:rPr>
        <w:t>Lentelė Nr. 1</w:t>
      </w:r>
    </w:p>
    <w:tbl>
      <w:tblPr>
        <w:tblStyle w:val="TableGrid2"/>
        <w:tblW w:w="9072" w:type="dxa"/>
        <w:tblInd w:w="562" w:type="dxa"/>
        <w:tblLook w:val="04A0" w:firstRow="1" w:lastRow="0" w:firstColumn="1" w:lastColumn="0" w:noHBand="0" w:noVBand="1"/>
      </w:tblPr>
      <w:tblGrid>
        <w:gridCol w:w="626"/>
        <w:gridCol w:w="5044"/>
        <w:gridCol w:w="3402"/>
      </w:tblGrid>
      <w:tr w:rsidR="00510ADD" w:rsidRPr="00510ADD" w14:paraId="715CB4F1" w14:textId="77777777" w:rsidTr="00800667">
        <w:trPr>
          <w:trHeight w:val="516"/>
        </w:trPr>
        <w:tc>
          <w:tcPr>
            <w:tcW w:w="626" w:type="dxa"/>
            <w:vAlign w:val="center"/>
          </w:tcPr>
          <w:p w14:paraId="4BAFBA1B" w14:textId="77777777" w:rsidR="00510ADD" w:rsidRPr="00510ADD" w:rsidRDefault="00510ADD" w:rsidP="00510ADD">
            <w:pPr>
              <w:tabs>
                <w:tab w:val="left" w:pos="0"/>
                <w:tab w:val="left" w:pos="851"/>
              </w:tabs>
              <w:suppressAutoHyphens/>
              <w:spacing w:line="276" w:lineRule="auto"/>
              <w:ind w:firstLine="0"/>
              <w:contextualSpacing/>
              <w:jc w:val="center"/>
              <w:rPr>
                <w:rFonts w:cs="Arial"/>
                <w:b/>
                <w:bCs/>
                <w:noProof/>
                <w:sz w:val="20"/>
                <w:szCs w:val="20"/>
              </w:rPr>
            </w:pPr>
            <w:r w:rsidRPr="00510ADD">
              <w:rPr>
                <w:rFonts w:cs="Arial"/>
                <w:b/>
                <w:bCs/>
                <w:noProof/>
                <w:sz w:val="20"/>
                <w:szCs w:val="20"/>
              </w:rPr>
              <w:t>Eil. Nr.</w:t>
            </w:r>
          </w:p>
        </w:tc>
        <w:tc>
          <w:tcPr>
            <w:tcW w:w="5044" w:type="dxa"/>
            <w:vAlign w:val="center"/>
          </w:tcPr>
          <w:p w14:paraId="2F8375C7" w14:textId="77777777" w:rsidR="00510ADD" w:rsidRPr="00510ADD" w:rsidRDefault="00510ADD" w:rsidP="00510ADD">
            <w:pPr>
              <w:tabs>
                <w:tab w:val="left" w:pos="0"/>
                <w:tab w:val="left" w:pos="851"/>
              </w:tabs>
              <w:suppressAutoHyphens/>
              <w:spacing w:line="276" w:lineRule="auto"/>
              <w:ind w:firstLine="0"/>
              <w:contextualSpacing/>
              <w:jc w:val="center"/>
              <w:rPr>
                <w:rFonts w:cs="Arial"/>
                <w:b/>
                <w:bCs/>
                <w:noProof/>
                <w:sz w:val="20"/>
                <w:szCs w:val="20"/>
              </w:rPr>
            </w:pPr>
            <w:r w:rsidRPr="00510ADD">
              <w:rPr>
                <w:rFonts w:cs="Arial"/>
                <w:b/>
                <w:bCs/>
                <w:noProof/>
                <w:sz w:val="20"/>
                <w:szCs w:val="20"/>
              </w:rPr>
              <w:t>Darbų kiekiai</w:t>
            </w:r>
          </w:p>
        </w:tc>
        <w:tc>
          <w:tcPr>
            <w:tcW w:w="3402" w:type="dxa"/>
            <w:vAlign w:val="center"/>
          </w:tcPr>
          <w:p w14:paraId="614A1035" w14:textId="469B89A5" w:rsidR="00510ADD" w:rsidRPr="00510ADD" w:rsidRDefault="00017F26" w:rsidP="00510ADD">
            <w:pPr>
              <w:tabs>
                <w:tab w:val="left" w:pos="0"/>
                <w:tab w:val="left" w:pos="851"/>
              </w:tabs>
              <w:suppressAutoHyphens/>
              <w:spacing w:line="276" w:lineRule="auto"/>
              <w:ind w:firstLine="0"/>
              <w:contextualSpacing/>
              <w:jc w:val="center"/>
              <w:rPr>
                <w:rFonts w:cs="Arial"/>
                <w:b/>
                <w:bCs/>
                <w:noProof/>
                <w:sz w:val="20"/>
                <w:szCs w:val="20"/>
              </w:rPr>
            </w:pPr>
            <w:r>
              <w:rPr>
                <w:rFonts w:cs="Arial"/>
                <w:b/>
                <w:bCs/>
                <w:noProof/>
                <w:sz w:val="20"/>
                <w:szCs w:val="20"/>
              </w:rPr>
              <w:t>Preliminarus s</w:t>
            </w:r>
            <w:r w:rsidR="00510ADD" w:rsidRPr="00510ADD">
              <w:rPr>
                <w:rFonts w:cs="Arial"/>
                <w:b/>
                <w:bCs/>
                <w:noProof/>
                <w:sz w:val="20"/>
                <w:szCs w:val="20"/>
              </w:rPr>
              <w:t>usidariusių atliekų kiekis, t</w:t>
            </w:r>
            <w:r>
              <w:rPr>
                <w:rFonts w:cs="Arial"/>
                <w:b/>
                <w:bCs/>
                <w:noProof/>
                <w:sz w:val="20"/>
                <w:szCs w:val="20"/>
              </w:rPr>
              <w:t xml:space="preserve"> (Su</w:t>
            </w:r>
            <w:r w:rsidR="00367110">
              <w:rPr>
                <w:rFonts w:cs="Arial"/>
                <w:b/>
                <w:bCs/>
                <w:noProof/>
                <w:sz w:val="20"/>
                <w:szCs w:val="20"/>
              </w:rPr>
              <w:t>tarties galiojimo laikotarpiu</w:t>
            </w:r>
            <w:r w:rsidR="00AF0A0B">
              <w:rPr>
                <w:rFonts w:cs="Arial"/>
                <w:b/>
                <w:bCs/>
                <w:noProof/>
                <w:sz w:val="20"/>
                <w:szCs w:val="20"/>
              </w:rPr>
              <w:t>)</w:t>
            </w:r>
          </w:p>
        </w:tc>
      </w:tr>
      <w:tr w:rsidR="00510ADD" w:rsidRPr="00510ADD" w14:paraId="7B5E3D7C" w14:textId="77777777" w:rsidTr="00800667">
        <w:trPr>
          <w:trHeight w:val="251"/>
        </w:trPr>
        <w:tc>
          <w:tcPr>
            <w:tcW w:w="626" w:type="dxa"/>
            <w:vAlign w:val="center"/>
          </w:tcPr>
          <w:p w14:paraId="0C966CC7" w14:textId="77777777" w:rsidR="00510ADD" w:rsidRPr="00510ADD" w:rsidRDefault="00510ADD" w:rsidP="00510ADD">
            <w:pPr>
              <w:tabs>
                <w:tab w:val="left" w:pos="0"/>
                <w:tab w:val="left" w:pos="851"/>
              </w:tabs>
              <w:suppressAutoHyphens/>
              <w:spacing w:line="276" w:lineRule="auto"/>
              <w:ind w:firstLine="0"/>
              <w:contextualSpacing/>
              <w:jc w:val="center"/>
              <w:rPr>
                <w:rFonts w:cs="Arial"/>
                <w:noProof/>
                <w:sz w:val="20"/>
                <w:szCs w:val="20"/>
              </w:rPr>
            </w:pPr>
            <w:r w:rsidRPr="00510ADD">
              <w:rPr>
                <w:rFonts w:cs="Arial"/>
                <w:noProof/>
                <w:sz w:val="20"/>
                <w:szCs w:val="20"/>
              </w:rPr>
              <w:t>1.</w:t>
            </w:r>
          </w:p>
        </w:tc>
        <w:tc>
          <w:tcPr>
            <w:tcW w:w="5044" w:type="dxa"/>
            <w:vAlign w:val="center"/>
          </w:tcPr>
          <w:p w14:paraId="01D7BF13" w14:textId="77777777" w:rsidR="00510ADD" w:rsidRPr="00510ADD" w:rsidRDefault="00510ADD" w:rsidP="00AA4A18">
            <w:pPr>
              <w:tabs>
                <w:tab w:val="left" w:pos="0"/>
                <w:tab w:val="left" w:pos="851"/>
              </w:tabs>
              <w:suppressAutoHyphens/>
              <w:spacing w:line="276" w:lineRule="auto"/>
              <w:ind w:firstLine="0"/>
              <w:contextualSpacing/>
              <w:jc w:val="both"/>
              <w:rPr>
                <w:rFonts w:cs="Arial"/>
                <w:noProof/>
                <w:sz w:val="20"/>
                <w:szCs w:val="20"/>
              </w:rPr>
            </w:pPr>
            <w:r w:rsidRPr="00510ADD">
              <w:rPr>
                <w:rFonts w:cs="Arial"/>
                <w:noProof/>
                <w:sz w:val="20"/>
                <w:szCs w:val="20"/>
              </w:rPr>
              <w:t>Metalo laužo demontavimas ir pristatymas į Perkančiojo subjekto nurodytą metalo laužo sandėliavimo vietą Petrašiūnų elektrinės teritorijoje</w:t>
            </w:r>
          </w:p>
        </w:tc>
        <w:tc>
          <w:tcPr>
            <w:tcW w:w="3402" w:type="dxa"/>
            <w:vAlign w:val="center"/>
          </w:tcPr>
          <w:p w14:paraId="4CC9F8E5" w14:textId="74A6915E" w:rsidR="00510ADD" w:rsidRPr="00510ADD" w:rsidRDefault="002C1089" w:rsidP="00510ADD">
            <w:pPr>
              <w:tabs>
                <w:tab w:val="left" w:pos="0"/>
                <w:tab w:val="left" w:pos="851"/>
              </w:tabs>
              <w:suppressAutoHyphens/>
              <w:spacing w:line="276" w:lineRule="auto"/>
              <w:ind w:firstLine="0"/>
              <w:contextualSpacing/>
              <w:jc w:val="center"/>
              <w:rPr>
                <w:rFonts w:cs="Arial"/>
                <w:noProof/>
                <w:sz w:val="20"/>
                <w:szCs w:val="20"/>
              </w:rPr>
            </w:pPr>
            <w:r>
              <w:rPr>
                <w:rFonts w:cs="Arial"/>
                <w:noProof/>
                <w:sz w:val="20"/>
                <w:szCs w:val="20"/>
              </w:rPr>
              <w:t>387</w:t>
            </w:r>
          </w:p>
        </w:tc>
      </w:tr>
      <w:tr w:rsidR="00510ADD" w:rsidRPr="00510ADD" w14:paraId="628D9710" w14:textId="77777777" w:rsidTr="00800667">
        <w:trPr>
          <w:trHeight w:val="251"/>
        </w:trPr>
        <w:tc>
          <w:tcPr>
            <w:tcW w:w="626" w:type="dxa"/>
            <w:vAlign w:val="center"/>
          </w:tcPr>
          <w:p w14:paraId="6969BC26" w14:textId="77777777" w:rsidR="00510ADD" w:rsidRPr="00510ADD" w:rsidRDefault="00510ADD" w:rsidP="00510ADD">
            <w:pPr>
              <w:tabs>
                <w:tab w:val="left" w:pos="0"/>
                <w:tab w:val="left" w:pos="851"/>
              </w:tabs>
              <w:suppressAutoHyphens/>
              <w:spacing w:line="276" w:lineRule="auto"/>
              <w:ind w:firstLine="0"/>
              <w:contextualSpacing/>
              <w:jc w:val="center"/>
              <w:rPr>
                <w:rFonts w:cs="Arial"/>
                <w:noProof/>
                <w:sz w:val="20"/>
                <w:szCs w:val="20"/>
              </w:rPr>
            </w:pPr>
            <w:r w:rsidRPr="00510ADD">
              <w:rPr>
                <w:rFonts w:cs="Arial"/>
                <w:noProof/>
                <w:sz w:val="20"/>
                <w:szCs w:val="20"/>
              </w:rPr>
              <w:t>2.</w:t>
            </w:r>
          </w:p>
        </w:tc>
        <w:tc>
          <w:tcPr>
            <w:tcW w:w="5044" w:type="dxa"/>
            <w:vAlign w:val="center"/>
          </w:tcPr>
          <w:p w14:paraId="1863F29F" w14:textId="3E8F2F9E" w:rsidR="00510ADD" w:rsidRPr="00510ADD" w:rsidRDefault="00510ADD" w:rsidP="00AA4A18">
            <w:pPr>
              <w:tabs>
                <w:tab w:val="left" w:pos="0"/>
                <w:tab w:val="left" w:pos="851"/>
              </w:tabs>
              <w:suppressAutoHyphens/>
              <w:spacing w:line="276" w:lineRule="auto"/>
              <w:ind w:firstLine="0"/>
              <w:contextualSpacing/>
              <w:jc w:val="both"/>
              <w:rPr>
                <w:rFonts w:cs="Arial"/>
                <w:noProof/>
                <w:sz w:val="20"/>
                <w:szCs w:val="20"/>
              </w:rPr>
            </w:pPr>
            <w:r w:rsidRPr="00510ADD">
              <w:rPr>
                <w:rFonts w:cs="Arial"/>
                <w:noProof/>
                <w:sz w:val="20"/>
                <w:szCs w:val="20"/>
              </w:rPr>
              <w:t>Šiluminės izoliacijos ardymas nuo vamzdynų</w:t>
            </w:r>
            <w:r w:rsidR="000550E7">
              <w:rPr>
                <w:rFonts w:cs="Arial"/>
                <w:noProof/>
                <w:sz w:val="20"/>
                <w:szCs w:val="20"/>
              </w:rPr>
              <w:t xml:space="preserve"> </w:t>
            </w:r>
            <w:r w:rsidRPr="00510ADD">
              <w:rPr>
                <w:rFonts w:cs="Arial"/>
                <w:noProof/>
                <w:sz w:val="20"/>
                <w:szCs w:val="20"/>
              </w:rPr>
              <w:t>ir utilizavimas išvežant iš Petrašiūnų elektrinės teritorijos</w:t>
            </w:r>
          </w:p>
        </w:tc>
        <w:tc>
          <w:tcPr>
            <w:tcW w:w="3402" w:type="dxa"/>
            <w:vAlign w:val="center"/>
          </w:tcPr>
          <w:p w14:paraId="4D5F780E" w14:textId="17395643" w:rsidR="00510ADD" w:rsidRPr="00510ADD" w:rsidRDefault="002C1089" w:rsidP="00510ADD">
            <w:pPr>
              <w:tabs>
                <w:tab w:val="left" w:pos="0"/>
                <w:tab w:val="left" w:pos="851"/>
              </w:tabs>
              <w:suppressAutoHyphens/>
              <w:spacing w:line="276" w:lineRule="auto"/>
              <w:ind w:firstLine="0"/>
              <w:contextualSpacing/>
              <w:jc w:val="center"/>
              <w:rPr>
                <w:rFonts w:cs="Arial"/>
                <w:noProof/>
                <w:sz w:val="20"/>
                <w:szCs w:val="20"/>
              </w:rPr>
            </w:pPr>
            <w:r>
              <w:rPr>
                <w:rFonts w:cs="Arial"/>
                <w:noProof/>
                <w:sz w:val="20"/>
                <w:szCs w:val="20"/>
              </w:rPr>
              <w:t>50</w:t>
            </w:r>
          </w:p>
        </w:tc>
      </w:tr>
      <w:tr w:rsidR="000550E7" w:rsidRPr="00510ADD" w14:paraId="6032017A" w14:textId="77777777" w:rsidTr="00800667">
        <w:trPr>
          <w:trHeight w:val="251"/>
        </w:trPr>
        <w:tc>
          <w:tcPr>
            <w:tcW w:w="626" w:type="dxa"/>
            <w:vAlign w:val="center"/>
          </w:tcPr>
          <w:p w14:paraId="7D75A10D" w14:textId="38A4C1D5" w:rsidR="000550E7" w:rsidRPr="00510ADD" w:rsidRDefault="000550E7" w:rsidP="000550E7">
            <w:pPr>
              <w:tabs>
                <w:tab w:val="left" w:pos="0"/>
                <w:tab w:val="left" w:pos="851"/>
              </w:tabs>
              <w:suppressAutoHyphens/>
              <w:spacing w:line="276" w:lineRule="auto"/>
              <w:ind w:firstLine="0"/>
              <w:contextualSpacing/>
              <w:jc w:val="center"/>
              <w:rPr>
                <w:rFonts w:cs="Arial"/>
                <w:noProof/>
                <w:sz w:val="20"/>
                <w:szCs w:val="20"/>
              </w:rPr>
            </w:pPr>
            <w:r>
              <w:rPr>
                <w:rFonts w:cs="Arial"/>
                <w:noProof/>
                <w:sz w:val="20"/>
                <w:szCs w:val="20"/>
              </w:rPr>
              <w:t>3</w:t>
            </w:r>
            <w:r w:rsidRPr="00510ADD">
              <w:rPr>
                <w:rFonts w:cs="Arial"/>
                <w:noProof/>
                <w:sz w:val="20"/>
                <w:szCs w:val="20"/>
              </w:rPr>
              <w:t>.</w:t>
            </w:r>
          </w:p>
        </w:tc>
        <w:tc>
          <w:tcPr>
            <w:tcW w:w="5044" w:type="dxa"/>
            <w:vAlign w:val="center"/>
          </w:tcPr>
          <w:p w14:paraId="24B06776" w14:textId="410E3995" w:rsidR="000550E7" w:rsidRPr="00510ADD" w:rsidRDefault="000550E7" w:rsidP="00AA4A18">
            <w:pPr>
              <w:tabs>
                <w:tab w:val="left" w:pos="0"/>
                <w:tab w:val="left" w:pos="851"/>
              </w:tabs>
              <w:suppressAutoHyphens/>
              <w:spacing w:line="276" w:lineRule="auto"/>
              <w:ind w:firstLine="0"/>
              <w:contextualSpacing/>
              <w:jc w:val="both"/>
              <w:rPr>
                <w:rFonts w:cs="Arial"/>
                <w:noProof/>
                <w:sz w:val="20"/>
                <w:szCs w:val="20"/>
              </w:rPr>
            </w:pPr>
            <w:r w:rsidRPr="00510ADD">
              <w:rPr>
                <w:rFonts w:cs="Arial"/>
                <w:noProof/>
                <w:sz w:val="20"/>
                <w:szCs w:val="20"/>
              </w:rPr>
              <w:t>Šiluminės izoliacijos ardymas nuo vamzdynų</w:t>
            </w:r>
            <w:r>
              <w:rPr>
                <w:rFonts w:cs="Arial"/>
                <w:noProof/>
                <w:sz w:val="20"/>
                <w:szCs w:val="20"/>
              </w:rPr>
              <w:t xml:space="preserve"> (izoliacijoje gali būti asbesto)</w:t>
            </w:r>
            <w:r w:rsidRPr="00510ADD">
              <w:rPr>
                <w:rFonts w:cs="Arial"/>
                <w:noProof/>
                <w:sz w:val="20"/>
                <w:szCs w:val="20"/>
              </w:rPr>
              <w:t xml:space="preserve"> ir utilizavimas išvežant iš Petrašiūnų elektrinės teritorijos</w:t>
            </w:r>
            <w:r w:rsidR="00664344">
              <w:rPr>
                <w:rFonts w:cs="Arial"/>
                <w:noProof/>
                <w:sz w:val="20"/>
                <w:szCs w:val="20"/>
              </w:rPr>
              <w:t xml:space="preserve">, elektros kabelių (alyviniai ir kt.) demontavimas ir </w:t>
            </w:r>
            <w:r w:rsidR="00664344" w:rsidRPr="00510ADD">
              <w:rPr>
                <w:rFonts w:cs="Arial"/>
                <w:noProof/>
                <w:sz w:val="20"/>
                <w:szCs w:val="20"/>
              </w:rPr>
              <w:t>utilizavimas išvežant iš Petrašiūnų elektrinės teritorijos</w:t>
            </w:r>
            <w:r w:rsidR="00664344">
              <w:rPr>
                <w:rFonts w:cs="Arial"/>
                <w:noProof/>
                <w:sz w:val="20"/>
                <w:szCs w:val="20"/>
              </w:rPr>
              <w:t xml:space="preserve">, elektros prietaisų </w:t>
            </w:r>
            <w:r w:rsidR="00664344">
              <w:rPr>
                <w:rFonts w:cs="Arial"/>
                <w:noProof/>
                <w:sz w:val="20"/>
                <w:szCs w:val="20"/>
              </w:rPr>
              <w:lastRenderedPageBreak/>
              <w:t xml:space="preserve">demontavimas ir </w:t>
            </w:r>
            <w:r w:rsidR="00664344" w:rsidRPr="00510ADD">
              <w:rPr>
                <w:rFonts w:cs="Arial"/>
                <w:noProof/>
                <w:sz w:val="20"/>
                <w:szCs w:val="20"/>
              </w:rPr>
              <w:t>utilizavimas išvežant iš Petrašiūnų elektrinės teritorijos</w:t>
            </w:r>
          </w:p>
        </w:tc>
        <w:tc>
          <w:tcPr>
            <w:tcW w:w="3402" w:type="dxa"/>
            <w:vAlign w:val="center"/>
          </w:tcPr>
          <w:p w14:paraId="1E7DEE77" w14:textId="1303557C" w:rsidR="000550E7" w:rsidRPr="00510ADD" w:rsidRDefault="002C1089" w:rsidP="000550E7">
            <w:pPr>
              <w:tabs>
                <w:tab w:val="left" w:pos="0"/>
                <w:tab w:val="left" w:pos="851"/>
              </w:tabs>
              <w:suppressAutoHyphens/>
              <w:spacing w:line="276" w:lineRule="auto"/>
              <w:ind w:firstLine="0"/>
              <w:contextualSpacing/>
              <w:jc w:val="center"/>
              <w:rPr>
                <w:rFonts w:cs="Arial"/>
                <w:noProof/>
                <w:sz w:val="20"/>
                <w:szCs w:val="20"/>
              </w:rPr>
            </w:pPr>
            <w:r>
              <w:rPr>
                <w:rFonts w:cs="Arial"/>
                <w:noProof/>
                <w:sz w:val="20"/>
                <w:szCs w:val="20"/>
              </w:rPr>
              <w:lastRenderedPageBreak/>
              <w:t>20</w:t>
            </w:r>
          </w:p>
        </w:tc>
      </w:tr>
    </w:tbl>
    <w:p w14:paraId="5E01F80F" w14:textId="77777777" w:rsidR="00510ADD" w:rsidRPr="00510ADD" w:rsidRDefault="00510ADD" w:rsidP="00510ADD">
      <w:pPr>
        <w:spacing w:before="60" w:after="60"/>
        <w:jc w:val="both"/>
        <w:rPr>
          <w:rFonts w:cs="Arial"/>
          <w:bCs/>
          <w:sz w:val="20"/>
          <w:szCs w:val="20"/>
        </w:rPr>
      </w:pPr>
    </w:p>
    <w:p w14:paraId="0D085CC8" w14:textId="7C640154" w:rsidR="005C77A3" w:rsidRPr="005C77A3" w:rsidRDefault="005C77A3" w:rsidP="005C77A3">
      <w:pPr>
        <w:pStyle w:val="ListParagraph"/>
        <w:numPr>
          <w:ilvl w:val="1"/>
          <w:numId w:val="3"/>
        </w:numPr>
        <w:spacing w:before="60" w:after="60"/>
        <w:jc w:val="both"/>
        <w:rPr>
          <w:rFonts w:cs="Arial"/>
          <w:bCs/>
          <w:sz w:val="20"/>
          <w:szCs w:val="20"/>
        </w:rPr>
      </w:pPr>
      <w:r w:rsidRPr="005C77A3">
        <w:rPr>
          <w:rFonts w:cs="Arial"/>
          <w:bCs/>
          <w:sz w:val="20"/>
          <w:szCs w:val="20"/>
        </w:rPr>
        <w:t>Vamzdynų aklinimas</w:t>
      </w:r>
      <w:r w:rsidR="00664344">
        <w:rPr>
          <w:rFonts w:cs="Arial"/>
          <w:bCs/>
          <w:sz w:val="20"/>
          <w:szCs w:val="20"/>
        </w:rPr>
        <w:t>, atraminės konstrukcijos ir laikinų turėklų įrengimas</w:t>
      </w:r>
      <w:r w:rsidRPr="005C77A3">
        <w:rPr>
          <w:rFonts w:cs="Arial"/>
          <w:bCs/>
          <w:sz w:val="20"/>
          <w:szCs w:val="20"/>
        </w:rPr>
        <w:t>:</w:t>
      </w:r>
    </w:p>
    <w:p w14:paraId="41A3F23E" w14:textId="795F1271" w:rsidR="005C403E" w:rsidRDefault="005C403E" w:rsidP="005C77A3">
      <w:pPr>
        <w:pStyle w:val="ListParagraph"/>
        <w:numPr>
          <w:ilvl w:val="2"/>
          <w:numId w:val="3"/>
        </w:numPr>
        <w:spacing w:before="60" w:after="60"/>
        <w:jc w:val="both"/>
        <w:rPr>
          <w:rFonts w:cs="Arial"/>
          <w:bCs/>
          <w:sz w:val="20"/>
          <w:szCs w:val="20"/>
        </w:rPr>
      </w:pPr>
      <w:r>
        <w:rPr>
          <w:rFonts w:cs="Arial"/>
          <w:bCs/>
          <w:sz w:val="20"/>
          <w:szCs w:val="20"/>
        </w:rPr>
        <w:t>Tiekėjas prieš pradedant darbus turės atkirsti paliekam</w:t>
      </w:r>
      <w:r w:rsidR="00664344">
        <w:rPr>
          <w:rFonts w:cs="Arial"/>
          <w:bCs/>
          <w:sz w:val="20"/>
          <w:szCs w:val="20"/>
        </w:rPr>
        <w:t>ą</w:t>
      </w:r>
      <w:r>
        <w:rPr>
          <w:rFonts w:cs="Arial"/>
          <w:bCs/>
          <w:sz w:val="20"/>
          <w:szCs w:val="20"/>
        </w:rPr>
        <w:t xml:space="preserve"> vamzdyną nuo demontuojamo vamzdyno įvirindamas sferines akles ir pakeisdamas avarinio tinklo siurblio </w:t>
      </w:r>
      <w:r w:rsidR="006F7C4C">
        <w:rPr>
          <w:rFonts w:cs="Arial"/>
          <w:bCs/>
          <w:sz w:val="20"/>
          <w:szCs w:val="20"/>
        </w:rPr>
        <w:t xml:space="preserve">vamzdyno </w:t>
      </w:r>
      <w:r>
        <w:rPr>
          <w:rFonts w:cs="Arial"/>
          <w:bCs/>
          <w:sz w:val="20"/>
          <w:szCs w:val="20"/>
        </w:rPr>
        <w:t>trasuotę.</w:t>
      </w:r>
      <w:r w:rsidR="006F7C4C">
        <w:rPr>
          <w:rFonts w:cs="Arial"/>
          <w:bCs/>
          <w:sz w:val="20"/>
          <w:szCs w:val="20"/>
        </w:rPr>
        <w:t xml:space="preserve"> Preliminarus aklių kiekis ir dydis:</w:t>
      </w:r>
    </w:p>
    <w:p w14:paraId="6C01A59D" w14:textId="6070A04C" w:rsidR="006F7C4C" w:rsidRDefault="006F7C4C" w:rsidP="006F7C4C">
      <w:pPr>
        <w:pStyle w:val="ListParagraph"/>
        <w:numPr>
          <w:ilvl w:val="3"/>
          <w:numId w:val="3"/>
        </w:numPr>
        <w:spacing w:before="60" w:after="60"/>
        <w:jc w:val="both"/>
        <w:rPr>
          <w:rFonts w:cs="Arial"/>
          <w:bCs/>
          <w:sz w:val="20"/>
          <w:szCs w:val="20"/>
        </w:rPr>
      </w:pPr>
      <w:r>
        <w:rPr>
          <w:rFonts w:cs="Arial"/>
          <w:bCs/>
          <w:sz w:val="20"/>
          <w:szCs w:val="20"/>
        </w:rPr>
        <w:t>GOST DN700</w:t>
      </w:r>
      <w:r w:rsidR="00455C16">
        <w:rPr>
          <w:rFonts w:cs="Arial"/>
          <w:bCs/>
          <w:sz w:val="20"/>
          <w:szCs w:val="20"/>
        </w:rPr>
        <w:t xml:space="preserve"> (išorinis diametras 720 mm)</w:t>
      </w:r>
      <w:r>
        <w:rPr>
          <w:rFonts w:cs="Arial"/>
          <w:bCs/>
          <w:sz w:val="20"/>
          <w:szCs w:val="20"/>
        </w:rPr>
        <w:t xml:space="preserve"> – </w:t>
      </w:r>
      <w:r w:rsidR="008B4EBF">
        <w:rPr>
          <w:rFonts w:cs="Arial"/>
          <w:bCs/>
          <w:sz w:val="20"/>
          <w:szCs w:val="20"/>
        </w:rPr>
        <w:t>2</w:t>
      </w:r>
      <w:r>
        <w:rPr>
          <w:rFonts w:cs="Arial"/>
          <w:bCs/>
          <w:sz w:val="20"/>
          <w:szCs w:val="20"/>
        </w:rPr>
        <w:t xml:space="preserve"> vnt.</w:t>
      </w:r>
    </w:p>
    <w:p w14:paraId="01E7CAEA" w14:textId="008BB9F9" w:rsidR="006F7C4C" w:rsidRDefault="006F7C4C" w:rsidP="006F7C4C">
      <w:pPr>
        <w:pStyle w:val="ListParagraph"/>
        <w:numPr>
          <w:ilvl w:val="3"/>
          <w:numId w:val="3"/>
        </w:numPr>
        <w:spacing w:before="60" w:after="60"/>
        <w:jc w:val="both"/>
        <w:rPr>
          <w:rFonts w:cs="Arial"/>
          <w:bCs/>
          <w:sz w:val="20"/>
          <w:szCs w:val="20"/>
        </w:rPr>
      </w:pPr>
      <w:r>
        <w:rPr>
          <w:rFonts w:cs="Arial"/>
          <w:bCs/>
          <w:sz w:val="20"/>
          <w:szCs w:val="20"/>
        </w:rPr>
        <w:t>GOST DN</w:t>
      </w:r>
      <w:r w:rsidR="00455C16">
        <w:rPr>
          <w:rFonts w:cs="Arial"/>
          <w:bCs/>
          <w:sz w:val="20"/>
          <w:szCs w:val="20"/>
        </w:rPr>
        <w:t>400 (išorinis diametras 426 mm)</w:t>
      </w:r>
      <w:r>
        <w:rPr>
          <w:rFonts w:cs="Arial"/>
          <w:bCs/>
          <w:sz w:val="20"/>
          <w:szCs w:val="20"/>
        </w:rPr>
        <w:t xml:space="preserve"> – 2 vnt.</w:t>
      </w:r>
    </w:p>
    <w:p w14:paraId="0CA8E771" w14:textId="56DDEB41" w:rsidR="006F7C4C" w:rsidRDefault="006F7C4C" w:rsidP="006F7C4C">
      <w:pPr>
        <w:pStyle w:val="ListParagraph"/>
        <w:numPr>
          <w:ilvl w:val="3"/>
          <w:numId w:val="3"/>
        </w:numPr>
        <w:spacing w:before="60" w:after="60"/>
        <w:jc w:val="both"/>
        <w:rPr>
          <w:rFonts w:cs="Arial"/>
          <w:bCs/>
          <w:sz w:val="20"/>
          <w:szCs w:val="20"/>
        </w:rPr>
      </w:pPr>
      <w:r>
        <w:rPr>
          <w:rFonts w:cs="Arial"/>
          <w:bCs/>
          <w:sz w:val="20"/>
          <w:szCs w:val="20"/>
        </w:rPr>
        <w:t>DN150 – 1 vnt.</w:t>
      </w:r>
    </w:p>
    <w:p w14:paraId="7F48BB33" w14:textId="0AF8F03C" w:rsidR="00212A75" w:rsidRDefault="00212A75" w:rsidP="006F7C4C">
      <w:pPr>
        <w:pStyle w:val="ListParagraph"/>
        <w:numPr>
          <w:ilvl w:val="3"/>
          <w:numId w:val="3"/>
        </w:numPr>
        <w:spacing w:before="60" w:after="60"/>
        <w:jc w:val="both"/>
        <w:rPr>
          <w:rFonts w:cs="Arial"/>
          <w:bCs/>
          <w:sz w:val="20"/>
          <w:szCs w:val="20"/>
        </w:rPr>
      </w:pPr>
      <w:r>
        <w:rPr>
          <w:rFonts w:cs="Arial"/>
          <w:bCs/>
          <w:sz w:val="20"/>
          <w:szCs w:val="20"/>
        </w:rPr>
        <w:t>Po virinimo</w:t>
      </w:r>
      <w:r w:rsidR="0003169D">
        <w:rPr>
          <w:rFonts w:cs="Arial"/>
          <w:bCs/>
          <w:sz w:val="20"/>
          <w:szCs w:val="20"/>
        </w:rPr>
        <w:t xml:space="preserve"> darbų</w:t>
      </w:r>
      <w:r>
        <w:rPr>
          <w:rFonts w:cs="Arial"/>
          <w:bCs/>
          <w:sz w:val="20"/>
          <w:szCs w:val="20"/>
        </w:rPr>
        <w:t xml:space="preserve"> siūlės turi būt</w:t>
      </w:r>
      <w:r w:rsidR="00C31682">
        <w:rPr>
          <w:rFonts w:cs="Arial"/>
          <w:bCs/>
          <w:sz w:val="20"/>
          <w:szCs w:val="20"/>
        </w:rPr>
        <w:t>i patikrintos neardomąją siūlių patikra</w:t>
      </w:r>
      <w:r w:rsidR="00374639">
        <w:rPr>
          <w:rFonts w:cs="Arial"/>
          <w:bCs/>
          <w:sz w:val="20"/>
          <w:szCs w:val="20"/>
        </w:rPr>
        <w:t xml:space="preserve"> - ultragarsu</w:t>
      </w:r>
      <w:r w:rsidR="00C31682">
        <w:rPr>
          <w:rFonts w:cs="Arial"/>
          <w:bCs/>
          <w:sz w:val="20"/>
          <w:szCs w:val="20"/>
        </w:rPr>
        <w:t>.</w:t>
      </w:r>
    </w:p>
    <w:p w14:paraId="14DC2C24" w14:textId="633A3A20" w:rsidR="005C77A3" w:rsidRPr="005C77A3" w:rsidRDefault="005C77A3" w:rsidP="005C77A3">
      <w:pPr>
        <w:pStyle w:val="ListParagraph"/>
        <w:numPr>
          <w:ilvl w:val="2"/>
          <w:numId w:val="3"/>
        </w:numPr>
        <w:spacing w:before="60" w:after="60"/>
        <w:jc w:val="both"/>
        <w:rPr>
          <w:rFonts w:cs="Arial"/>
          <w:bCs/>
          <w:sz w:val="20"/>
          <w:szCs w:val="20"/>
        </w:rPr>
      </w:pPr>
      <w:r w:rsidRPr="005C77A3">
        <w:rPr>
          <w:rFonts w:cs="Arial"/>
          <w:bCs/>
          <w:sz w:val="20"/>
          <w:szCs w:val="20"/>
        </w:rPr>
        <w:t>Tiekėjas privalės įvirinti plokščias akles tose vietose, kur vamzdyna</w:t>
      </w:r>
      <w:r w:rsidR="00EC0980">
        <w:rPr>
          <w:rFonts w:cs="Arial"/>
          <w:bCs/>
          <w:sz w:val="20"/>
          <w:szCs w:val="20"/>
        </w:rPr>
        <w:t>s toliau nebedemontuojamas</w:t>
      </w:r>
      <w:r w:rsidR="0003169D">
        <w:rPr>
          <w:rFonts w:cs="Arial"/>
          <w:bCs/>
          <w:sz w:val="20"/>
          <w:szCs w:val="20"/>
        </w:rPr>
        <w:t xml:space="preserve"> ir yra nebeeksploatuojamas</w:t>
      </w:r>
      <w:r w:rsidR="00EC0980">
        <w:rPr>
          <w:rFonts w:cs="Arial"/>
          <w:bCs/>
          <w:sz w:val="20"/>
          <w:szCs w:val="20"/>
        </w:rPr>
        <w:t>;</w:t>
      </w:r>
      <w:r w:rsidRPr="005C77A3">
        <w:rPr>
          <w:rFonts w:cs="Arial"/>
          <w:bCs/>
          <w:sz w:val="20"/>
          <w:szCs w:val="20"/>
        </w:rPr>
        <w:t xml:space="preserve"> </w:t>
      </w:r>
    </w:p>
    <w:p w14:paraId="63430A60" w14:textId="011CEB7D" w:rsidR="005C77A3" w:rsidRPr="005C77A3" w:rsidRDefault="005C77A3" w:rsidP="00374639">
      <w:pPr>
        <w:pStyle w:val="ListParagraph"/>
        <w:numPr>
          <w:ilvl w:val="3"/>
          <w:numId w:val="3"/>
        </w:numPr>
        <w:spacing w:before="60" w:after="60"/>
        <w:jc w:val="both"/>
        <w:rPr>
          <w:rFonts w:cs="Arial"/>
          <w:bCs/>
          <w:sz w:val="20"/>
          <w:szCs w:val="20"/>
        </w:rPr>
      </w:pPr>
      <w:r w:rsidRPr="005C77A3">
        <w:rPr>
          <w:rFonts w:cs="Arial"/>
          <w:bCs/>
          <w:sz w:val="20"/>
          <w:szCs w:val="20"/>
        </w:rPr>
        <w:t>Aklių skersmuo ≤DN</w:t>
      </w:r>
      <w:r w:rsidR="00664344">
        <w:rPr>
          <w:rFonts w:cs="Arial"/>
          <w:bCs/>
          <w:sz w:val="20"/>
          <w:szCs w:val="20"/>
        </w:rPr>
        <w:t>700</w:t>
      </w:r>
      <w:r w:rsidRPr="005C77A3">
        <w:rPr>
          <w:rFonts w:cs="Arial"/>
          <w:bCs/>
          <w:sz w:val="20"/>
          <w:szCs w:val="20"/>
        </w:rPr>
        <w:t>, lakšto storis ≤8 mm, lakšto storis parenkamas atitinkamai aklinamo vamzdžio diametrui.</w:t>
      </w:r>
    </w:p>
    <w:p w14:paraId="1DF1EA68" w14:textId="7D757189" w:rsidR="005C77A3" w:rsidRDefault="005C77A3" w:rsidP="005C77A3">
      <w:pPr>
        <w:pStyle w:val="ListParagraph"/>
        <w:numPr>
          <w:ilvl w:val="2"/>
          <w:numId w:val="3"/>
        </w:numPr>
        <w:spacing w:before="60" w:after="60"/>
        <w:jc w:val="both"/>
        <w:rPr>
          <w:rFonts w:cs="Arial"/>
          <w:bCs/>
          <w:sz w:val="20"/>
          <w:szCs w:val="20"/>
        </w:rPr>
      </w:pPr>
      <w:r w:rsidRPr="005C77A3">
        <w:rPr>
          <w:rFonts w:cs="Arial"/>
          <w:bCs/>
          <w:sz w:val="20"/>
          <w:szCs w:val="20"/>
        </w:rPr>
        <w:t>Prieš demontavimą tiekėjas pagal poreikį turi įvertinti laikinų arba nuolatinių atramų įrengimą vamzdynams ar kitoms konstrukcijoms, įrenginiams atremti</w:t>
      </w:r>
      <w:r w:rsidR="00664344">
        <w:rPr>
          <w:rFonts w:cs="Arial"/>
          <w:bCs/>
          <w:sz w:val="20"/>
          <w:szCs w:val="20"/>
        </w:rPr>
        <w:t>;</w:t>
      </w:r>
    </w:p>
    <w:p w14:paraId="75B0BEC1" w14:textId="02097675" w:rsidR="00664344" w:rsidRPr="005C77A3" w:rsidRDefault="00664344" w:rsidP="005C77A3">
      <w:pPr>
        <w:pStyle w:val="ListParagraph"/>
        <w:numPr>
          <w:ilvl w:val="2"/>
          <w:numId w:val="3"/>
        </w:numPr>
        <w:spacing w:before="60" w:after="60"/>
        <w:jc w:val="both"/>
        <w:rPr>
          <w:rFonts w:cs="Arial"/>
          <w:bCs/>
          <w:sz w:val="20"/>
          <w:szCs w:val="20"/>
        </w:rPr>
      </w:pPr>
      <w:r>
        <w:rPr>
          <w:rFonts w:cs="Arial"/>
          <w:bCs/>
          <w:sz w:val="20"/>
          <w:szCs w:val="20"/>
        </w:rPr>
        <w:t xml:space="preserve">Po aikštelių demontavimo darbų </w:t>
      </w:r>
      <w:r w:rsidR="0004589D">
        <w:rPr>
          <w:rFonts w:cs="Arial"/>
          <w:bCs/>
          <w:sz w:val="20"/>
          <w:szCs w:val="20"/>
        </w:rPr>
        <w:t>įrengiami laikini turėklai.</w:t>
      </w:r>
    </w:p>
    <w:p w14:paraId="30323758" w14:textId="282E39E5" w:rsidR="00664344" w:rsidRDefault="00664344" w:rsidP="005C77A3">
      <w:pPr>
        <w:pStyle w:val="ListParagraph"/>
        <w:numPr>
          <w:ilvl w:val="1"/>
          <w:numId w:val="3"/>
        </w:numPr>
        <w:spacing w:before="60" w:after="60"/>
        <w:jc w:val="both"/>
        <w:rPr>
          <w:rFonts w:cs="Arial"/>
          <w:bCs/>
          <w:sz w:val="20"/>
          <w:szCs w:val="20"/>
        </w:rPr>
      </w:pPr>
      <w:r>
        <w:rPr>
          <w:rFonts w:cs="Arial"/>
          <w:bCs/>
          <w:sz w:val="20"/>
          <w:szCs w:val="20"/>
        </w:rPr>
        <w:t>Po demontavimo darbų</w:t>
      </w:r>
      <w:r w:rsidR="00374639">
        <w:rPr>
          <w:rFonts w:cs="Arial"/>
          <w:bCs/>
          <w:sz w:val="20"/>
          <w:szCs w:val="20"/>
        </w:rPr>
        <w:t xml:space="preserve"> ir aklių virinimo</w:t>
      </w:r>
      <w:r>
        <w:rPr>
          <w:rFonts w:cs="Arial"/>
          <w:bCs/>
          <w:sz w:val="20"/>
          <w:szCs w:val="20"/>
        </w:rPr>
        <w:t xml:space="preserve"> atstatoma šiluminė izoliacija ant paliekamų vamzdynų;</w:t>
      </w:r>
    </w:p>
    <w:p w14:paraId="01793411" w14:textId="77777777" w:rsidR="00BF6B1A" w:rsidRDefault="00BF6B1A" w:rsidP="00BF6B1A">
      <w:pPr>
        <w:pStyle w:val="ListParagraph"/>
        <w:numPr>
          <w:ilvl w:val="1"/>
          <w:numId w:val="3"/>
        </w:numPr>
        <w:spacing w:before="60" w:after="60"/>
        <w:jc w:val="both"/>
        <w:rPr>
          <w:rFonts w:cs="Arial"/>
          <w:bCs/>
          <w:sz w:val="20"/>
          <w:szCs w:val="20"/>
        </w:rPr>
      </w:pPr>
      <w:r w:rsidRPr="00364DCE">
        <w:rPr>
          <w:rFonts w:cs="Arial"/>
          <w:bCs/>
          <w:sz w:val="20"/>
          <w:szCs w:val="20"/>
        </w:rPr>
        <w:t>Po vamzdyno demontavimo, kuris kerta pastato konstrukcijas, Tiekėjas atsakingas už likusios ertmės sandarinimą. Jei ertmė lieka lange – atliekamas įstiklinimas, mūrinėje sienoje – užmūrijimas, skardinėje sienoje – apskardinama ir kiti neįvardinti būdai atsižvelgiant į kertamos konstrukcijos medžiagiškumą.</w:t>
      </w:r>
    </w:p>
    <w:p w14:paraId="18082609" w14:textId="4D82DBAC" w:rsidR="005C77A3" w:rsidRPr="005C77A3" w:rsidRDefault="005C77A3" w:rsidP="005C77A3">
      <w:pPr>
        <w:pStyle w:val="ListParagraph"/>
        <w:numPr>
          <w:ilvl w:val="1"/>
          <w:numId w:val="3"/>
        </w:numPr>
        <w:spacing w:before="60" w:after="60"/>
        <w:jc w:val="both"/>
        <w:rPr>
          <w:rFonts w:cs="Arial"/>
          <w:bCs/>
          <w:sz w:val="20"/>
          <w:szCs w:val="20"/>
        </w:rPr>
      </w:pPr>
      <w:r w:rsidRPr="005C77A3">
        <w:rPr>
          <w:rFonts w:cs="Arial"/>
          <w:bCs/>
          <w:sz w:val="20"/>
          <w:szCs w:val="20"/>
        </w:rPr>
        <w:t>Jei Tiekėjas pažeis ar sugadins esamus nedemontuojamus įrenginius, jie privalės būti atstatomi į pradinę padėtį, o jei atstatymas negalimas pakeisti naujais (tokių pat techninių parametrų).</w:t>
      </w:r>
    </w:p>
    <w:p w14:paraId="0BA7F054" w14:textId="77777777" w:rsidR="005C77A3" w:rsidRPr="005C77A3" w:rsidRDefault="005C77A3" w:rsidP="005C77A3">
      <w:pPr>
        <w:pStyle w:val="ListParagraph"/>
        <w:numPr>
          <w:ilvl w:val="1"/>
          <w:numId w:val="3"/>
        </w:numPr>
        <w:spacing w:before="60" w:after="60"/>
        <w:jc w:val="both"/>
        <w:rPr>
          <w:rFonts w:cs="Arial"/>
          <w:bCs/>
          <w:sz w:val="20"/>
          <w:szCs w:val="20"/>
        </w:rPr>
      </w:pPr>
      <w:r w:rsidRPr="005C77A3">
        <w:rPr>
          <w:rFonts w:cs="Arial"/>
          <w:bCs/>
          <w:sz w:val="20"/>
          <w:szCs w:val="20"/>
        </w:rPr>
        <w:t>Pirkimo dokumentacijoje pridėtos vietos fotofiksacija, tačiau Tiekėjas gali atvykti į vietą darbo apimčių įsivertinimui.</w:t>
      </w:r>
    </w:p>
    <w:p w14:paraId="3154293D" w14:textId="77777777" w:rsidR="00FC1E11" w:rsidRPr="0043712E" w:rsidRDefault="00FC1E11"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Fonts w:eastAsia="Arial" w:cs="Arial"/>
          <w:b/>
          <w:bCs/>
          <w:sz w:val="20"/>
          <w:szCs w:val="20"/>
        </w:rPr>
      </w:pPr>
      <w:r w:rsidRPr="0043712E">
        <w:rPr>
          <w:rFonts w:eastAsia="Arial" w:cs="Arial"/>
          <w:b/>
          <w:bCs/>
          <w:sz w:val="20"/>
          <w:szCs w:val="20"/>
        </w:rPr>
        <w:t>REIKALAVIMAI PIRKIMO OBJEKTUI</w:t>
      </w:r>
    </w:p>
    <w:p w14:paraId="6F237A8F" w14:textId="07DB4FCA" w:rsidR="00AA6F77" w:rsidRPr="00AA6F77" w:rsidRDefault="00AA6F77" w:rsidP="00AA6F77">
      <w:pPr>
        <w:pStyle w:val="ListParagraph"/>
        <w:numPr>
          <w:ilvl w:val="1"/>
          <w:numId w:val="3"/>
        </w:numPr>
        <w:spacing w:before="60" w:after="60"/>
        <w:jc w:val="both"/>
        <w:rPr>
          <w:rFonts w:cs="Arial"/>
          <w:sz w:val="20"/>
          <w:szCs w:val="20"/>
        </w:rPr>
      </w:pPr>
      <w:r w:rsidRPr="00D43F20">
        <w:rPr>
          <w:rFonts w:cs="Arial"/>
          <w:sz w:val="20"/>
          <w:szCs w:val="20"/>
        </w:rPr>
        <w:t>Tiekėjas gali naudotis darbų vykdymo patalpo</w:t>
      </w:r>
      <w:r w:rsidR="00B129F9">
        <w:rPr>
          <w:rFonts w:cs="Arial"/>
          <w:sz w:val="20"/>
          <w:szCs w:val="20"/>
        </w:rPr>
        <w:t>je</w:t>
      </w:r>
      <w:r w:rsidRPr="00D43F20">
        <w:rPr>
          <w:rFonts w:cs="Arial"/>
          <w:sz w:val="20"/>
          <w:szCs w:val="20"/>
        </w:rPr>
        <w:t xml:space="preserve"> sumontuotais kėlimo įrenginiais, prieš tai pasirašęs panaudos sutartį.</w:t>
      </w:r>
      <w:r w:rsidR="00F0323B">
        <w:rPr>
          <w:rFonts w:cs="Arial"/>
          <w:sz w:val="20"/>
          <w:szCs w:val="20"/>
        </w:rPr>
        <w:t xml:space="preserve"> Kėlimo įrenginį valdantis personalas turi būti atestuotas ir turėti reikiamus pažymėjimus.</w:t>
      </w:r>
    </w:p>
    <w:p w14:paraId="7176251C" w14:textId="4F25B944"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Darbai turi būti vykdomi vadovaujantis galiojančiais Lietuvoje ir Europos Sąjungoje pripažintais (aktualiais) teisės aktais, statybos įstatymu, statybos techniniais reglamentais ir normatyvais, bet jais neapsiribojant</w:t>
      </w:r>
      <w:r w:rsidR="005D0E5F">
        <w:rPr>
          <w:sz w:val="20"/>
          <w:szCs w:val="20"/>
          <w:lang w:eastAsia="lt-LT"/>
        </w:rPr>
        <w:t>.</w:t>
      </w:r>
    </w:p>
    <w:p w14:paraId="66CF17B9" w14:textId="0B49CDFE"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 xml:space="preserve">Tiekėjas turės įvykdyti visus darbus, reikalingus tinkamam </w:t>
      </w:r>
      <w:r w:rsidR="00682B3D">
        <w:rPr>
          <w:sz w:val="20"/>
          <w:szCs w:val="20"/>
          <w:lang w:eastAsia="lt-LT"/>
        </w:rPr>
        <w:t>Darbų</w:t>
      </w:r>
      <w:r w:rsidRPr="00FB1EEA">
        <w:rPr>
          <w:sz w:val="20"/>
          <w:szCs w:val="20"/>
          <w:lang w:eastAsia="lt-LT"/>
        </w:rPr>
        <w:t xml:space="preserve"> įgyvendinimui bei j</w:t>
      </w:r>
      <w:r w:rsidR="00682B3D">
        <w:rPr>
          <w:sz w:val="20"/>
          <w:szCs w:val="20"/>
          <w:lang w:eastAsia="lt-LT"/>
        </w:rPr>
        <w:t>ų</w:t>
      </w:r>
      <w:r w:rsidRPr="00FB1EEA">
        <w:rPr>
          <w:sz w:val="20"/>
          <w:szCs w:val="20"/>
          <w:lang w:eastAsia="lt-LT"/>
        </w:rPr>
        <w:t xml:space="preserve">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sidR="005D0E5F">
        <w:rPr>
          <w:sz w:val="20"/>
          <w:szCs w:val="20"/>
          <w:lang w:eastAsia="lt-LT"/>
        </w:rPr>
        <w:t>.</w:t>
      </w:r>
    </w:p>
    <w:p w14:paraId="46291D66" w14:textId="5F51F904"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r w:rsidR="005D0E5F">
        <w:rPr>
          <w:sz w:val="20"/>
          <w:szCs w:val="20"/>
          <w:lang w:eastAsia="lt-LT"/>
        </w:rPr>
        <w:t>.</w:t>
      </w:r>
    </w:p>
    <w:p w14:paraId="3259B32A" w14:textId="66CAFDB8"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r w:rsidR="005D0E5F">
        <w:rPr>
          <w:sz w:val="20"/>
          <w:szCs w:val="20"/>
          <w:lang w:eastAsia="lt-LT"/>
        </w:rPr>
        <w:t>.</w:t>
      </w:r>
    </w:p>
    <w:p w14:paraId="363B1552" w14:textId="147471EF"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Už bet kokį Perkančiajam subjektui ir</w:t>
      </w:r>
      <w:r w:rsidR="003A295F">
        <w:rPr>
          <w:sz w:val="20"/>
          <w:szCs w:val="20"/>
          <w:lang w:eastAsia="lt-LT"/>
        </w:rPr>
        <w:t xml:space="preserve"> </w:t>
      </w:r>
      <w:r w:rsidRPr="00FB1EEA">
        <w:rPr>
          <w:sz w:val="20"/>
          <w:szCs w:val="20"/>
          <w:lang w:eastAsia="lt-LT"/>
        </w:rPr>
        <w:t>/</w:t>
      </w:r>
      <w:r w:rsidR="003A295F">
        <w:rPr>
          <w:sz w:val="20"/>
          <w:szCs w:val="20"/>
          <w:lang w:eastAsia="lt-LT"/>
        </w:rPr>
        <w:t xml:space="preserve"> </w:t>
      </w:r>
      <w:r w:rsidRPr="00FB1EEA">
        <w:rPr>
          <w:sz w:val="20"/>
          <w:szCs w:val="20"/>
          <w:lang w:eastAsia="lt-LT"/>
        </w:rPr>
        <w:t>ar tretiesiems asmenims priklausančio turto sugadinimą ar technologinių procesų normalaus darbo sutrikdymą dėl bet kokio Tiekėjo veiksmo, klaidos ar nerūpestingumo darbų atlikimo metu atsakingas Tiekėjas. Perkančiajam subjektui ir</w:t>
      </w:r>
      <w:r w:rsidR="003A295F">
        <w:rPr>
          <w:sz w:val="20"/>
          <w:szCs w:val="20"/>
          <w:lang w:eastAsia="lt-LT"/>
        </w:rPr>
        <w:t xml:space="preserve"> </w:t>
      </w:r>
      <w:r w:rsidRPr="00FB1EEA">
        <w:rPr>
          <w:sz w:val="20"/>
          <w:szCs w:val="20"/>
          <w:lang w:eastAsia="lt-LT"/>
        </w:rPr>
        <w:t>/</w:t>
      </w:r>
      <w:r w:rsidR="003A295F">
        <w:rPr>
          <w:sz w:val="20"/>
          <w:szCs w:val="20"/>
          <w:lang w:eastAsia="lt-LT"/>
        </w:rPr>
        <w:t xml:space="preserve"> </w:t>
      </w:r>
      <w:r w:rsidRPr="00FB1EEA">
        <w:rPr>
          <w:sz w:val="20"/>
          <w:szCs w:val="20"/>
          <w:lang w:eastAsia="lt-LT"/>
        </w:rPr>
        <w:t>ar tretiesiems asmenims priklausančio sugadinto turto defektai turi būti reikiamai ir tinkamai pašalinti ar pakeisti Tiekėjo jėgomis ir sąskaita taip, kad būtų atstatyta ankstesnė turto būklė</w:t>
      </w:r>
      <w:r w:rsidR="003A295F">
        <w:rPr>
          <w:sz w:val="20"/>
          <w:szCs w:val="20"/>
          <w:lang w:eastAsia="lt-LT"/>
        </w:rPr>
        <w:t>.</w:t>
      </w:r>
    </w:p>
    <w:p w14:paraId="13ADB412" w14:textId="44AA8FF0"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w:t>
      </w:r>
    </w:p>
    <w:p w14:paraId="09E1E2BF" w14:textId="52439B7D"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Sutarties galiojimo laikotarpiu Tiekėjas turi registruoti ir saugoti visus gaunamus ir siunčiamus bei kitus dokumentus, susijusius su Sutarties vykdymu.</w:t>
      </w:r>
    </w:p>
    <w:p w14:paraId="39C46273" w14:textId="06B0F70F"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lastRenderedPageBreak/>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r w:rsidR="003A295F">
        <w:rPr>
          <w:sz w:val="20"/>
          <w:szCs w:val="20"/>
          <w:lang w:eastAsia="lt-LT"/>
        </w:rPr>
        <w:t>.</w:t>
      </w:r>
    </w:p>
    <w:p w14:paraId="3E019DEF" w14:textId="4E02BC76"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r w:rsidR="003A295F">
        <w:rPr>
          <w:sz w:val="20"/>
          <w:szCs w:val="20"/>
          <w:lang w:eastAsia="lt-LT"/>
        </w:rPr>
        <w:t>.</w:t>
      </w:r>
    </w:p>
    <w:p w14:paraId="5F14B097"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Darbuotojų saugos ir priešgaisrinės saugos reikalavimai:</w:t>
      </w:r>
    </w:p>
    <w:p w14:paraId="37C777BC"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7A4929D4"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63D6B59B"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3F01E46F" w14:textId="5A04D5AE"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Iki Darbų pradžios Perkantysis subjektas Tiekėjui pateiks darbuotojų sąrašą, kurie bus paskirti Projekto vykdymui ir kontrolei, o Tiekėjas įsipareigoja vykdyti asmenų indentifikavimą statybvietėje</w:t>
      </w:r>
      <w:r w:rsidR="00FA27A2">
        <w:rPr>
          <w:sz w:val="20"/>
          <w:szCs w:val="20"/>
          <w:lang w:eastAsia="lt-LT"/>
        </w:rPr>
        <w:t>;</w:t>
      </w:r>
    </w:p>
    <w:p w14:paraId="46A54A18"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darbų vykdymo metu nuo galimų išorinių pažeidimų privalo apsaugoti Perkančio subjekto esamus įrengimus, tinklus, statinius;</w:t>
      </w:r>
    </w:p>
    <w:p w14:paraId="4E185768"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6DDFEB6"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Perkantysis subjektas įsipareigoja suteikti galimybę Tiekėjui naudotis elektros energija, vandeniu, Tiekėjui įsirengus elektros ir vandens apskaitas;</w:t>
      </w:r>
    </w:p>
    <w:p w14:paraId="5D813BFF"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Perkantysis subjektas Darbų vykdymo metu gali tikrinti darbų saugos, priešgaisrinės saugos, darbo higienos ir sanitarijos ir kitų taisyklių reikalavimų vykdymą;</w:t>
      </w:r>
    </w:p>
    <w:p w14:paraId="41E78219"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privalo vykdyti Perkančiojo subjekto pagrįstus reikalavimus ir pašalinti nustatytus trūkumus ir pažeidimus.</w:t>
      </w:r>
    </w:p>
    <w:p w14:paraId="6976D877"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Atliekų tvarkymas:</w:t>
      </w:r>
    </w:p>
    <w:p w14:paraId="0F5B2FD7" w14:textId="28EE541C"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 xml:space="preserve">Tiekėjas, tvarkydamas atliekas statybvietėje, </w:t>
      </w:r>
      <w:r w:rsidRPr="000254C5">
        <w:rPr>
          <w:sz w:val="20"/>
          <w:szCs w:val="20"/>
          <w:lang w:eastAsia="lt-LT"/>
        </w:rPr>
        <w:t>turi vadovautis Priede Nr.</w:t>
      </w:r>
      <w:r w:rsidR="00802AE0" w:rsidRPr="000254C5">
        <w:rPr>
          <w:sz w:val="20"/>
          <w:szCs w:val="20"/>
          <w:lang w:eastAsia="lt-LT"/>
        </w:rPr>
        <w:t xml:space="preserve"> </w:t>
      </w:r>
      <w:r w:rsidR="000254C5" w:rsidRPr="000254C5">
        <w:rPr>
          <w:sz w:val="20"/>
          <w:szCs w:val="20"/>
          <w:lang w:eastAsia="lt-LT"/>
        </w:rPr>
        <w:t>2</w:t>
      </w:r>
      <w:r w:rsidRPr="00FB1EEA">
        <w:rPr>
          <w:sz w:val="20"/>
          <w:szCs w:val="20"/>
          <w:lang w:eastAsia="lt-LT"/>
        </w:rPr>
        <w:t xml:space="preserve"> pateikiama informacija</w:t>
      </w:r>
      <w:r w:rsidR="00FA27A2">
        <w:rPr>
          <w:sz w:val="20"/>
          <w:szCs w:val="20"/>
          <w:lang w:eastAsia="lt-LT"/>
        </w:rPr>
        <w:t>;</w:t>
      </w:r>
    </w:p>
    <w:p w14:paraId="38470015"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Tiekėjo įsipareigojimai:</w:t>
      </w:r>
    </w:p>
    <w:p w14:paraId="16DAE938"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6731B6AC" w14:textId="77777777"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7939E090" w14:textId="67872F28"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lastRenderedPageBreak/>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r w:rsidR="00F159AB">
        <w:rPr>
          <w:sz w:val="20"/>
          <w:szCs w:val="20"/>
          <w:lang w:eastAsia="lt-LT"/>
        </w:rPr>
        <w:t>.</w:t>
      </w:r>
    </w:p>
    <w:p w14:paraId="204E4B27" w14:textId="77777777" w:rsidR="00FB1EEA" w:rsidRPr="00FB1EEA" w:rsidRDefault="00FB1EEA" w:rsidP="00FB1EEA">
      <w:pPr>
        <w:pStyle w:val="ListParagraph"/>
        <w:numPr>
          <w:ilvl w:val="1"/>
          <w:numId w:val="18"/>
        </w:numPr>
        <w:jc w:val="both"/>
        <w:rPr>
          <w:sz w:val="20"/>
          <w:szCs w:val="20"/>
          <w:lang w:eastAsia="lt-LT"/>
        </w:rPr>
      </w:pPr>
      <w:r w:rsidRPr="00FB1EEA">
        <w:rPr>
          <w:sz w:val="20"/>
          <w:szCs w:val="20"/>
          <w:lang w:eastAsia="lt-LT"/>
        </w:rPr>
        <w:t>Darbų vykdymo zona:</w:t>
      </w:r>
    </w:p>
    <w:p w14:paraId="76A5D7C1" w14:textId="6A479090"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r w:rsidR="00FA27A2">
        <w:rPr>
          <w:sz w:val="20"/>
          <w:szCs w:val="20"/>
          <w:lang w:eastAsia="lt-LT"/>
        </w:rPr>
        <w:t>;</w:t>
      </w:r>
    </w:p>
    <w:p w14:paraId="5352F6FB" w14:textId="1656B5F4" w:rsidR="00FB1EEA" w:rsidRPr="00FB1EEA" w:rsidRDefault="00FB1EEA" w:rsidP="00FB1EEA">
      <w:pPr>
        <w:pStyle w:val="ListParagraph"/>
        <w:numPr>
          <w:ilvl w:val="2"/>
          <w:numId w:val="18"/>
        </w:numPr>
        <w:jc w:val="both"/>
        <w:rPr>
          <w:sz w:val="20"/>
          <w:szCs w:val="20"/>
          <w:lang w:eastAsia="lt-LT"/>
        </w:rPr>
      </w:pPr>
      <w:r w:rsidRPr="00FB1EEA">
        <w:rPr>
          <w:sz w:val="20"/>
          <w:szCs w:val="20"/>
          <w:lang w:eastAsia="lt-LT"/>
        </w:rPr>
        <w:t xml:space="preserve">Po technologinės įrangos </w:t>
      </w:r>
      <w:r w:rsidR="00960398">
        <w:rPr>
          <w:sz w:val="20"/>
          <w:szCs w:val="20"/>
          <w:lang w:eastAsia="lt-LT"/>
        </w:rPr>
        <w:t>demontavimo</w:t>
      </w:r>
      <w:r w:rsidRPr="00FB1EEA">
        <w:rPr>
          <w:sz w:val="20"/>
          <w:szCs w:val="20"/>
          <w:lang w:eastAsia="lt-LT"/>
        </w:rPr>
        <w:t xml:space="preserve"> darbų, Tiekėjas pasirūpina, kad statybvietė būtų išvalyta ir tinkamai perduota eksploatacijai:</w:t>
      </w:r>
    </w:p>
    <w:p w14:paraId="30D9DC5E" w14:textId="77777777"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Pašalintos visos darbų metu susidariusios šiukšlės;</w:t>
      </w:r>
    </w:p>
    <w:p w14:paraId="30E7CC2E" w14:textId="64E6A004"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Išvalytos vidaus darbo erdvės, kuriose buvo atliekami darbai ir patalpos, kurios turėjo sąveiką su statybvietėje vykdomais darbais (praėjimai, buitinės patalpos, higienos patalpos ir panašiai) – valomos grindys, langai, palangės, durys, grindiniai vandens nubėgimo latakai;</w:t>
      </w:r>
    </w:p>
    <w:p w14:paraId="4790C5DF" w14:textId="5681DDC5"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Išvalytos lauko darbo erdvės (projekto įgyvendinimo metu naudotos darbų zonos, įrangos ir medžiagų tiekimo kelias) – nuvalyti šaligatviai, keliai, aikštelės</w:t>
      </w:r>
      <w:r w:rsidR="00FA27A2">
        <w:rPr>
          <w:sz w:val="20"/>
          <w:szCs w:val="20"/>
          <w:lang w:eastAsia="lt-LT"/>
        </w:rPr>
        <w:t>;</w:t>
      </w:r>
    </w:p>
    <w:p w14:paraId="1803C897" w14:textId="78A9897C" w:rsidR="00FB1EEA" w:rsidRPr="00FB1EEA" w:rsidRDefault="00FB1EEA" w:rsidP="00FB1EEA">
      <w:pPr>
        <w:pStyle w:val="ListParagraph"/>
        <w:numPr>
          <w:ilvl w:val="3"/>
          <w:numId w:val="18"/>
        </w:numPr>
        <w:jc w:val="both"/>
        <w:rPr>
          <w:sz w:val="20"/>
          <w:szCs w:val="20"/>
          <w:lang w:eastAsia="lt-LT"/>
        </w:rPr>
      </w:pPr>
      <w:r w:rsidRPr="00FB1EEA">
        <w:rPr>
          <w:sz w:val="20"/>
          <w:szCs w:val="20"/>
          <w:lang w:eastAsia="lt-LT"/>
        </w:rPr>
        <w:t>Nuvalyta technologinė įranga jos pamatai, kanalai, vamzdynai, pastato sistemų elementai ir panašiai.</w:t>
      </w:r>
    </w:p>
    <w:p w14:paraId="50C8CD79" w14:textId="3ABF8224" w:rsidR="00FC1E11" w:rsidRPr="0043712E" w:rsidRDefault="00DE39E3"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sidRPr="00D02E44">
        <w:rPr>
          <w:b/>
          <w:bCs/>
        </w:rPr>
        <w:t>DARBŲ</w:t>
      </w:r>
      <w:r w:rsidRPr="00D02E44">
        <w:rPr>
          <w:rStyle w:val="Laukeliai"/>
          <w:rFonts w:eastAsia="Arial" w:cs="Arial"/>
          <w:b/>
          <w:bCs/>
          <w:szCs w:val="20"/>
        </w:rPr>
        <w:t xml:space="preserve"> VYKDYMO</w:t>
      </w:r>
      <w:r w:rsidR="00FC1E11" w:rsidRPr="0043712E">
        <w:rPr>
          <w:rStyle w:val="Laukeliai"/>
          <w:rFonts w:eastAsia="Arial" w:cs="Arial"/>
          <w:b/>
          <w:bCs/>
          <w:szCs w:val="20"/>
        </w:rPr>
        <w:t xml:space="preserve"> TVARKA IR TERMINAI </w:t>
      </w:r>
    </w:p>
    <w:p w14:paraId="75CCEFE8" w14:textId="202BEF93" w:rsidR="00BF7E9C" w:rsidRPr="00850676" w:rsidRDefault="00960398" w:rsidP="00E13170">
      <w:pPr>
        <w:pStyle w:val="ListParagraph"/>
        <w:widowControl w:val="0"/>
        <w:numPr>
          <w:ilvl w:val="1"/>
          <w:numId w:val="3"/>
        </w:numPr>
        <w:autoSpaceDE w:val="0"/>
        <w:autoSpaceDN w:val="0"/>
        <w:adjustRightInd w:val="0"/>
        <w:spacing w:before="120" w:after="120" w:line="276" w:lineRule="auto"/>
        <w:jc w:val="both"/>
        <w:rPr>
          <w:sz w:val="20"/>
          <w:szCs w:val="20"/>
        </w:rPr>
      </w:pPr>
      <w:r>
        <w:rPr>
          <w:sz w:val="20"/>
          <w:szCs w:val="20"/>
        </w:rPr>
        <w:t xml:space="preserve">Pagrindiniai demontavimo darbai (turbinų salės </w:t>
      </w:r>
      <w:r w:rsidRPr="00960398">
        <w:rPr>
          <w:sz w:val="20"/>
          <w:szCs w:val="20"/>
        </w:rPr>
        <w:t xml:space="preserve">1-15, 1-63 </w:t>
      </w:r>
      <w:r>
        <w:rPr>
          <w:sz w:val="20"/>
          <w:szCs w:val="20"/>
        </w:rPr>
        <w:t xml:space="preserve">patalpose </w:t>
      </w:r>
      <w:r w:rsidRPr="00960398">
        <w:rPr>
          <w:sz w:val="20"/>
          <w:szCs w:val="20"/>
        </w:rPr>
        <w:t>(</w:t>
      </w:r>
      <w:r w:rsidR="009C517A">
        <w:rPr>
          <w:sz w:val="20"/>
          <w:szCs w:val="20"/>
        </w:rPr>
        <w:t>P</w:t>
      </w:r>
      <w:r w:rsidRPr="00960398">
        <w:rPr>
          <w:sz w:val="20"/>
          <w:szCs w:val="20"/>
        </w:rPr>
        <w:t>riedas Nr. 1)</w:t>
      </w:r>
      <w:r>
        <w:rPr>
          <w:sz w:val="20"/>
          <w:szCs w:val="20"/>
        </w:rPr>
        <w:t xml:space="preserve">) </w:t>
      </w:r>
      <w:r w:rsidR="004A031A">
        <w:rPr>
          <w:sz w:val="20"/>
          <w:szCs w:val="20"/>
        </w:rPr>
        <w:t xml:space="preserve">atliekami per 12 </w:t>
      </w:r>
      <w:r w:rsidR="00427A78">
        <w:rPr>
          <w:sz w:val="20"/>
          <w:szCs w:val="20"/>
        </w:rPr>
        <w:t xml:space="preserve">(dvylika) </w:t>
      </w:r>
      <w:r w:rsidR="004A031A">
        <w:rPr>
          <w:sz w:val="20"/>
          <w:szCs w:val="20"/>
        </w:rPr>
        <w:t xml:space="preserve">savaičių nuo statybvietės perdavimo datos. </w:t>
      </w:r>
      <w:r w:rsidR="0003169D">
        <w:rPr>
          <w:sz w:val="20"/>
          <w:szCs w:val="20"/>
        </w:rPr>
        <w:t xml:space="preserve">Statybvietė perduodama ne anksčiau nei 2026 metų rugpjūčio 3 d. Iki statybvietės perdavimo datos </w:t>
      </w:r>
      <w:r w:rsidR="00BB669F">
        <w:rPr>
          <w:sz w:val="20"/>
          <w:szCs w:val="20"/>
        </w:rPr>
        <w:t>Tiekėjas</w:t>
      </w:r>
      <w:r w:rsidR="0003169D">
        <w:rPr>
          <w:sz w:val="20"/>
          <w:szCs w:val="20"/>
        </w:rPr>
        <w:t xml:space="preserve"> privalo pateikti darbų atlikimo grafiką, technologinį darbų aprašą, suvirinimo</w:t>
      </w:r>
      <w:r w:rsidR="008B4EBF">
        <w:rPr>
          <w:sz w:val="20"/>
          <w:szCs w:val="20"/>
        </w:rPr>
        <w:t xml:space="preserve"> darbų</w:t>
      </w:r>
      <w:r w:rsidR="0003169D">
        <w:rPr>
          <w:sz w:val="20"/>
          <w:szCs w:val="20"/>
        </w:rPr>
        <w:t xml:space="preserve"> dokumentacij</w:t>
      </w:r>
      <w:r w:rsidR="008B4EBF">
        <w:rPr>
          <w:sz w:val="20"/>
          <w:szCs w:val="20"/>
        </w:rPr>
        <w:t>ą</w:t>
      </w:r>
      <w:r w:rsidR="0003169D">
        <w:rPr>
          <w:sz w:val="20"/>
          <w:szCs w:val="20"/>
        </w:rPr>
        <w:t>.</w:t>
      </w:r>
      <w:r w:rsidR="00DE429E">
        <w:rPr>
          <w:sz w:val="20"/>
          <w:szCs w:val="20"/>
        </w:rPr>
        <w:t xml:space="preserve"> Elektros kabelius </w:t>
      </w:r>
      <w:r w:rsidR="00BB669F">
        <w:rPr>
          <w:sz w:val="20"/>
          <w:szCs w:val="20"/>
        </w:rPr>
        <w:t>Tiekėjas</w:t>
      </w:r>
      <w:r w:rsidR="00DE429E">
        <w:rPr>
          <w:sz w:val="20"/>
          <w:szCs w:val="20"/>
        </w:rPr>
        <w:t xml:space="preserve"> gali demontuoti anksčiau nei įvyksta statybvietės perdavimas prieš tai susiderinęs technologinį darbų aprašą ir gavęs atskirą leidimą.</w:t>
      </w:r>
    </w:p>
    <w:p w14:paraId="5F0270E6" w14:textId="1649B8D3" w:rsidR="00B9098B" w:rsidRPr="00427A78" w:rsidRDefault="007F070C" w:rsidP="00427A78">
      <w:pPr>
        <w:pStyle w:val="ListParagraph"/>
        <w:widowControl w:val="0"/>
        <w:numPr>
          <w:ilvl w:val="1"/>
          <w:numId w:val="3"/>
        </w:numPr>
        <w:autoSpaceDE w:val="0"/>
        <w:autoSpaceDN w:val="0"/>
        <w:adjustRightInd w:val="0"/>
        <w:spacing w:before="120" w:after="120" w:line="276" w:lineRule="auto"/>
        <w:jc w:val="both"/>
        <w:rPr>
          <w:sz w:val="20"/>
          <w:szCs w:val="20"/>
        </w:rPr>
      </w:pPr>
      <w:r>
        <w:rPr>
          <w:sz w:val="20"/>
          <w:szCs w:val="20"/>
        </w:rPr>
        <w:t>P</w:t>
      </w:r>
      <w:r w:rsidR="00427A78">
        <w:rPr>
          <w:sz w:val="20"/>
          <w:szCs w:val="20"/>
        </w:rPr>
        <w:t>o pagrindinių demontavimo darbų</w:t>
      </w:r>
      <w:r w:rsidR="00923BC0">
        <w:rPr>
          <w:sz w:val="20"/>
          <w:szCs w:val="20"/>
        </w:rPr>
        <w:t>,</w:t>
      </w:r>
      <w:r w:rsidR="00427A78">
        <w:rPr>
          <w:sz w:val="20"/>
          <w:szCs w:val="20"/>
        </w:rPr>
        <w:t xml:space="preserve"> </w:t>
      </w:r>
      <w:r w:rsidR="00923BC0">
        <w:rPr>
          <w:rFonts w:cs="Arial"/>
          <w:bCs/>
          <w:sz w:val="20"/>
          <w:szCs w:val="20"/>
        </w:rPr>
        <w:t>e</w:t>
      </w:r>
      <w:r w:rsidR="00923BC0" w:rsidRPr="00510ADD">
        <w:rPr>
          <w:rFonts w:cs="Arial"/>
          <w:bCs/>
          <w:sz w:val="20"/>
          <w:szCs w:val="20"/>
        </w:rPr>
        <w:t>sant</w:t>
      </w:r>
      <w:r w:rsidR="00923BC0">
        <w:rPr>
          <w:rFonts w:cs="Arial"/>
          <w:bCs/>
          <w:sz w:val="20"/>
          <w:szCs w:val="20"/>
        </w:rPr>
        <w:t xml:space="preserve"> Perkančiojo subjekto</w:t>
      </w:r>
      <w:r w:rsidR="00923BC0" w:rsidRPr="00510ADD">
        <w:rPr>
          <w:rFonts w:cs="Arial"/>
          <w:bCs/>
          <w:sz w:val="20"/>
          <w:szCs w:val="20"/>
        </w:rPr>
        <w:t xml:space="preserve"> poreikiui, </w:t>
      </w:r>
      <w:r w:rsidR="00427A78">
        <w:rPr>
          <w:sz w:val="20"/>
          <w:szCs w:val="20"/>
        </w:rPr>
        <w:t xml:space="preserve">demontavimo darbai išplečiami į Petrašiūnų elektrinės teritoriją ir joje esančius pastatus. Demontavimo darbai vykdomi pagal elektroniniu paštu pateiktą </w:t>
      </w:r>
      <w:r w:rsidR="00616559">
        <w:rPr>
          <w:sz w:val="20"/>
          <w:szCs w:val="20"/>
        </w:rPr>
        <w:t>Perkančiojo subjekto</w:t>
      </w:r>
      <w:r w:rsidR="00427A78">
        <w:rPr>
          <w:sz w:val="20"/>
          <w:szCs w:val="20"/>
        </w:rPr>
        <w:t xml:space="preserve"> užsakymą, o darbus </w:t>
      </w:r>
      <w:r w:rsidR="00BB669F">
        <w:rPr>
          <w:sz w:val="20"/>
          <w:szCs w:val="20"/>
        </w:rPr>
        <w:t>Tiekėjas</w:t>
      </w:r>
      <w:r w:rsidR="00427A78">
        <w:rPr>
          <w:sz w:val="20"/>
          <w:szCs w:val="20"/>
        </w:rPr>
        <w:t xml:space="preserve"> turi pradėti ne vėliau kaip per 2 </w:t>
      </w:r>
      <w:r w:rsidR="009C517A">
        <w:rPr>
          <w:sz w:val="20"/>
          <w:szCs w:val="20"/>
        </w:rPr>
        <w:t xml:space="preserve">(dvi) </w:t>
      </w:r>
      <w:r w:rsidR="00427A78">
        <w:rPr>
          <w:sz w:val="20"/>
          <w:szCs w:val="20"/>
        </w:rPr>
        <w:t>savaites nuo užsakymo gavimo.</w:t>
      </w:r>
      <w:r w:rsidR="00B129F9" w:rsidRPr="00427A78">
        <w:rPr>
          <w:rFonts w:cs="Arial"/>
          <w:bCs/>
          <w:sz w:val="20"/>
          <w:szCs w:val="20"/>
        </w:rPr>
        <w:br w:type="page"/>
      </w:r>
    </w:p>
    <w:bookmarkEnd w:id="0"/>
    <w:p w14:paraId="43DE3208" w14:textId="170372BB" w:rsidR="005B760E" w:rsidRPr="0043712E" w:rsidRDefault="005B760E" w:rsidP="00E13170">
      <w:pPr>
        <w:pStyle w:val="ListParagraph"/>
        <w:numPr>
          <w:ilvl w:val="0"/>
          <w:numId w:val="3"/>
        </w:numPr>
        <w:pBdr>
          <w:top w:val="single" w:sz="8" w:space="1" w:color="auto"/>
          <w:bottom w:val="single" w:sz="8" w:space="1" w:color="auto"/>
        </w:pBdr>
        <w:shd w:val="clear" w:color="auto" w:fill="EDEDED"/>
        <w:spacing w:before="120" w:after="120"/>
        <w:contextualSpacing w:val="0"/>
        <w:rPr>
          <w:rStyle w:val="Laukeliai"/>
          <w:rFonts w:eastAsia="Arial" w:cs="Arial"/>
          <w:b/>
          <w:bCs/>
          <w:szCs w:val="20"/>
        </w:rPr>
      </w:pPr>
      <w:r>
        <w:rPr>
          <w:rStyle w:val="Laukeliai"/>
          <w:rFonts w:eastAsia="Arial" w:cs="Arial"/>
          <w:b/>
          <w:bCs/>
          <w:szCs w:val="20"/>
        </w:rPr>
        <w:lastRenderedPageBreak/>
        <w:t>TECHNINĖS SPECIFIKACIJOS PRIEDAI</w:t>
      </w:r>
    </w:p>
    <w:tbl>
      <w:tblPr>
        <w:tblStyle w:val="TableGrid"/>
        <w:tblW w:w="0" w:type="auto"/>
        <w:tblInd w:w="-5" w:type="dxa"/>
        <w:tblLook w:val="04A0" w:firstRow="1" w:lastRow="0" w:firstColumn="1" w:lastColumn="0" w:noHBand="0" w:noVBand="1"/>
      </w:tblPr>
      <w:tblGrid>
        <w:gridCol w:w="709"/>
        <w:gridCol w:w="4478"/>
        <w:gridCol w:w="2239"/>
        <w:gridCol w:w="2207"/>
      </w:tblGrid>
      <w:tr w:rsidR="005B760E" w14:paraId="00DE2EBC" w14:textId="77777777" w:rsidTr="00E13170">
        <w:tc>
          <w:tcPr>
            <w:tcW w:w="709" w:type="dxa"/>
            <w:vAlign w:val="center"/>
          </w:tcPr>
          <w:p w14:paraId="627ED3AD" w14:textId="15E5C2FA"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E</w:t>
            </w:r>
            <w:r w:rsidRPr="00097C7A">
              <w:rPr>
                <w:i/>
                <w:sz w:val="20"/>
                <w:szCs w:val="20"/>
              </w:rPr>
              <w:t>il. Nr.</w:t>
            </w:r>
          </w:p>
        </w:tc>
        <w:tc>
          <w:tcPr>
            <w:tcW w:w="4478" w:type="dxa"/>
            <w:vAlign w:val="center"/>
          </w:tcPr>
          <w:p w14:paraId="368B90AE" w14:textId="3EFFF16C"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P</w:t>
            </w:r>
            <w:r w:rsidRPr="00097C7A">
              <w:rPr>
                <w:i/>
                <w:sz w:val="20"/>
                <w:szCs w:val="20"/>
              </w:rPr>
              <w:t>avadinimas</w:t>
            </w:r>
          </w:p>
        </w:tc>
        <w:tc>
          <w:tcPr>
            <w:tcW w:w="2239" w:type="dxa"/>
            <w:vAlign w:val="center"/>
          </w:tcPr>
          <w:p w14:paraId="233A2E37" w14:textId="5B2BF861"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P</w:t>
            </w:r>
            <w:r w:rsidRPr="00097C7A">
              <w:rPr>
                <w:i/>
                <w:sz w:val="20"/>
                <w:szCs w:val="20"/>
              </w:rPr>
              <w:t>astaba</w:t>
            </w:r>
          </w:p>
        </w:tc>
        <w:tc>
          <w:tcPr>
            <w:tcW w:w="2207" w:type="dxa"/>
            <w:vAlign w:val="center"/>
          </w:tcPr>
          <w:p w14:paraId="0A0BC701" w14:textId="3D033CF6" w:rsidR="005B760E" w:rsidRPr="00097C7A" w:rsidRDefault="005B760E" w:rsidP="00097C7A">
            <w:pPr>
              <w:pStyle w:val="ListParagraph"/>
              <w:tabs>
                <w:tab w:val="left" w:pos="540"/>
              </w:tabs>
              <w:spacing w:before="60" w:after="60"/>
              <w:ind w:left="0" w:firstLine="0"/>
              <w:jc w:val="center"/>
              <w:rPr>
                <w:rFonts w:cs="Arial"/>
                <w:i/>
                <w:sz w:val="20"/>
                <w:szCs w:val="20"/>
              </w:rPr>
            </w:pPr>
            <w:r w:rsidRPr="00097C7A">
              <w:rPr>
                <w:rFonts w:cs="Arial"/>
                <w:i/>
                <w:sz w:val="20"/>
                <w:szCs w:val="20"/>
              </w:rPr>
              <w:t>L</w:t>
            </w:r>
            <w:r w:rsidRPr="00097C7A">
              <w:rPr>
                <w:i/>
                <w:sz w:val="20"/>
                <w:szCs w:val="20"/>
              </w:rPr>
              <w:t>apai</w:t>
            </w:r>
          </w:p>
        </w:tc>
      </w:tr>
      <w:tr w:rsidR="00D02E44" w14:paraId="2C03BCF9" w14:textId="77777777" w:rsidTr="00E13170">
        <w:tc>
          <w:tcPr>
            <w:tcW w:w="709" w:type="dxa"/>
          </w:tcPr>
          <w:p w14:paraId="66B38CB4" w14:textId="20126791" w:rsidR="00D02E44" w:rsidRPr="00097C7A" w:rsidRDefault="00097C7A" w:rsidP="00D02E44">
            <w:pPr>
              <w:pStyle w:val="ListParagraph"/>
              <w:spacing w:before="60" w:after="60"/>
              <w:ind w:left="0" w:firstLine="0"/>
              <w:jc w:val="both"/>
              <w:rPr>
                <w:rFonts w:cs="Arial"/>
                <w:iCs/>
                <w:sz w:val="20"/>
                <w:szCs w:val="20"/>
              </w:rPr>
            </w:pPr>
            <w:r w:rsidRPr="00097C7A">
              <w:rPr>
                <w:rFonts w:cs="Arial"/>
                <w:iCs/>
                <w:sz w:val="20"/>
                <w:szCs w:val="20"/>
              </w:rPr>
              <w:t>1</w:t>
            </w:r>
          </w:p>
        </w:tc>
        <w:tc>
          <w:tcPr>
            <w:tcW w:w="4478" w:type="dxa"/>
            <w:vAlign w:val="center"/>
          </w:tcPr>
          <w:p w14:paraId="1129CE41" w14:textId="49832B18" w:rsidR="00D02E44" w:rsidRPr="00097C7A" w:rsidRDefault="008B4EBF" w:rsidP="00D02E44">
            <w:pPr>
              <w:pStyle w:val="ListParagraph"/>
              <w:spacing w:before="60" w:after="60"/>
              <w:ind w:left="37" w:firstLine="0"/>
              <w:jc w:val="both"/>
              <w:rPr>
                <w:rFonts w:cs="Arial"/>
                <w:iCs/>
                <w:sz w:val="20"/>
                <w:szCs w:val="20"/>
              </w:rPr>
            </w:pPr>
            <w:r>
              <w:rPr>
                <w:rFonts w:cs="Arial"/>
                <w:iCs/>
                <w:sz w:val="20"/>
                <w:szCs w:val="20"/>
              </w:rPr>
              <w:t>Demontavimo planas</w:t>
            </w:r>
          </w:p>
        </w:tc>
        <w:tc>
          <w:tcPr>
            <w:tcW w:w="2239" w:type="dxa"/>
            <w:vAlign w:val="center"/>
          </w:tcPr>
          <w:p w14:paraId="0BDA5208" w14:textId="24D9A2BF"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5189BC25" w14:textId="1B629692" w:rsidR="00D02E44" w:rsidRPr="00097C7A" w:rsidRDefault="008B4EBF" w:rsidP="00D02E44">
            <w:pPr>
              <w:pStyle w:val="ListParagraph"/>
              <w:spacing w:before="60" w:after="60"/>
              <w:ind w:left="0" w:firstLine="0"/>
              <w:jc w:val="both"/>
              <w:rPr>
                <w:rFonts w:cs="Arial"/>
                <w:iCs/>
                <w:sz w:val="20"/>
                <w:szCs w:val="20"/>
              </w:rPr>
            </w:pPr>
            <w:r>
              <w:rPr>
                <w:rFonts w:cs="Arial"/>
                <w:iCs/>
                <w:sz w:val="20"/>
                <w:szCs w:val="20"/>
              </w:rPr>
              <w:t>2</w:t>
            </w:r>
          </w:p>
        </w:tc>
      </w:tr>
      <w:tr w:rsidR="00D02E44" w14:paraId="3838BA11" w14:textId="77777777" w:rsidTr="00E13170">
        <w:tc>
          <w:tcPr>
            <w:tcW w:w="709" w:type="dxa"/>
          </w:tcPr>
          <w:p w14:paraId="267554A8" w14:textId="3D3A5098" w:rsidR="00D02E44" w:rsidRPr="00097C7A" w:rsidRDefault="00097C7A" w:rsidP="00D02E44">
            <w:pPr>
              <w:pStyle w:val="ListParagraph"/>
              <w:spacing w:before="60" w:after="60"/>
              <w:ind w:left="0" w:firstLine="0"/>
              <w:jc w:val="both"/>
              <w:rPr>
                <w:rFonts w:cs="Arial"/>
                <w:iCs/>
                <w:sz w:val="20"/>
                <w:szCs w:val="20"/>
              </w:rPr>
            </w:pPr>
            <w:r w:rsidRPr="00097C7A">
              <w:rPr>
                <w:rFonts w:cs="Arial"/>
                <w:iCs/>
                <w:sz w:val="20"/>
                <w:szCs w:val="20"/>
              </w:rPr>
              <w:t>2</w:t>
            </w:r>
          </w:p>
        </w:tc>
        <w:tc>
          <w:tcPr>
            <w:tcW w:w="4478" w:type="dxa"/>
            <w:vAlign w:val="center"/>
          </w:tcPr>
          <w:p w14:paraId="7E3D6D58" w14:textId="19D5249D" w:rsidR="00D02E44" w:rsidRPr="00097C7A" w:rsidRDefault="008B4EBF" w:rsidP="00D65E11">
            <w:pPr>
              <w:pStyle w:val="ListParagraph"/>
              <w:spacing w:before="60" w:after="60"/>
              <w:ind w:left="37" w:firstLine="0"/>
              <w:jc w:val="both"/>
              <w:rPr>
                <w:rFonts w:cs="Arial"/>
                <w:iCs/>
                <w:sz w:val="20"/>
                <w:szCs w:val="20"/>
              </w:rPr>
            </w:pPr>
            <w:r>
              <w:rPr>
                <w:rFonts w:cs="Arial"/>
                <w:iCs/>
                <w:sz w:val="20"/>
                <w:szCs w:val="20"/>
              </w:rPr>
              <w:t>Atliekų tvarkymo statybvietėje reikalavimai</w:t>
            </w:r>
          </w:p>
        </w:tc>
        <w:tc>
          <w:tcPr>
            <w:tcW w:w="2239" w:type="dxa"/>
            <w:vAlign w:val="center"/>
          </w:tcPr>
          <w:p w14:paraId="1598D1A4" w14:textId="7AB3BC3E" w:rsidR="00D02E44" w:rsidRPr="00097C7A" w:rsidRDefault="00D02E44" w:rsidP="00D02E44">
            <w:pPr>
              <w:pStyle w:val="ListParagraph"/>
              <w:spacing w:before="60" w:after="60"/>
              <w:ind w:left="0" w:firstLine="0"/>
              <w:jc w:val="both"/>
              <w:rPr>
                <w:rFonts w:cs="Arial"/>
                <w:iCs/>
                <w:sz w:val="20"/>
                <w:szCs w:val="20"/>
              </w:rPr>
            </w:pPr>
            <w:r w:rsidRPr="00097C7A">
              <w:rPr>
                <w:sz w:val="20"/>
                <w:szCs w:val="20"/>
              </w:rPr>
              <w:t>-</w:t>
            </w:r>
          </w:p>
        </w:tc>
        <w:tc>
          <w:tcPr>
            <w:tcW w:w="2207" w:type="dxa"/>
            <w:vAlign w:val="center"/>
          </w:tcPr>
          <w:p w14:paraId="22AF400B" w14:textId="396E95F9" w:rsidR="00D02E44" w:rsidRPr="00097C7A" w:rsidRDefault="00D4124B" w:rsidP="00D02E44">
            <w:pPr>
              <w:pStyle w:val="ListParagraph"/>
              <w:spacing w:before="60" w:after="60"/>
              <w:ind w:left="0" w:firstLine="0"/>
              <w:jc w:val="both"/>
              <w:rPr>
                <w:rFonts w:cs="Arial"/>
                <w:iCs/>
                <w:sz w:val="20"/>
                <w:szCs w:val="20"/>
              </w:rPr>
            </w:pPr>
            <w:r>
              <w:rPr>
                <w:rFonts w:cs="Arial"/>
                <w:iCs/>
                <w:sz w:val="20"/>
                <w:szCs w:val="20"/>
              </w:rPr>
              <w:t>11</w:t>
            </w:r>
          </w:p>
        </w:tc>
      </w:tr>
      <w:tr w:rsidR="008B7F27" w14:paraId="13D1104E" w14:textId="77777777" w:rsidTr="00E13170">
        <w:tc>
          <w:tcPr>
            <w:tcW w:w="709" w:type="dxa"/>
          </w:tcPr>
          <w:p w14:paraId="3D4BF305" w14:textId="566B3370" w:rsidR="008B7F27" w:rsidRPr="00097C7A" w:rsidRDefault="008B7F27" w:rsidP="00D02E44">
            <w:pPr>
              <w:pStyle w:val="ListParagraph"/>
              <w:spacing w:before="60" w:after="60"/>
              <w:ind w:left="0" w:firstLine="0"/>
              <w:jc w:val="both"/>
              <w:rPr>
                <w:rFonts w:cs="Arial"/>
                <w:iCs/>
                <w:sz w:val="20"/>
                <w:szCs w:val="20"/>
              </w:rPr>
            </w:pPr>
            <w:r>
              <w:rPr>
                <w:rFonts w:cs="Arial"/>
                <w:iCs/>
                <w:sz w:val="20"/>
                <w:szCs w:val="20"/>
              </w:rPr>
              <w:t>3</w:t>
            </w:r>
          </w:p>
        </w:tc>
        <w:tc>
          <w:tcPr>
            <w:tcW w:w="4478" w:type="dxa"/>
            <w:vAlign w:val="center"/>
          </w:tcPr>
          <w:p w14:paraId="25B6E12F" w14:textId="2442241B" w:rsidR="008B7F27" w:rsidRDefault="008B7F27" w:rsidP="00D65E11">
            <w:pPr>
              <w:pStyle w:val="ListParagraph"/>
              <w:spacing w:before="60" w:after="60"/>
              <w:ind w:left="37" w:firstLine="0"/>
              <w:jc w:val="both"/>
              <w:rPr>
                <w:rFonts w:cs="Arial"/>
                <w:iCs/>
                <w:sz w:val="20"/>
                <w:szCs w:val="20"/>
              </w:rPr>
            </w:pPr>
            <w:r>
              <w:rPr>
                <w:rFonts w:cs="Arial"/>
                <w:iCs/>
                <w:sz w:val="20"/>
                <w:szCs w:val="20"/>
              </w:rPr>
              <w:t>Fotofiksacija</w:t>
            </w:r>
          </w:p>
        </w:tc>
        <w:tc>
          <w:tcPr>
            <w:tcW w:w="2239" w:type="dxa"/>
            <w:vAlign w:val="center"/>
          </w:tcPr>
          <w:p w14:paraId="73E97DCC" w14:textId="186FDFE0" w:rsidR="008B7F27" w:rsidRPr="00097C7A" w:rsidRDefault="008B7F27" w:rsidP="00D02E44">
            <w:pPr>
              <w:pStyle w:val="ListParagraph"/>
              <w:spacing w:before="60" w:after="60"/>
              <w:ind w:left="0" w:firstLine="0"/>
              <w:jc w:val="both"/>
              <w:rPr>
                <w:sz w:val="20"/>
                <w:szCs w:val="20"/>
              </w:rPr>
            </w:pPr>
            <w:r>
              <w:rPr>
                <w:sz w:val="20"/>
                <w:szCs w:val="20"/>
              </w:rPr>
              <w:t>-</w:t>
            </w:r>
          </w:p>
        </w:tc>
        <w:tc>
          <w:tcPr>
            <w:tcW w:w="2207" w:type="dxa"/>
            <w:vAlign w:val="center"/>
          </w:tcPr>
          <w:p w14:paraId="5F8BDE03" w14:textId="034AD3D3" w:rsidR="008B7F27" w:rsidRDefault="008B7F27" w:rsidP="00D02E44">
            <w:pPr>
              <w:pStyle w:val="ListParagraph"/>
              <w:spacing w:before="60" w:after="60"/>
              <w:ind w:left="0" w:firstLine="0"/>
              <w:jc w:val="both"/>
              <w:rPr>
                <w:rFonts w:cs="Arial"/>
                <w:iCs/>
                <w:sz w:val="20"/>
                <w:szCs w:val="20"/>
              </w:rPr>
            </w:pPr>
            <w:r>
              <w:rPr>
                <w:rFonts w:cs="Arial"/>
                <w:iCs/>
                <w:sz w:val="20"/>
                <w:szCs w:val="20"/>
              </w:rPr>
              <w:t>12</w:t>
            </w:r>
          </w:p>
        </w:tc>
      </w:tr>
    </w:tbl>
    <w:p w14:paraId="1C861AA4" w14:textId="2491DC77" w:rsidR="00164D00" w:rsidRPr="005B760E" w:rsidRDefault="00164D00" w:rsidP="002A70C1">
      <w:pPr>
        <w:pStyle w:val="ListParagraph"/>
        <w:tabs>
          <w:tab w:val="left" w:pos="540"/>
        </w:tabs>
        <w:spacing w:before="60" w:after="60"/>
        <w:ind w:left="709" w:firstLine="0"/>
        <w:jc w:val="both"/>
        <w:rPr>
          <w:rFonts w:cs="Arial"/>
          <w:iCs/>
          <w:sz w:val="20"/>
          <w:szCs w:val="20"/>
        </w:rPr>
      </w:pPr>
    </w:p>
    <w:sectPr w:rsidR="00164D00" w:rsidRPr="005B760E" w:rsidSect="00F54F7D">
      <w:headerReference w:type="default" r:id="rId8"/>
      <w:footerReference w:type="default" r:id="rId9"/>
      <w:headerReference w:type="first" r:id="rId10"/>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7643" w14:textId="77777777" w:rsidR="005C4C1C" w:rsidRDefault="005C4C1C" w:rsidP="002D3D62">
      <w:r>
        <w:separator/>
      </w:r>
    </w:p>
  </w:endnote>
  <w:endnote w:type="continuationSeparator" w:id="0">
    <w:p w14:paraId="2580A26B" w14:textId="77777777" w:rsidR="005C4C1C" w:rsidRDefault="005C4C1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tc>
        <w:tcPr>
          <w:tcW w:w="4153" w:type="pct"/>
        </w:tcPr>
        <w:p w14:paraId="5ADADD9C" w14:textId="77777777" w:rsidR="00B50719" w:rsidRPr="000D4EE7" w:rsidRDefault="00B50719" w:rsidP="00B50719">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06DF" w14:textId="77777777" w:rsidR="005C4C1C" w:rsidRDefault="005C4C1C" w:rsidP="002D3D62">
      <w:r>
        <w:separator/>
      </w:r>
    </w:p>
  </w:footnote>
  <w:footnote w:type="continuationSeparator" w:id="0">
    <w:p w14:paraId="71FC5ACC" w14:textId="77777777" w:rsidR="005C4C1C" w:rsidRDefault="005C4C1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7A767420" w:rsidR="00F54F7D" w:rsidRDefault="00F54F7D" w:rsidP="00F54F7D">
    <w:pPr>
      <w:pStyle w:val="Header"/>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p w14:paraId="10B23A9B" w14:textId="19B4708C"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067E5"/>
    <w:multiLevelType w:val="multilevel"/>
    <w:tmpl w:val="F1BC4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61CE0"/>
    <w:multiLevelType w:val="multilevel"/>
    <w:tmpl w:val="AA72719C"/>
    <w:lvl w:ilvl="0">
      <w:start w:val="1"/>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bCs w:val="0"/>
        <w:i w:val="0"/>
        <w:iCs/>
        <w:color w:val="auto"/>
      </w:rPr>
    </w:lvl>
    <w:lvl w:ilvl="2">
      <w:start w:val="1"/>
      <w:numFmt w:val="decimal"/>
      <w:isLgl/>
      <w:lvlText w:val="%1.%2.%3."/>
      <w:lvlJc w:val="left"/>
      <w:pPr>
        <w:ind w:left="1418" w:hanging="851"/>
      </w:pPr>
      <w:rPr>
        <w:rFonts w:hint="default"/>
        <w:b w:val="0"/>
        <w:bCs w:val="0"/>
        <w:i w:val="0"/>
        <w:iCs/>
        <w:color w:val="auto"/>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50326D0"/>
    <w:multiLevelType w:val="multilevel"/>
    <w:tmpl w:val="5094A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54966"/>
    <w:multiLevelType w:val="multilevel"/>
    <w:tmpl w:val="347C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20F6B"/>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A37614"/>
    <w:multiLevelType w:val="multilevel"/>
    <w:tmpl w:val="7498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219F8"/>
    <w:multiLevelType w:val="multilevel"/>
    <w:tmpl w:val="07549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43E93"/>
    <w:multiLevelType w:val="multilevel"/>
    <w:tmpl w:val="A44093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8FE5705"/>
    <w:multiLevelType w:val="multilevel"/>
    <w:tmpl w:val="53D4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7401C"/>
    <w:multiLevelType w:val="multilevel"/>
    <w:tmpl w:val="4D18E7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E114C"/>
    <w:multiLevelType w:val="multilevel"/>
    <w:tmpl w:val="746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69286D"/>
    <w:multiLevelType w:val="multilevel"/>
    <w:tmpl w:val="17F20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C439BF"/>
    <w:multiLevelType w:val="multilevel"/>
    <w:tmpl w:val="1EEA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140479"/>
    <w:multiLevelType w:val="multilevel"/>
    <w:tmpl w:val="95DA6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CD6ACD"/>
    <w:multiLevelType w:val="multilevel"/>
    <w:tmpl w:val="252EAC34"/>
    <w:lvl w:ilvl="0">
      <w:start w:val="6"/>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i w:val="0"/>
        <w:iCs/>
        <w:color w:val="auto"/>
      </w:rPr>
    </w:lvl>
    <w:lvl w:ilvl="2">
      <w:start w:val="1"/>
      <w:numFmt w:val="decimal"/>
      <w:isLgl/>
      <w:lvlText w:val="%1.%2.%3."/>
      <w:lvlJc w:val="left"/>
      <w:pPr>
        <w:ind w:left="1418" w:hanging="851"/>
      </w:pPr>
      <w:rPr>
        <w:rFonts w:hint="default"/>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B15415"/>
    <w:multiLevelType w:val="multilevel"/>
    <w:tmpl w:val="C6D4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5A1192"/>
    <w:multiLevelType w:val="multilevel"/>
    <w:tmpl w:val="61AC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2E5F9E"/>
    <w:multiLevelType w:val="multilevel"/>
    <w:tmpl w:val="D52C9E26"/>
    <w:numStyleLink w:val="Stilius1"/>
  </w:abstractNum>
  <w:abstractNum w:abstractNumId="27"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8"/>
  </w:num>
  <w:num w:numId="2" w16cid:durableId="390009096">
    <w:abstractNumId w:val="7"/>
  </w:num>
  <w:num w:numId="3" w16cid:durableId="288828410">
    <w:abstractNumId w:val="2"/>
  </w:num>
  <w:num w:numId="4" w16cid:durableId="1975020092">
    <w:abstractNumId w:val="25"/>
  </w:num>
  <w:num w:numId="5" w16cid:durableId="541359198">
    <w:abstractNumId w:val="21"/>
  </w:num>
  <w:num w:numId="6" w16cid:durableId="1317764691">
    <w:abstractNumId w:val="19"/>
  </w:num>
  <w:num w:numId="7" w16cid:durableId="610669460">
    <w:abstractNumId w:val="0"/>
  </w:num>
  <w:num w:numId="8" w16cid:durableId="447820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7"/>
  </w:num>
  <w:num w:numId="11" w16cid:durableId="1484739909">
    <w:abstractNumId w:val="3"/>
  </w:num>
  <w:num w:numId="12" w16cid:durableId="796800323">
    <w:abstractNumId w:val="26"/>
  </w:num>
  <w:num w:numId="13" w16cid:durableId="914048533">
    <w:abstractNumId w:val="12"/>
  </w:num>
  <w:num w:numId="14" w16cid:durableId="1107970822">
    <w:abstractNumId w:val="27"/>
  </w:num>
  <w:num w:numId="15" w16cid:durableId="1705907050">
    <w:abstractNumId w:val="23"/>
  </w:num>
  <w:num w:numId="16" w16cid:durableId="1298950436">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720" w:hanging="360"/>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16cid:durableId="1442605358">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405306149">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418" w:hanging="851"/>
        </w:pPr>
        <w:rPr>
          <w:rFonts w:hint="default"/>
          <w:b w:val="0"/>
          <w:bCs w:val="0"/>
          <w:i w:val="0"/>
          <w:iCs/>
          <w:color w:val="auto"/>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766458704">
    <w:abstractNumId w:val="6"/>
  </w:num>
  <w:num w:numId="20" w16cid:durableId="1691099939">
    <w:abstractNumId w:val="2"/>
    <w:lvlOverride w:ilvl="0">
      <w:lvl w:ilvl="0">
        <w:start w:val="1"/>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val="0"/>
          <w:i w:val="0"/>
          <w:iCs/>
          <w:color w:val="auto"/>
        </w:rPr>
      </w:lvl>
    </w:lvlOverride>
    <w:lvlOverride w:ilvl="2">
      <w:lvl w:ilvl="2">
        <w:start w:val="1"/>
        <w:numFmt w:val="decimal"/>
        <w:isLgl/>
        <w:lvlText w:val="%1.%2.%3."/>
        <w:lvlJc w:val="left"/>
        <w:pPr>
          <w:ind w:left="1080" w:hanging="720"/>
        </w:pPr>
        <w:rPr>
          <w:rFonts w:hint="default"/>
          <w:b w:val="0"/>
          <w:bCs w:val="0"/>
          <w:i w:val="0"/>
          <w:iCs/>
          <w:color w:val="auto"/>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880634888">
    <w:abstractNumId w:val="19"/>
    <w:lvlOverride w:ilvl="0">
      <w:lvl w:ilvl="0">
        <w:start w:val="7"/>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i w:val="0"/>
          <w:iCs w:val="0"/>
          <w:color w:val="auto"/>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125634494">
    <w:abstractNumId w:val="19"/>
    <w:lvlOverride w:ilvl="0">
      <w:lvl w:ilvl="0">
        <w:start w:val="7"/>
        <w:numFmt w:val="decimal"/>
        <w:lvlText w:val="%1."/>
        <w:lvlJc w:val="left"/>
        <w:pPr>
          <w:ind w:left="567" w:hanging="567"/>
        </w:pPr>
        <w:rPr>
          <w:rFonts w:hint="default"/>
          <w:b/>
          <w:color w:val="auto"/>
        </w:rPr>
      </w:lvl>
    </w:lvlOverride>
    <w:lvlOverride w:ilvl="1">
      <w:lvl w:ilvl="1">
        <w:start w:val="1"/>
        <w:numFmt w:val="decimal"/>
        <w:isLgl/>
        <w:lvlText w:val="%1.%2."/>
        <w:lvlJc w:val="left"/>
        <w:pPr>
          <w:ind w:left="567" w:hanging="567"/>
        </w:pPr>
        <w:rPr>
          <w:rFonts w:hint="default"/>
          <w:b w:val="0"/>
          <w:bCs/>
          <w:i w:val="0"/>
          <w:iCs w:val="0"/>
          <w:color w:val="auto"/>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268" w:hanging="85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4908534">
    <w:abstractNumId w:val="20"/>
  </w:num>
  <w:num w:numId="24" w16cid:durableId="907615220">
    <w:abstractNumId w:val="22"/>
  </w:num>
  <w:num w:numId="25" w16cid:durableId="988479982">
    <w:abstractNumId w:val="24"/>
  </w:num>
  <w:num w:numId="26" w16cid:durableId="818766445">
    <w:abstractNumId w:val="14"/>
  </w:num>
  <w:num w:numId="27" w16cid:durableId="1006515245">
    <w:abstractNumId w:val="15"/>
  </w:num>
  <w:num w:numId="28" w16cid:durableId="1405031884">
    <w:abstractNumId w:val="16"/>
  </w:num>
  <w:num w:numId="29" w16cid:durableId="463741872">
    <w:abstractNumId w:val="4"/>
  </w:num>
  <w:num w:numId="30" w16cid:durableId="1356687722">
    <w:abstractNumId w:val="5"/>
  </w:num>
  <w:num w:numId="31" w16cid:durableId="1962682532">
    <w:abstractNumId w:val="1"/>
  </w:num>
  <w:num w:numId="32" w16cid:durableId="8991720">
    <w:abstractNumId w:val="10"/>
  </w:num>
  <w:num w:numId="33" w16cid:durableId="1599752167">
    <w:abstractNumId w:val="11"/>
  </w:num>
  <w:num w:numId="34" w16cid:durableId="233860369">
    <w:abstractNumId w:val="9"/>
  </w:num>
  <w:num w:numId="35" w16cid:durableId="875198667">
    <w:abstractNumId w:val="13"/>
  </w:num>
  <w:num w:numId="36" w16cid:durableId="1348678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4C5A"/>
    <w:rsid w:val="00006D0A"/>
    <w:rsid w:val="00015665"/>
    <w:rsid w:val="00015FD9"/>
    <w:rsid w:val="00017F26"/>
    <w:rsid w:val="00021E89"/>
    <w:rsid w:val="00024F08"/>
    <w:rsid w:val="000254C5"/>
    <w:rsid w:val="0003080C"/>
    <w:rsid w:val="0003169D"/>
    <w:rsid w:val="0004589D"/>
    <w:rsid w:val="000510B6"/>
    <w:rsid w:val="00054768"/>
    <w:rsid w:val="000550E7"/>
    <w:rsid w:val="000612C3"/>
    <w:rsid w:val="00075EB9"/>
    <w:rsid w:val="00097C7A"/>
    <w:rsid w:val="000A6324"/>
    <w:rsid w:val="000C3717"/>
    <w:rsid w:val="000C4448"/>
    <w:rsid w:val="000C6334"/>
    <w:rsid w:val="000C7336"/>
    <w:rsid w:val="000D5971"/>
    <w:rsid w:val="000E31DC"/>
    <w:rsid w:val="000E3B08"/>
    <w:rsid w:val="000E6F54"/>
    <w:rsid w:val="000F3D0E"/>
    <w:rsid w:val="000F536D"/>
    <w:rsid w:val="00102EEE"/>
    <w:rsid w:val="00116C38"/>
    <w:rsid w:val="0013168D"/>
    <w:rsid w:val="00132B7F"/>
    <w:rsid w:val="00134418"/>
    <w:rsid w:val="00154F48"/>
    <w:rsid w:val="001552A2"/>
    <w:rsid w:val="00161190"/>
    <w:rsid w:val="00164D00"/>
    <w:rsid w:val="00166164"/>
    <w:rsid w:val="00166979"/>
    <w:rsid w:val="001671F3"/>
    <w:rsid w:val="00170316"/>
    <w:rsid w:val="001755C5"/>
    <w:rsid w:val="00181F18"/>
    <w:rsid w:val="0019353D"/>
    <w:rsid w:val="001A3061"/>
    <w:rsid w:val="001B18DB"/>
    <w:rsid w:val="001B51FA"/>
    <w:rsid w:val="001C105E"/>
    <w:rsid w:val="001D5791"/>
    <w:rsid w:val="001D65E7"/>
    <w:rsid w:val="001E3258"/>
    <w:rsid w:val="001F06BF"/>
    <w:rsid w:val="001F06FF"/>
    <w:rsid w:val="001F08DC"/>
    <w:rsid w:val="001F2411"/>
    <w:rsid w:val="001F2ABD"/>
    <w:rsid w:val="001F50D7"/>
    <w:rsid w:val="001F70D7"/>
    <w:rsid w:val="00202ED0"/>
    <w:rsid w:val="00212A75"/>
    <w:rsid w:val="00212C90"/>
    <w:rsid w:val="002201B8"/>
    <w:rsid w:val="002245C4"/>
    <w:rsid w:val="00226919"/>
    <w:rsid w:val="0022762E"/>
    <w:rsid w:val="00241300"/>
    <w:rsid w:val="002449FE"/>
    <w:rsid w:val="00244D2B"/>
    <w:rsid w:val="002473B0"/>
    <w:rsid w:val="00251719"/>
    <w:rsid w:val="002647CA"/>
    <w:rsid w:val="002657B3"/>
    <w:rsid w:val="002719A5"/>
    <w:rsid w:val="00275989"/>
    <w:rsid w:val="002775AA"/>
    <w:rsid w:val="002871B9"/>
    <w:rsid w:val="002875A2"/>
    <w:rsid w:val="00290FF8"/>
    <w:rsid w:val="002A70C1"/>
    <w:rsid w:val="002B76B3"/>
    <w:rsid w:val="002C1089"/>
    <w:rsid w:val="002C5C47"/>
    <w:rsid w:val="002D3D62"/>
    <w:rsid w:val="002D5BD3"/>
    <w:rsid w:val="002E3735"/>
    <w:rsid w:val="002F572B"/>
    <w:rsid w:val="002F5B41"/>
    <w:rsid w:val="0031054E"/>
    <w:rsid w:val="00330B94"/>
    <w:rsid w:val="00331D62"/>
    <w:rsid w:val="00345283"/>
    <w:rsid w:val="00350C40"/>
    <w:rsid w:val="00353D0E"/>
    <w:rsid w:val="0035426C"/>
    <w:rsid w:val="00356874"/>
    <w:rsid w:val="003570FE"/>
    <w:rsid w:val="00362946"/>
    <w:rsid w:val="00367110"/>
    <w:rsid w:val="00374639"/>
    <w:rsid w:val="00374B19"/>
    <w:rsid w:val="00375322"/>
    <w:rsid w:val="0038091B"/>
    <w:rsid w:val="0038100E"/>
    <w:rsid w:val="00383CEA"/>
    <w:rsid w:val="00395633"/>
    <w:rsid w:val="003A017B"/>
    <w:rsid w:val="003A295F"/>
    <w:rsid w:val="003A721A"/>
    <w:rsid w:val="003B09D1"/>
    <w:rsid w:val="003C4BED"/>
    <w:rsid w:val="003C5276"/>
    <w:rsid w:val="003C5434"/>
    <w:rsid w:val="003C731B"/>
    <w:rsid w:val="003D1870"/>
    <w:rsid w:val="003D3BD3"/>
    <w:rsid w:val="003F0C8D"/>
    <w:rsid w:val="004008B7"/>
    <w:rsid w:val="004014B8"/>
    <w:rsid w:val="00407660"/>
    <w:rsid w:val="0042723C"/>
    <w:rsid w:val="00427A78"/>
    <w:rsid w:val="00431C7E"/>
    <w:rsid w:val="00447B4E"/>
    <w:rsid w:val="00451281"/>
    <w:rsid w:val="004514A9"/>
    <w:rsid w:val="00455C16"/>
    <w:rsid w:val="00456466"/>
    <w:rsid w:val="00456ACE"/>
    <w:rsid w:val="004604ED"/>
    <w:rsid w:val="00466780"/>
    <w:rsid w:val="0047704D"/>
    <w:rsid w:val="00482364"/>
    <w:rsid w:val="0048396B"/>
    <w:rsid w:val="00484BE1"/>
    <w:rsid w:val="00484EA6"/>
    <w:rsid w:val="00487E76"/>
    <w:rsid w:val="00492FF2"/>
    <w:rsid w:val="004A031A"/>
    <w:rsid w:val="004B0DA1"/>
    <w:rsid w:val="004B0F74"/>
    <w:rsid w:val="004B11FF"/>
    <w:rsid w:val="004B5914"/>
    <w:rsid w:val="004B5A2F"/>
    <w:rsid w:val="004C2508"/>
    <w:rsid w:val="004C6CF5"/>
    <w:rsid w:val="004D6632"/>
    <w:rsid w:val="004E1E8C"/>
    <w:rsid w:val="004E4918"/>
    <w:rsid w:val="004E6D1B"/>
    <w:rsid w:val="00501FA9"/>
    <w:rsid w:val="00502D2C"/>
    <w:rsid w:val="00505F28"/>
    <w:rsid w:val="005062ED"/>
    <w:rsid w:val="00510ADD"/>
    <w:rsid w:val="00510C8F"/>
    <w:rsid w:val="00512160"/>
    <w:rsid w:val="00512D10"/>
    <w:rsid w:val="00513307"/>
    <w:rsid w:val="005161D5"/>
    <w:rsid w:val="0052395F"/>
    <w:rsid w:val="00525981"/>
    <w:rsid w:val="005303C2"/>
    <w:rsid w:val="00544713"/>
    <w:rsid w:val="00545C45"/>
    <w:rsid w:val="00545DCE"/>
    <w:rsid w:val="005460EE"/>
    <w:rsid w:val="005505EE"/>
    <w:rsid w:val="00551D7E"/>
    <w:rsid w:val="00552DEC"/>
    <w:rsid w:val="00553D61"/>
    <w:rsid w:val="0057152C"/>
    <w:rsid w:val="00575021"/>
    <w:rsid w:val="00575CA6"/>
    <w:rsid w:val="00576FBF"/>
    <w:rsid w:val="00581AA9"/>
    <w:rsid w:val="00584554"/>
    <w:rsid w:val="005A2B2F"/>
    <w:rsid w:val="005A6F26"/>
    <w:rsid w:val="005A70A6"/>
    <w:rsid w:val="005B3362"/>
    <w:rsid w:val="005B41C3"/>
    <w:rsid w:val="005B6317"/>
    <w:rsid w:val="005B760E"/>
    <w:rsid w:val="005C1ED2"/>
    <w:rsid w:val="005C403E"/>
    <w:rsid w:val="005C4C1C"/>
    <w:rsid w:val="005C77A3"/>
    <w:rsid w:val="005D0E5F"/>
    <w:rsid w:val="005D332A"/>
    <w:rsid w:val="005D736F"/>
    <w:rsid w:val="005D7C61"/>
    <w:rsid w:val="005F6FCC"/>
    <w:rsid w:val="00606E35"/>
    <w:rsid w:val="00611263"/>
    <w:rsid w:val="00616559"/>
    <w:rsid w:val="006177E9"/>
    <w:rsid w:val="00624876"/>
    <w:rsid w:val="00624B5F"/>
    <w:rsid w:val="00635DB4"/>
    <w:rsid w:val="006415BE"/>
    <w:rsid w:val="00650D56"/>
    <w:rsid w:val="00650D5D"/>
    <w:rsid w:val="00655491"/>
    <w:rsid w:val="00655D85"/>
    <w:rsid w:val="00655F65"/>
    <w:rsid w:val="00655FF0"/>
    <w:rsid w:val="00662B66"/>
    <w:rsid w:val="00664344"/>
    <w:rsid w:val="00670185"/>
    <w:rsid w:val="00682B3D"/>
    <w:rsid w:val="00683D7A"/>
    <w:rsid w:val="00684C1F"/>
    <w:rsid w:val="0069494E"/>
    <w:rsid w:val="006A450A"/>
    <w:rsid w:val="006A7419"/>
    <w:rsid w:val="006B255E"/>
    <w:rsid w:val="006B2AFA"/>
    <w:rsid w:val="006B6980"/>
    <w:rsid w:val="006C2C0A"/>
    <w:rsid w:val="006C5114"/>
    <w:rsid w:val="006D0EB5"/>
    <w:rsid w:val="006D48ED"/>
    <w:rsid w:val="006F7C4C"/>
    <w:rsid w:val="00701D1E"/>
    <w:rsid w:val="00705CDA"/>
    <w:rsid w:val="00706479"/>
    <w:rsid w:val="00714F0B"/>
    <w:rsid w:val="0072512B"/>
    <w:rsid w:val="007340B1"/>
    <w:rsid w:val="007366B4"/>
    <w:rsid w:val="00742E85"/>
    <w:rsid w:val="00750A0A"/>
    <w:rsid w:val="007571DA"/>
    <w:rsid w:val="00757E88"/>
    <w:rsid w:val="00764C59"/>
    <w:rsid w:val="007713F1"/>
    <w:rsid w:val="00774812"/>
    <w:rsid w:val="00777BB7"/>
    <w:rsid w:val="00794E24"/>
    <w:rsid w:val="00796907"/>
    <w:rsid w:val="007A0BDD"/>
    <w:rsid w:val="007A7606"/>
    <w:rsid w:val="007B230A"/>
    <w:rsid w:val="007C2D24"/>
    <w:rsid w:val="007D2195"/>
    <w:rsid w:val="007D5E3B"/>
    <w:rsid w:val="007E22FD"/>
    <w:rsid w:val="007F070C"/>
    <w:rsid w:val="007F3202"/>
    <w:rsid w:val="00800667"/>
    <w:rsid w:val="008025B0"/>
    <w:rsid w:val="00802AE0"/>
    <w:rsid w:val="00806FB8"/>
    <w:rsid w:val="008151DD"/>
    <w:rsid w:val="00827EC7"/>
    <w:rsid w:val="00833EBC"/>
    <w:rsid w:val="00846F25"/>
    <w:rsid w:val="00850676"/>
    <w:rsid w:val="00850AD8"/>
    <w:rsid w:val="00866197"/>
    <w:rsid w:val="0087211C"/>
    <w:rsid w:val="00873C8B"/>
    <w:rsid w:val="00882DAA"/>
    <w:rsid w:val="00883DBC"/>
    <w:rsid w:val="008A64DE"/>
    <w:rsid w:val="008A6D4A"/>
    <w:rsid w:val="008B13E1"/>
    <w:rsid w:val="008B3E12"/>
    <w:rsid w:val="008B4EBF"/>
    <w:rsid w:val="008B7F27"/>
    <w:rsid w:val="008C315A"/>
    <w:rsid w:val="008D22E5"/>
    <w:rsid w:val="008D4AE1"/>
    <w:rsid w:val="008D5442"/>
    <w:rsid w:val="008E01DC"/>
    <w:rsid w:val="008E5B17"/>
    <w:rsid w:val="008E5B36"/>
    <w:rsid w:val="008F440B"/>
    <w:rsid w:val="008F7517"/>
    <w:rsid w:val="008F7DF2"/>
    <w:rsid w:val="009148F5"/>
    <w:rsid w:val="009230AF"/>
    <w:rsid w:val="00923BC0"/>
    <w:rsid w:val="00944584"/>
    <w:rsid w:val="00957319"/>
    <w:rsid w:val="00957B98"/>
    <w:rsid w:val="00960398"/>
    <w:rsid w:val="00960AF4"/>
    <w:rsid w:val="00971961"/>
    <w:rsid w:val="0097250E"/>
    <w:rsid w:val="00977C80"/>
    <w:rsid w:val="00980A28"/>
    <w:rsid w:val="0098482A"/>
    <w:rsid w:val="00985A94"/>
    <w:rsid w:val="009C1812"/>
    <w:rsid w:val="009C2318"/>
    <w:rsid w:val="009C2F06"/>
    <w:rsid w:val="009C517A"/>
    <w:rsid w:val="009D2411"/>
    <w:rsid w:val="009D253E"/>
    <w:rsid w:val="009D75D2"/>
    <w:rsid w:val="009E643A"/>
    <w:rsid w:val="009E78C5"/>
    <w:rsid w:val="00A00893"/>
    <w:rsid w:val="00A036A4"/>
    <w:rsid w:val="00A03E76"/>
    <w:rsid w:val="00A04434"/>
    <w:rsid w:val="00A146CE"/>
    <w:rsid w:val="00A277E2"/>
    <w:rsid w:val="00A3078A"/>
    <w:rsid w:val="00A31222"/>
    <w:rsid w:val="00A405B8"/>
    <w:rsid w:val="00A44E58"/>
    <w:rsid w:val="00A5316D"/>
    <w:rsid w:val="00A54D28"/>
    <w:rsid w:val="00A56A32"/>
    <w:rsid w:val="00A75D85"/>
    <w:rsid w:val="00A80D4A"/>
    <w:rsid w:val="00A868C8"/>
    <w:rsid w:val="00A90BA8"/>
    <w:rsid w:val="00A92C3F"/>
    <w:rsid w:val="00AA0289"/>
    <w:rsid w:val="00AA2EE0"/>
    <w:rsid w:val="00AA3960"/>
    <w:rsid w:val="00AA4A18"/>
    <w:rsid w:val="00AA6F77"/>
    <w:rsid w:val="00AB00BC"/>
    <w:rsid w:val="00AB440F"/>
    <w:rsid w:val="00AB4662"/>
    <w:rsid w:val="00AD4D43"/>
    <w:rsid w:val="00AD778F"/>
    <w:rsid w:val="00AE4675"/>
    <w:rsid w:val="00AF0A0B"/>
    <w:rsid w:val="00AF1D63"/>
    <w:rsid w:val="00AF399E"/>
    <w:rsid w:val="00AF556D"/>
    <w:rsid w:val="00B01D95"/>
    <w:rsid w:val="00B01EC0"/>
    <w:rsid w:val="00B041D2"/>
    <w:rsid w:val="00B129F9"/>
    <w:rsid w:val="00B13B24"/>
    <w:rsid w:val="00B15C62"/>
    <w:rsid w:val="00B15F70"/>
    <w:rsid w:val="00B20291"/>
    <w:rsid w:val="00B276CF"/>
    <w:rsid w:val="00B27E57"/>
    <w:rsid w:val="00B32376"/>
    <w:rsid w:val="00B34BB2"/>
    <w:rsid w:val="00B40EAD"/>
    <w:rsid w:val="00B4614C"/>
    <w:rsid w:val="00B50284"/>
    <w:rsid w:val="00B50719"/>
    <w:rsid w:val="00B545DF"/>
    <w:rsid w:val="00B63239"/>
    <w:rsid w:val="00B70432"/>
    <w:rsid w:val="00B70D8D"/>
    <w:rsid w:val="00B72428"/>
    <w:rsid w:val="00B72545"/>
    <w:rsid w:val="00B849C1"/>
    <w:rsid w:val="00B8531A"/>
    <w:rsid w:val="00B9098B"/>
    <w:rsid w:val="00B92A63"/>
    <w:rsid w:val="00BA6BD8"/>
    <w:rsid w:val="00BB243C"/>
    <w:rsid w:val="00BB669F"/>
    <w:rsid w:val="00BC7514"/>
    <w:rsid w:val="00BD195C"/>
    <w:rsid w:val="00BD3303"/>
    <w:rsid w:val="00BD495D"/>
    <w:rsid w:val="00BF09DA"/>
    <w:rsid w:val="00BF31B5"/>
    <w:rsid w:val="00BF6B1A"/>
    <w:rsid w:val="00BF76B0"/>
    <w:rsid w:val="00BF7E9C"/>
    <w:rsid w:val="00C00057"/>
    <w:rsid w:val="00C00A53"/>
    <w:rsid w:val="00C03B19"/>
    <w:rsid w:val="00C136BB"/>
    <w:rsid w:val="00C14015"/>
    <w:rsid w:val="00C209C8"/>
    <w:rsid w:val="00C31682"/>
    <w:rsid w:val="00C3397E"/>
    <w:rsid w:val="00C479EC"/>
    <w:rsid w:val="00C51745"/>
    <w:rsid w:val="00C7188C"/>
    <w:rsid w:val="00C7457F"/>
    <w:rsid w:val="00C805CB"/>
    <w:rsid w:val="00C81803"/>
    <w:rsid w:val="00C81D80"/>
    <w:rsid w:val="00C82F9A"/>
    <w:rsid w:val="00C91541"/>
    <w:rsid w:val="00CA18F1"/>
    <w:rsid w:val="00CA325A"/>
    <w:rsid w:val="00CA3DC5"/>
    <w:rsid w:val="00CA5269"/>
    <w:rsid w:val="00CA622A"/>
    <w:rsid w:val="00CA66BC"/>
    <w:rsid w:val="00CB0EC8"/>
    <w:rsid w:val="00CC27FF"/>
    <w:rsid w:val="00CD2F0E"/>
    <w:rsid w:val="00CD77CE"/>
    <w:rsid w:val="00CD7E06"/>
    <w:rsid w:val="00CE0EA1"/>
    <w:rsid w:val="00CE3B74"/>
    <w:rsid w:val="00CF740B"/>
    <w:rsid w:val="00CF765D"/>
    <w:rsid w:val="00D02E44"/>
    <w:rsid w:val="00D05DA9"/>
    <w:rsid w:val="00D11130"/>
    <w:rsid w:val="00D16C19"/>
    <w:rsid w:val="00D4124B"/>
    <w:rsid w:val="00D41F49"/>
    <w:rsid w:val="00D43F20"/>
    <w:rsid w:val="00D53311"/>
    <w:rsid w:val="00D628F6"/>
    <w:rsid w:val="00D653E3"/>
    <w:rsid w:val="00D65E11"/>
    <w:rsid w:val="00D66579"/>
    <w:rsid w:val="00D71D3A"/>
    <w:rsid w:val="00D72BB0"/>
    <w:rsid w:val="00D820CE"/>
    <w:rsid w:val="00D82BBB"/>
    <w:rsid w:val="00D950E9"/>
    <w:rsid w:val="00D96741"/>
    <w:rsid w:val="00DB0F1D"/>
    <w:rsid w:val="00DC1C55"/>
    <w:rsid w:val="00DC44AF"/>
    <w:rsid w:val="00DD05E5"/>
    <w:rsid w:val="00DE078D"/>
    <w:rsid w:val="00DE39E3"/>
    <w:rsid w:val="00DE429E"/>
    <w:rsid w:val="00DF4F36"/>
    <w:rsid w:val="00E04641"/>
    <w:rsid w:val="00E05AFA"/>
    <w:rsid w:val="00E1229A"/>
    <w:rsid w:val="00E13170"/>
    <w:rsid w:val="00E20D80"/>
    <w:rsid w:val="00E23B1E"/>
    <w:rsid w:val="00E25094"/>
    <w:rsid w:val="00E2760B"/>
    <w:rsid w:val="00E43746"/>
    <w:rsid w:val="00E45265"/>
    <w:rsid w:val="00E46C3D"/>
    <w:rsid w:val="00E6481D"/>
    <w:rsid w:val="00E70F21"/>
    <w:rsid w:val="00E75F86"/>
    <w:rsid w:val="00E83809"/>
    <w:rsid w:val="00E87B79"/>
    <w:rsid w:val="00E9375E"/>
    <w:rsid w:val="00EA200F"/>
    <w:rsid w:val="00EA26D5"/>
    <w:rsid w:val="00EA61F7"/>
    <w:rsid w:val="00EB1ED7"/>
    <w:rsid w:val="00EB26F1"/>
    <w:rsid w:val="00EC0980"/>
    <w:rsid w:val="00ED348F"/>
    <w:rsid w:val="00ED3BFD"/>
    <w:rsid w:val="00EE1941"/>
    <w:rsid w:val="00EE4F78"/>
    <w:rsid w:val="00EF51B3"/>
    <w:rsid w:val="00F0323B"/>
    <w:rsid w:val="00F0709C"/>
    <w:rsid w:val="00F159AB"/>
    <w:rsid w:val="00F177F3"/>
    <w:rsid w:val="00F20C23"/>
    <w:rsid w:val="00F27FC2"/>
    <w:rsid w:val="00F42C51"/>
    <w:rsid w:val="00F45757"/>
    <w:rsid w:val="00F45904"/>
    <w:rsid w:val="00F54F7D"/>
    <w:rsid w:val="00F5543A"/>
    <w:rsid w:val="00F55BCB"/>
    <w:rsid w:val="00F62940"/>
    <w:rsid w:val="00F64FDB"/>
    <w:rsid w:val="00F82EBC"/>
    <w:rsid w:val="00F848E5"/>
    <w:rsid w:val="00F9306F"/>
    <w:rsid w:val="00F93B8D"/>
    <w:rsid w:val="00FA0329"/>
    <w:rsid w:val="00FA27A2"/>
    <w:rsid w:val="00FA49A9"/>
    <w:rsid w:val="00FA60B5"/>
    <w:rsid w:val="00FB1EEA"/>
    <w:rsid w:val="00FB2EF8"/>
    <w:rsid w:val="00FB55F6"/>
    <w:rsid w:val="00FB5F2E"/>
    <w:rsid w:val="00FC1E11"/>
    <w:rsid w:val="00FE3547"/>
    <w:rsid w:val="00FE6BFB"/>
    <w:rsid w:val="00FF08B9"/>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16230890-A513-4B16-ABD2-4F078CFA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Normal"/>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Caption">
    <w:name w:val="caption"/>
    <w:basedOn w:val="Normal"/>
    <w:next w:val="Normal"/>
    <w:uiPriority w:val="35"/>
    <w:unhideWhenUsed/>
    <w:qFormat/>
    <w:rsid w:val="00CD77CE"/>
    <w:pPr>
      <w:spacing w:after="200"/>
    </w:pPr>
    <w:rPr>
      <w:i/>
      <w:iCs/>
      <w:color w:val="0E2841" w:themeColor="text2"/>
      <w:sz w:val="18"/>
      <w:szCs w:val="18"/>
    </w:rPr>
  </w:style>
  <w:style w:type="character" w:customStyle="1" w:styleId="Heading5Char">
    <w:name w:val="Heading 5 Char"/>
    <w:basedOn w:val="DefaultParagraphFont"/>
    <w:rsid w:val="00D02E44"/>
    <w:rPr>
      <w:rFonts w:ascii="Calibri Light" w:eastAsia="Times New Roman" w:hAnsi="Calibri Light" w:cs="Times New Roman"/>
      <w:color w:val="2F5496"/>
      <w:sz w:val="20"/>
    </w:rPr>
  </w:style>
  <w:style w:type="table" w:customStyle="1" w:styleId="TableGrid2">
    <w:name w:val="Table Grid2"/>
    <w:basedOn w:val="TableNormal"/>
    <w:next w:val="TableGrid"/>
    <w:rsid w:val="00510ADD"/>
    <w:pPr>
      <w:autoSpaceDN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0763">
      <w:bodyDiv w:val="1"/>
      <w:marLeft w:val="0"/>
      <w:marRight w:val="0"/>
      <w:marTop w:val="0"/>
      <w:marBottom w:val="0"/>
      <w:divBdr>
        <w:top w:val="none" w:sz="0" w:space="0" w:color="auto"/>
        <w:left w:val="none" w:sz="0" w:space="0" w:color="auto"/>
        <w:bottom w:val="none" w:sz="0" w:space="0" w:color="auto"/>
        <w:right w:val="none" w:sz="0" w:space="0" w:color="auto"/>
      </w:divBdr>
      <w:divsChild>
        <w:div w:id="34425826">
          <w:marLeft w:val="0"/>
          <w:marRight w:val="0"/>
          <w:marTop w:val="0"/>
          <w:marBottom w:val="0"/>
          <w:divBdr>
            <w:top w:val="none" w:sz="0" w:space="0" w:color="auto"/>
            <w:left w:val="none" w:sz="0" w:space="0" w:color="auto"/>
            <w:bottom w:val="none" w:sz="0" w:space="0" w:color="auto"/>
            <w:right w:val="none" w:sz="0" w:space="0" w:color="auto"/>
          </w:divBdr>
        </w:div>
        <w:div w:id="91709766">
          <w:marLeft w:val="0"/>
          <w:marRight w:val="0"/>
          <w:marTop w:val="0"/>
          <w:marBottom w:val="0"/>
          <w:divBdr>
            <w:top w:val="none" w:sz="0" w:space="0" w:color="auto"/>
            <w:left w:val="none" w:sz="0" w:space="0" w:color="auto"/>
            <w:bottom w:val="none" w:sz="0" w:space="0" w:color="auto"/>
            <w:right w:val="none" w:sz="0" w:space="0" w:color="auto"/>
          </w:divBdr>
        </w:div>
        <w:div w:id="608241024">
          <w:marLeft w:val="0"/>
          <w:marRight w:val="0"/>
          <w:marTop w:val="0"/>
          <w:marBottom w:val="0"/>
          <w:divBdr>
            <w:top w:val="none" w:sz="0" w:space="0" w:color="auto"/>
            <w:left w:val="none" w:sz="0" w:space="0" w:color="auto"/>
            <w:bottom w:val="none" w:sz="0" w:space="0" w:color="auto"/>
            <w:right w:val="none" w:sz="0" w:space="0" w:color="auto"/>
          </w:divBdr>
        </w:div>
        <w:div w:id="835344348">
          <w:marLeft w:val="0"/>
          <w:marRight w:val="0"/>
          <w:marTop w:val="0"/>
          <w:marBottom w:val="0"/>
          <w:divBdr>
            <w:top w:val="none" w:sz="0" w:space="0" w:color="auto"/>
            <w:left w:val="none" w:sz="0" w:space="0" w:color="auto"/>
            <w:bottom w:val="none" w:sz="0" w:space="0" w:color="auto"/>
            <w:right w:val="none" w:sz="0" w:space="0" w:color="auto"/>
          </w:divBdr>
        </w:div>
        <w:div w:id="858392435">
          <w:marLeft w:val="0"/>
          <w:marRight w:val="0"/>
          <w:marTop w:val="0"/>
          <w:marBottom w:val="0"/>
          <w:divBdr>
            <w:top w:val="none" w:sz="0" w:space="0" w:color="auto"/>
            <w:left w:val="none" w:sz="0" w:space="0" w:color="auto"/>
            <w:bottom w:val="none" w:sz="0" w:space="0" w:color="auto"/>
            <w:right w:val="none" w:sz="0" w:space="0" w:color="auto"/>
          </w:divBdr>
        </w:div>
        <w:div w:id="899755923">
          <w:marLeft w:val="0"/>
          <w:marRight w:val="0"/>
          <w:marTop w:val="0"/>
          <w:marBottom w:val="0"/>
          <w:divBdr>
            <w:top w:val="none" w:sz="0" w:space="0" w:color="auto"/>
            <w:left w:val="none" w:sz="0" w:space="0" w:color="auto"/>
            <w:bottom w:val="none" w:sz="0" w:space="0" w:color="auto"/>
            <w:right w:val="none" w:sz="0" w:space="0" w:color="auto"/>
          </w:divBdr>
        </w:div>
        <w:div w:id="965157463">
          <w:marLeft w:val="0"/>
          <w:marRight w:val="0"/>
          <w:marTop w:val="0"/>
          <w:marBottom w:val="0"/>
          <w:divBdr>
            <w:top w:val="none" w:sz="0" w:space="0" w:color="auto"/>
            <w:left w:val="none" w:sz="0" w:space="0" w:color="auto"/>
            <w:bottom w:val="none" w:sz="0" w:space="0" w:color="auto"/>
            <w:right w:val="none" w:sz="0" w:space="0" w:color="auto"/>
          </w:divBdr>
        </w:div>
        <w:div w:id="1052535642">
          <w:marLeft w:val="0"/>
          <w:marRight w:val="0"/>
          <w:marTop w:val="0"/>
          <w:marBottom w:val="0"/>
          <w:divBdr>
            <w:top w:val="none" w:sz="0" w:space="0" w:color="auto"/>
            <w:left w:val="none" w:sz="0" w:space="0" w:color="auto"/>
            <w:bottom w:val="none" w:sz="0" w:space="0" w:color="auto"/>
            <w:right w:val="none" w:sz="0" w:space="0" w:color="auto"/>
          </w:divBdr>
        </w:div>
        <w:div w:id="1665283707">
          <w:marLeft w:val="0"/>
          <w:marRight w:val="0"/>
          <w:marTop w:val="0"/>
          <w:marBottom w:val="0"/>
          <w:divBdr>
            <w:top w:val="none" w:sz="0" w:space="0" w:color="auto"/>
            <w:left w:val="none" w:sz="0" w:space="0" w:color="auto"/>
            <w:bottom w:val="none" w:sz="0" w:space="0" w:color="auto"/>
            <w:right w:val="none" w:sz="0" w:space="0" w:color="auto"/>
          </w:divBdr>
        </w:div>
        <w:div w:id="1698893468">
          <w:marLeft w:val="0"/>
          <w:marRight w:val="0"/>
          <w:marTop w:val="0"/>
          <w:marBottom w:val="0"/>
          <w:divBdr>
            <w:top w:val="none" w:sz="0" w:space="0" w:color="auto"/>
            <w:left w:val="none" w:sz="0" w:space="0" w:color="auto"/>
            <w:bottom w:val="none" w:sz="0" w:space="0" w:color="auto"/>
            <w:right w:val="none" w:sz="0" w:space="0" w:color="auto"/>
          </w:divBdr>
        </w:div>
        <w:div w:id="1763716078">
          <w:marLeft w:val="0"/>
          <w:marRight w:val="0"/>
          <w:marTop w:val="0"/>
          <w:marBottom w:val="0"/>
          <w:divBdr>
            <w:top w:val="none" w:sz="0" w:space="0" w:color="auto"/>
            <w:left w:val="none" w:sz="0" w:space="0" w:color="auto"/>
            <w:bottom w:val="none" w:sz="0" w:space="0" w:color="auto"/>
            <w:right w:val="none" w:sz="0" w:space="0" w:color="auto"/>
          </w:divBdr>
        </w:div>
        <w:div w:id="1828087616">
          <w:marLeft w:val="0"/>
          <w:marRight w:val="0"/>
          <w:marTop w:val="0"/>
          <w:marBottom w:val="0"/>
          <w:divBdr>
            <w:top w:val="none" w:sz="0" w:space="0" w:color="auto"/>
            <w:left w:val="none" w:sz="0" w:space="0" w:color="auto"/>
            <w:bottom w:val="none" w:sz="0" w:space="0" w:color="auto"/>
            <w:right w:val="none" w:sz="0" w:space="0" w:color="auto"/>
          </w:divBdr>
        </w:div>
        <w:div w:id="1927565966">
          <w:marLeft w:val="0"/>
          <w:marRight w:val="0"/>
          <w:marTop w:val="0"/>
          <w:marBottom w:val="0"/>
          <w:divBdr>
            <w:top w:val="none" w:sz="0" w:space="0" w:color="auto"/>
            <w:left w:val="none" w:sz="0" w:space="0" w:color="auto"/>
            <w:bottom w:val="none" w:sz="0" w:space="0" w:color="auto"/>
            <w:right w:val="none" w:sz="0" w:space="0" w:color="auto"/>
          </w:divBdr>
        </w:div>
        <w:div w:id="2023972847">
          <w:marLeft w:val="0"/>
          <w:marRight w:val="0"/>
          <w:marTop w:val="0"/>
          <w:marBottom w:val="0"/>
          <w:divBdr>
            <w:top w:val="none" w:sz="0" w:space="0" w:color="auto"/>
            <w:left w:val="none" w:sz="0" w:space="0" w:color="auto"/>
            <w:bottom w:val="none" w:sz="0" w:space="0" w:color="auto"/>
            <w:right w:val="none" w:sz="0" w:space="0" w:color="auto"/>
          </w:divBdr>
        </w:div>
      </w:divsChild>
    </w:div>
    <w:div w:id="905185767">
      <w:bodyDiv w:val="1"/>
      <w:marLeft w:val="0"/>
      <w:marRight w:val="0"/>
      <w:marTop w:val="0"/>
      <w:marBottom w:val="0"/>
      <w:divBdr>
        <w:top w:val="none" w:sz="0" w:space="0" w:color="auto"/>
        <w:left w:val="none" w:sz="0" w:space="0" w:color="auto"/>
        <w:bottom w:val="none" w:sz="0" w:space="0" w:color="auto"/>
        <w:right w:val="none" w:sz="0" w:space="0" w:color="auto"/>
      </w:divBdr>
      <w:divsChild>
        <w:div w:id="190919653">
          <w:marLeft w:val="0"/>
          <w:marRight w:val="0"/>
          <w:marTop w:val="0"/>
          <w:marBottom w:val="0"/>
          <w:divBdr>
            <w:top w:val="none" w:sz="0" w:space="0" w:color="auto"/>
            <w:left w:val="none" w:sz="0" w:space="0" w:color="auto"/>
            <w:bottom w:val="none" w:sz="0" w:space="0" w:color="auto"/>
            <w:right w:val="none" w:sz="0" w:space="0" w:color="auto"/>
          </w:divBdr>
        </w:div>
        <w:div w:id="395514621">
          <w:marLeft w:val="0"/>
          <w:marRight w:val="0"/>
          <w:marTop w:val="0"/>
          <w:marBottom w:val="0"/>
          <w:divBdr>
            <w:top w:val="none" w:sz="0" w:space="0" w:color="auto"/>
            <w:left w:val="none" w:sz="0" w:space="0" w:color="auto"/>
            <w:bottom w:val="none" w:sz="0" w:space="0" w:color="auto"/>
            <w:right w:val="none" w:sz="0" w:space="0" w:color="auto"/>
          </w:divBdr>
        </w:div>
        <w:div w:id="467862674">
          <w:marLeft w:val="0"/>
          <w:marRight w:val="0"/>
          <w:marTop w:val="0"/>
          <w:marBottom w:val="0"/>
          <w:divBdr>
            <w:top w:val="none" w:sz="0" w:space="0" w:color="auto"/>
            <w:left w:val="none" w:sz="0" w:space="0" w:color="auto"/>
            <w:bottom w:val="none" w:sz="0" w:space="0" w:color="auto"/>
            <w:right w:val="none" w:sz="0" w:space="0" w:color="auto"/>
          </w:divBdr>
        </w:div>
        <w:div w:id="499582835">
          <w:marLeft w:val="0"/>
          <w:marRight w:val="0"/>
          <w:marTop w:val="0"/>
          <w:marBottom w:val="0"/>
          <w:divBdr>
            <w:top w:val="none" w:sz="0" w:space="0" w:color="auto"/>
            <w:left w:val="none" w:sz="0" w:space="0" w:color="auto"/>
            <w:bottom w:val="none" w:sz="0" w:space="0" w:color="auto"/>
            <w:right w:val="none" w:sz="0" w:space="0" w:color="auto"/>
          </w:divBdr>
        </w:div>
        <w:div w:id="973679290">
          <w:marLeft w:val="0"/>
          <w:marRight w:val="0"/>
          <w:marTop w:val="0"/>
          <w:marBottom w:val="0"/>
          <w:divBdr>
            <w:top w:val="none" w:sz="0" w:space="0" w:color="auto"/>
            <w:left w:val="none" w:sz="0" w:space="0" w:color="auto"/>
            <w:bottom w:val="none" w:sz="0" w:space="0" w:color="auto"/>
            <w:right w:val="none" w:sz="0" w:space="0" w:color="auto"/>
          </w:divBdr>
        </w:div>
        <w:div w:id="1027363985">
          <w:marLeft w:val="0"/>
          <w:marRight w:val="0"/>
          <w:marTop w:val="0"/>
          <w:marBottom w:val="0"/>
          <w:divBdr>
            <w:top w:val="none" w:sz="0" w:space="0" w:color="auto"/>
            <w:left w:val="none" w:sz="0" w:space="0" w:color="auto"/>
            <w:bottom w:val="none" w:sz="0" w:space="0" w:color="auto"/>
            <w:right w:val="none" w:sz="0" w:space="0" w:color="auto"/>
          </w:divBdr>
        </w:div>
        <w:div w:id="1159273366">
          <w:marLeft w:val="0"/>
          <w:marRight w:val="0"/>
          <w:marTop w:val="0"/>
          <w:marBottom w:val="0"/>
          <w:divBdr>
            <w:top w:val="none" w:sz="0" w:space="0" w:color="auto"/>
            <w:left w:val="none" w:sz="0" w:space="0" w:color="auto"/>
            <w:bottom w:val="none" w:sz="0" w:space="0" w:color="auto"/>
            <w:right w:val="none" w:sz="0" w:space="0" w:color="auto"/>
          </w:divBdr>
        </w:div>
        <w:div w:id="1267812918">
          <w:marLeft w:val="0"/>
          <w:marRight w:val="0"/>
          <w:marTop w:val="0"/>
          <w:marBottom w:val="0"/>
          <w:divBdr>
            <w:top w:val="none" w:sz="0" w:space="0" w:color="auto"/>
            <w:left w:val="none" w:sz="0" w:space="0" w:color="auto"/>
            <w:bottom w:val="none" w:sz="0" w:space="0" w:color="auto"/>
            <w:right w:val="none" w:sz="0" w:space="0" w:color="auto"/>
          </w:divBdr>
        </w:div>
        <w:div w:id="1356349999">
          <w:marLeft w:val="0"/>
          <w:marRight w:val="0"/>
          <w:marTop w:val="0"/>
          <w:marBottom w:val="0"/>
          <w:divBdr>
            <w:top w:val="none" w:sz="0" w:space="0" w:color="auto"/>
            <w:left w:val="none" w:sz="0" w:space="0" w:color="auto"/>
            <w:bottom w:val="none" w:sz="0" w:space="0" w:color="auto"/>
            <w:right w:val="none" w:sz="0" w:space="0" w:color="auto"/>
          </w:divBdr>
        </w:div>
        <w:div w:id="1385955350">
          <w:marLeft w:val="0"/>
          <w:marRight w:val="0"/>
          <w:marTop w:val="0"/>
          <w:marBottom w:val="0"/>
          <w:divBdr>
            <w:top w:val="none" w:sz="0" w:space="0" w:color="auto"/>
            <w:left w:val="none" w:sz="0" w:space="0" w:color="auto"/>
            <w:bottom w:val="none" w:sz="0" w:space="0" w:color="auto"/>
            <w:right w:val="none" w:sz="0" w:space="0" w:color="auto"/>
          </w:divBdr>
        </w:div>
        <w:div w:id="1563906883">
          <w:marLeft w:val="0"/>
          <w:marRight w:val="0"/>
          <w:marTop w:val="0"/>
          <w:marBottom w:val="0"/>
          <w:divBdr>
            <w:top w:val="none" w:sz="0" w:space="0" w:color="auto"/>
            <w:left w:val="none" w:sz="0" w:space="0" w:color="auto"/>
            <w:bottom w:val="none" w:sz="0" w:space="0" w:color="auto"/>
            <w:right w:val="none" w:sz="0" w:space="0" w:color="auto"/>
          </w:divBdr>
        </w:div>
        <w:div w:id="1659072853">
          <w:marLeft w:val="0"/>
          <w:marRight w:val="0"/>
          <w:marTop w:val="0"/>
          <w:marBottom w:val="0"/>
          <w:divBdr>
            <w:top w:val="none" w:sz="0" w:space="0" w:color="auto"/>
            <w:left w:val="none" w:sz="0" w:space="0" w:color="auto"/>
            <w:bottom w:val="none" w:sz="0" w:space="0" w:color="auto"/>
            <w:right w:val="none" w:sz="0" w:space="0" w:color="auto"/>
          </w:divBdr>
        </w:div>
        <w:div w:id="1777090320">
          <w:marLeft w:val="0"/>
          <w:marRight w:val="0"/>
          <w:marTop w:val="0"/>
          <w:marBottom w:val="0"/>
          <w:divBdr>
            <w:top w:val="none" w:sz="0" w:space="0" w:color="auto"/>
            <w:left w:val="none" w:sz="0" w:space="0" w:color="auto"/>
            <w:bottom w:val="none" w:sz="0" w:space="0" w:color="auto"/>
            <w:right w:val="none" w:sz="0" w:space="0" w:color="auto"/>
          </w:divBdr>
        </w:div>
        <w:div w:id="2016106333">
          <w:marLeft w:val="0"/>
          <w:marRight w:val="0"/>
          <w:marTop w:val="0"/>
          <w:marBottom w:val="0"/>
          <w:divBdr>
            <w:top w:val="none" w:sz="0" w:space="0" w:color="auto"/>
            <w:left w:val="none" w:sz="0" w:space="0" w:color="auto"/>
            <w:bottom w:val="none" w:sz="0" w:space="0" w:color="auto"/>
            <w:right w:val="none" w:sz="0" w:space="0" w:color="auto"/>
          </w:divBdr>
        </w:div>
      </w:divsChild>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8EA2-686F-4633-A236-CBE5955E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9655</Words>
  <Characters>5504</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2</cp:revision>
  <dcterms:created xsi:type="dcterms:W3CDTF">2026-06-22T11:02:00Z</dcterms:created>
  <dcterms:modified xsi:type="dcterms:W3CDTF">2026-06-22T11:02:00Z</dcterms:modified>
</cp:coreProperties>
</file>