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CA97" w14:textId="77777777" w:rsidR="00390A1F" w:rsidRPr="00390A1F" w:rsidRDefault="00390A1F" w:rsidP="00390A1F">
      <w:pPr>
        <w:jc w:val="center"/>
      </w:pPr>
      <w:r>
        <w:t>ATSAKYMAI Į TIEKĖJŲ KLAUSIMUS</w:t>
      </w:r>
    </w:p>
    <w:p w14:paraId="70DAF3C5" w14:textId="77777777" w:rsidR="00390A1F" w:rsidRDefault="00390A1F" w:rsidP="00390A1F">
      <w:pPr>
        <w:rPr>
          <w:lang w:val="lt-LT"/>
        </w:rPr>
      </w:pPr>
    </w:p>
    <w:p w14:paraId="1AC6C295" w14:textId="77777777" w:rsidR="00390A1F" w:rsidRDefault="00390A1F" w:rsidP="00390A1F">
      <w:pPr>
        <w:rPr>
          <w:lang w:val="lt-LT"/>
        </w:rPr>
      </w:pPr>
    </w:p>
    <w:p w14:paraId="562384E7" w14:textId="77777777" w:rsidR="00390A1F" w:rsidRDefault="00390A1F" w:rsidP="00390A1F">
      <w:pPr>
        <w:rPr>
          <w:lang w:val="lt-LT"/>
        </w:rPr>
      </w:pPr>
      <w:r>
        <w:rPr>
          <w:lang w:val="lt-LT"/>
        </w:rPr>
        <w:t>Pirkimo pavadinimas: KONTO ir BONUS programų vystymas ir priežiūros paslaugos</w:t>
      </w:r>
    </w:p>
    <w:p w14:paraId="2BAE634B" w14:textId="77777777" w:rsidR="00390A1F" w:rsidRDefault="00390A1F" w:rsidP="00390A1F">
      <w:pPr>
        <w:rPr>
          <w:lang w:val="lt-LT"/>
        </w:rPr>
      </w:pPr>
      <w:r>
        <w:rPr>
          <w:lang w:val="lt-LT"/>
        </w:rPr>
        <w:t>Pirkimo numeris: 5284</w:t>
      </w:r>
    </w:p>
    <w:p w14:paraId="5C23F1C3" w14:textId="77777777" w:rsidR="00390A1F" w:rsidRDefault="00390A1F" w:rsidP="00390A1F">
      <w:pPr>
        <w:rPr>
          <w:lang w:val="lt-LT"/>
        </w:rPr>
      </w:pPr>
      <w:r>
        <w:rPr>
          <w:lang w:val="lt-LT"/>
        </w:rPr>
        <w:t>Pirkimo CVP IS numeris: 8416198</w:t>
      </w:r>
    </w:p>
    <w:p w14:paraId="69FEA48C" w14:textId="77777777" w:rsidR="00390A1F" w:rsidRDefault="00390A1F" w:rsidP="00390A1F">
      <w:pPr>
        <w:rPr>
          <w:lang w:val="lt-LT"/>
        </w:rPr>
      </w:pPr>
    </w:p>
    <w:tbl>
      <w:tblPr>
        <w:tblStyle w:val="Lentelstinklelis"/>
        <w:tblW w:w="9895" w:type="dxa"/>
        <w:tblLook w:val="04A0" w:firstRow="1" w:lastRow="0" w:firstColumn="1" w:lastColumn="0" w:noHBand="0" w:noVBand="1"/>
      </w:tblPr>
      <w:tblGrid>
        <w:gridCol w:w="9895"/>
      </w:tblGrid>
      <w:tr w:rsidR="00390A1F" w14:paraId="13564563" w14:textId="77777777" w:rsidTr="00390A1F">
        <w:tc>
          <w:tcPr>
            <w:tcW w:w="9895" w:type="dxa"/>
          </w:tcPr>
          <w:p w14:paraId="68FB7F79" w14:textId="77777777" w:rsidR="00555E51" w:rsidRDefault="00261653">
            <w:r>
              <w:t>1 KLAUSIMAS (kategorija: sutarties sąlygos, klausimo įvedimo data: 2026-06-23):</w:t>
            </w:r>
          </w:p>
        </w:tc>
      </w:tr>
      <w:tr w:rsidR="00555E51" w14:paraId="670A5CBC" w14:textId="77777777">
        <w:tc>
          <w:tcPr>
            <w:tcW w:w="9895" w:type="dxa"/>
          </w:tcPr>
          <w:p w14:paraId="6FB0A72D" w14:textId="77777777" w:rsidR="00555E51" w:rsidRDefault="00261653">
            <w:r>
              <w:t>Prašytume apsvarstyti netesybų dydį 9.3. p., įvertinant, ar jis protingas ir atitinkantis minimalumo principą. Paminėtina, kad netesybos yra siejamos su minimaliais nuostoliais, kurių nereikia įrodinėti ("netesybos yra nukreiptos į minimalių kreditoriaus nuostolių atlyginimą" Lietuvos Aukščiausiojo Teismo 2005 m. spalio 19 d. nutartis, priimta civilinėje byloje Nr. 3K-7-378/2005). Taip pat, siūlytume svarstyti galimybę susieti netesybų dydį su nesuteiktų paslaugų verte – tai leistų užtikrinti jų proporcingu</w:t>
            </w:r>
            <w:r>
              <w:t>mą ir protingumą. Pavyzdžiui, numatyti, kad Tiekėjui taikoma 10 (dešimt) procentų dydžio bauda nuo pažeidimo padarymo dieną nepanaudotos Sutarties vertės be PVM.</w:t>
            </w:r>
          </w:p>
        </w:tc>
      </w:tr>
      <w:tr w:rsidR="00555E51" w14:paraId="4518CA47" w14:textId="77777777">
        <w:tc>
          <w:tcPr>
            <w:tcW w:w="9895" w:type="dxa"/>
          </w:tcPr>
          <w:p w14:paraId="13948E03" w14:textId="77777777" w:rsidR="00555E51" w:rsidRDefault="00261653">
            <w:r>
              <w:t>ATSAKYMAS:</w:t>
            </w:r>
          </w:p>
        </w:tc>
      </w:tr>
      <w:tr w:rsidR="00555E51" w14:paraId="32FC59B7" w14:textId="77777777">
        <w:tc>
          <w:tcPr>
            <w:tcW w:w="9895" w:type="dxa"/>
          </w:tcPr>
          <w:p w14:paraId="6314E0AE" w14:textId="77777777" w:rsidR="00555E51" w:rsidRDefault="00261653">
            <w:r>
              <w:t>Pažymime, kad nesutinkame su siūlymu keisti Sutartyje nustatytą netesybų dydį ar jų skaičiavimo principus.</w:t>
            </w:r>
            <w:r>
              <w:br/>
              <w:t>Pabrėžiame, kad:</w:t>
            </w:r>
            <w:r>
              <w:br/>
              <w:t>Sutartyje nustatytos netesybos yra suformuluotos įvertinus paslaugų pobūdį, jų svarbą bei galimas rizikas, susijusias su netinkamu Sutarties vykdymu, ir laikytinos proporcingomis bei atitinkančiomis teisės aktų reikalavimus.</w:t>
            </w:r>
            <w:r>
              <w:br/>
              <w:t>Nors teisingai nurodote, kad netesybos laikomos minimaliais kreditoriaus nuostoliais, pažymėtina, kad pagal kasacinio teismo praktiką jos taip pat atlieka prevencinę ir drausminančią funkciją, t. y.:</w:t>
            </w:r>
            <w:r>
              <w:br/>
              <w:t>·</w:t>
            </w:r>
            <w:r>
              <w:tab/>
              <w:t>skatina tinkamą Sutarties vykdymą,</w:t>
            </w:r>
            <w:r>
              <w:br/>
              <w:t>·</w:t>
            </w:r>
            <w:r>
              <w:tab/>
              <w:t>mažina pažeidimų tikimybę,</w:t>
            </w:r>
            <w:r>
              <w:br/>
              <w:t>·</w:t>
            </w:r>
            <w:r>
              <w:tab/>
              <w:t>u</w:t>
            </w:r>
            <w:r>
              <w:t>žtikrina realią Sutarties laikymosi kontrolę.</w:t>
            </w:r>
            <w:r>
              <w:br/>
              <w:t>Todėl netesybos negali būti redukuojamos tik iki faktiškai ar formaliai „nesuteiktų paslaugų vertės“ dydžio.</w:t>
            </w:r>
            <w:r>
              <w:br/>
              <w:t>Papildomai pažymime, kad Jūsų siūlymas:</w:t>
            </w:r>
            <w:r>
              <w:br/>
              <w:t>·</w:t>
            </w:r>
            <w:r>
              <w:tab/>
              <w:t>sieti netesybas su nepanaudota Sutarties verte,</w:t>
            </w:r>
            <w:r>
              <w:br/>
              <w:t>·</w:t>
            </w:r>
            <w:r>
              <w:tab/>
              <w:t>ar kitaip jas susiaurinti iki „tiesioginio finansinio poveikio“,</w:t>
            </w:r>
            <w:r>
              <w:br/>
              <w:t>neatitinka Sutarties tikslų, kadangi:</w:t>
            </w:r>
            <w:r>
              <w:br/>
              <w:t>·</w:t>
            </w:r>
            <w:r>
              <w:tab/>
              <w:t>paslaugų pažeidimai gali sukelti reikšmingas nefinansines pasekmes (pvz., veiklos sutrikimus, reputacinę žalą, saugumo rizikas),</w:t>
            </w:r>
            <w:r>
              <w:br/>
              <w:t>·</w:t>
            </w:r>
            <w:r>
              <w:tab/>
              <w:t>tokios pasekmės nėra tiesiogi</w:t>
            </w:r>
            <w:r>
              <w:t>ai susietos su konkrečios paslaugos vertės dalimi,</w:t>
            </w:r>
            <w:r>
              <w:br/>
              <w:t>·</w:t>
            </w:r>
            <w:r>
              <w:tab/>
              <w:t>todėl siauras netesybų siejimas su kainos elementais nepagrįstai ribotų jų funkciją.</w:t>
            </w:r>
            <w:r>
              <w:br/>
              <w:t>Taip pat pažymime, kad:</w:t>
            </w:r>
            <w:r>
              <w:br/>
              <w:t>šalių susitarimu nustatytas netesybų dydis savaime nelaikytinas neproporcingu vien dėl to, kad jis nėra tiesiogiai susietas su konkrečios paslaugos verte.</w:t>
            </w:r>
            <w:r>
              <w:br/>
              <w:t>Jūsų siūlomas 10 proc. dydžio modelis:</w:t>
            </w:r>
            <w:r>
              <w:br/>
              <w:t>·</w:t>
            </w:r>
            <w:r>
              <w:tab/>
              <w:t>nėra pagrįstas Sutarties specifika,</w:t>
            </w:r>
            <w:r>
              <w:br/>
              <w:t>·</w:t>
            </w:r>
            <w:r>
              <w:tab/>
              <w:t>nepagrįstai apribotų užsakovo galimybę užtikrinti tinkamą Sutarties vykdymą,</w:t>
            </w:r>
            <w:r>
              <w:br/>
              <w:t>·</w:t>
            </w:r>
            <w:r>
              <w:tab/>
              <w:t>iš esmės sumažintų netesybų efektyvum</w:t>
            </w:r>
            <w:r>
              <w:t>ą.</w:t>
            </w:r>
            <w:r>
              <w:br/>
              <w:t>Atsižvelgiant į tai:</w:t>
            </w:r>
            <w:r>
              <w:br/>
              <w:t>·</w:t>
            </w:r>
            <w:r>
              <w:tab/>
              <w:t>Jūsų pasiūlymas laikytinas nepagrįstu;</w:t>
            </w:r>
            <w:r>
              <w:br/>
            </w:r>
            <w:r>
              <w:lastRenderedPageBreak/>
              <w:t>·</w:t>
            </w:r>
            <w:r>
              <w:tab/>
              <w:t>Sutartyje nustatytas netesybų dydis ir jų taikymo principai yra laikomi tinkamais;</w:t>
            </w:r>
            <w:r>
              <w:br/>
              <w:t>Sutarties sąlygų keitimas šiuo aspektu nebus atliekamas.</w:t>
            </w:r>
            <w:r>
              <w:br/>
            </w:r>
          </w:p>
        </w:tc>
      </w:tr>
      <w:tr w:rsidR="00555E51" w14:paraId="2CFE8C9B" w14:textId="77777777">
        <w:tc>
          <w:tcPr>
            <w:tcW w:w="9895" w:type="dxa"/>
          </w:tcPr>
          <w:p w14:paraId="160A878B" w14:textId="77777777" w:rsidR="00555E51" w:rsidRDefault="00261653">
            <w:r>
              <w:lastRenderedPageBreak/>
              <w:t>2 KLAUSIMAS (kategorija: sutarties sąlygos, klausimo įvedimo data: 2026-06-23):</w:t>
            </w:r>
          </w:p>
        </w:tc>
      </w:tr>
      <w:tr w:rsidR="00555E51" w14:paraId="039D9EAD" w14:textId="77777777">
        <w:tc>
          <w:tcPr>
            <w:tcW w:w="9895" w:type="dxa"/>
          </w:tcPr>
          <w:p w14:paraId="3C64D71F" w14:textId="77777777" w:rsidR="00555E51" w:rsidRDefault="00261653">
            <w:r>
              <w:t>10.2. Dideli arba nuolatiniai esminės Sutarties sąlygos vykdymo trūkumai:</w:t>
            </w:r>
            <w:r>
              <w:br/>
              <w:t>10.2.1. Tiekėjo pavėluotas Paslaugų teikimas daugiau nei 5 (penkias) darbo dienas bent 2 (du) kartus Sutarties galiojimo laikotarpiu;</w:t>
            </w:r>
            <w:r>
              <w:br/>
              <w:t>10.2.2. Paslaugų neatitiktis Sutarties ar teisės aktų reikalavimams bent 2 (du) kartus</w:t>
            </w:r>
            <w:r>
              <w:br/>
              <w:t>Klausimas</w:t>
            </w:r>
            <w:r>
              <w:br/>
              <w:t>Norėtume atkreipti dėmesį, kad ne kiekvienas pažeidimas savaime gali būti laikomas dideliu ar </w:t>
            </w:r>
            <w:r>
              <w:br/>
              <w:t>nuolatiniu esminės Sutarties sąlygos vykdymo trūkumu. Pačioje nuostatoje vartojamos sąvokos </w:t>
            </w:r>
            <w:r>
              <w:br/>
              <w:t>„didelis“ ir „nuolatinis“ suponuoja, kad tokia kvalifikacija reikalauja papildomo teisinio i</w:t>
            </w:r>
            <w:r>
              <w:t>r faktinio </w:t>
            </w:r>
            <w:r>
              <w:br/>
              <w:t>vertinimo. Tai reiškia, jog vertinant, ar konkretus veiksmas ar neveikimas laikytinas "dideliu" ar "nuolatiniu", būtina įvertinti ne tik patį pažeidimo faktą, bet ir jo mastą, poveikį šaliai, trukmę, kartojimosi pobūdį bei kitas reikšmingas </w:t>
            </w:r>
            <w:r>
              <w:br/>
              <w:t>aplinkybes. </w:t>
            </w:r>
            <w:r>
              <w:br/>
              <w:t>Pavyzdžiui, vienkartinis ar pasikartojęs du kartus, nedidelės reikšmės nukrypimas nuo tam tikrų sutarties reikalavimų, kuris nesukėlė realios žalos ar grėsmės, neturėtų būti vertinamas kaip didelis ar nuolatinis pažeidimas. Toks aiškinimas atiti</w:t>
            </w:r>
            <w:r>
              <w:t>ktų ir sutarties šalių lūkesčius, ir protingumo, proporcingumo bei teisingumo principus, kurie yra taikytini aiškinant civilinius sandorius. Be to, nuostata, pagal kurią bet kokie du Paslaugų neatitikimai automatiškai laikomi „didelio arba nuolatinio“ pobūdžio pažeidimu, paneigtų pačios formuluotės logiką bei galėtų būti </w:t>
            </w:r>
            <w:r>
              <w:br/>
              <w:t>taikoma neproporcingai griežtai, kas neatitiktų bendrųjų sutarčių aiškinimo taisyklių ir civilinės </w:t>
            </w:r>
            <w:r>
              <w:br/>
              <w:t>teisės principų. Todėl, mūsų vertinimu, būtų </w:t>
            </w:r>
            <w:r>
              <w:br/>
              <w:t>nepagrįsta bet kokius du pažeidimus, nepai</w:t>
            </w:r>
            <w:r>
              <w:t>sant jų pobūdžio, masto ar padarinių, automatiškai laikyti dideliu arba nuolatiniu esminiu Sutarties sąlygų pažeidimu. </w:t>
            </w:r>
            <w:r>
              <w:br/>
              <w:t>Prašytume patikslinti, ar teisingai suprantame, kad vertinant, ar dvi Paslaugų neatitiktys priskirtinos prie "didelio“ ar "nuolatinio" pažeidimo, bus atsižvelgiama į jų mastą, poveikį šaliai, trukmę bei kitas reikšmingas aplinkybes?</w:t>
            </w:r>
            <w:r>
              <w:br/>
              <w:t>Taip pat analogiškas klausimas keliamas ir dėl dviejų Paslaugų teikimo vėlavimų daugiau nei 5 (penkias) darbo dienas per visą Sutarties galiojimo laikotarpį la</w:t>
            </w:r>
            <w:r>
              <w:t>ikymo dideliu arba nuolatiniu esminės Sutarties sąlygos vykdymo trūkumu. Prašytume patikslinti, ar teisingai suprantame, kad vertinant, ar du vėlavimai daugiau nei 5 (penkias) darbo dienas Sutarties galiojimo laikotarpiu yra priskirtini "dideliam" ar "nuolatiniam" pažeidimui, bus atsižvelgiama į jų mastą, poveikį šaliai bei kitas reikšmingas aplinkybes?</w:t>
            </w:r>
          </w:p>
        </w:tc>
      </w:tr>
      <w:tr w:rsidR="00555E51" w14:paraId="4984F89E" w14:textId="77777777">
        <w:tc>
          <w:tcPr>
            <w:tcW w:w="9895" w:type="dxa"/>
          </w:tcPr>
          <w:p w14:paraId="50DD013A" w14:textId="77777777" w:rsidR="00555E51" w:rsidRDefault="00261653">
            <w:r>
              <w:t>ATSAKYMAS:</w:t>
            </w:r>
          </w:p>
        </w:tc>
      </w:tr>
      <w:tr w:rsidR="00555E51" w14:paraId="5192E56F" w14:textId="77777777">
        <w:tc>
          <w:tcPr>
            <w:tcW w:w="9895" w:type="dxa"/>
          </w:tcPr>
          <w:p w14:paraId="0D42AA7B" w14:textId="77777777" w:rsidR="00555E51" w:rsidRDefault="00261653">
            <w:r>
              <w:t>Informuojame, kad Jūsų siūlomas Sutarties nuostatų aiškinimas yra nepagrįstas ir neatitinka nei Sutarties teksto, nei jos nustatymo tikslo.</w:t>
            </w:r>
            <w:r>
              <w:br/>
              <w:t>Aiškiai pažymime, kad Sutartyje įtvirtinti konkretūs kriterijai (t. y. nustatytas Paslaugų neatitikimų skaičius bei vėlavimų trukmė ir jų skaičius) yra laikomi savarankišku ir pakankamu pagrindu konstatuoti didelio arba nuolatinio pobūdžio esminį Sutarties vykdymo trūkumą.</w:t>
            </w:r>
            <w:r>
              <w:br/>
              <w:t>Todėl:</w:t>
            </w:r>
            <w:r>
              <w:br/>
              <w:t>·</w:t>
            </w:r>
            <w:r>
              <w:tab/>
              <w:t>du Paslaugų neatitikimai pagal Sutartį yra pakankamas pagras laikyti pažeidimą dideliu arba nuolatiniu;</w:t>
            </w:r>
            <w:r>
              <w:br/>
              <w:t>·</w:t>
            </w:r>
            <w:r>
              <w:tab/>
              <w:t>du Paslaugų teikimo vėlavimai, viršijantys 5 (penkias) darbo dienas, taip pat yra pakankamas pagrindas tokio pobūdžio paže</w:t>
            </w:r>
            <w:r>
              <w:t>idimui konstatuoti.</w:t>
            </w:r>
            <w:r>
              <w:br/>
            </w:r>
            <w:r>
              <w:lastRenderedPageBreak/>
              <w:t>Papildomas šių pažeidimų „individualus“ vertinimas pagal jų mastą, poveikį, trukmę ar kitas aplinkybes, kaip Jūs siūlote, nėra taikomas ir nebus taikomas, kadangi tai paneigtų aiškią ir nedviprasmišką Sutarties nuostatų prasmę bei jų praktinį veikimą.</w:t>
            </w:r>
            <w:r>
              <w:br/>
              <w:t>Pabrėžiame, kad Sutarties sąlygos suformuluotos taip, kad:</w:t>
            </w:r>
            <w:r>
              <w:br/>
              <w:t>·</w:t>
            </w:r>
            <w:r>
              <w:tab/>
              <w:t>būtų eliminuotas bet koks subjektyvus interpretavimas,</w:t>
            </w:r>
            <w:r>
              <w:br/>
              <w:t>·</w:t>
            </w:r>
            <w:r>
              <w:tab/>
              <w:t>būtų nustatyti aiškūs, objektyviai patikrinami pažeidimo kriterijai,</w:t>
            </w:r>
            <w:r>
              <w:br/>
              <w:t>·</w:t>
            </w:r>
            <w:r>
              <w:tab/>
              <w:t>būtų užtikrinta reali ir efektyvi Sutarties vykdymo</w:t>
            </w:r>
            <w:r>
              <w:t xml:space="preserve"> kontrolė.</w:t>
            </w:r>
            <w:r>
              <w:br/>
              <w:t>Jūsų siūlomas aiškinimas, pagal kurį kiekvienu atveju turėtų būti papildomai vertinamos aplinkybės ar net minimalūs pažeidimai galėtų būti laikomi „nereikšmingais“, iš esmės:</w:t>
            </w:r>
            <w:r>
              <w:br/>
              <w:t>·</w:t>
            </w:r>
            <w:r>
              <w:tab/>
              <w:t>paneigtų Sutarties nuostatų aiškumą,</w:t>
            </w:r>
            <w:r>
              <w:br/>
              <w:t>·</w:t>
            </w:r>
            <w:r>
              <w:tab/>
              <w:t>sudarytų prielaidas nevykdyti įsipareigojimų,</w:t>
            </w:r>
            <w:r>
              <w:br/>
              <w:t>·</w:t>
            </w:r>
            <w:r>
              <w:tab/>
              <w:t>neužtikrintų tinkamos paslaugų kokybės,</w:t>
            </w:r>
            <w:r>
              <w:br/>
              <w:t>·</w:t>
            </w:r>
            <w:r>
              <w:tab/>
              <w:t>prieštarautų Sutarties tikslui ir viešajam interesui.</w:t>
            </w:r>
            <w:r>
              <w:br/>
              <w:t>Taip pat pažymime, kad tiekėjas, teikdamas pasiūlymą, turėjo pareigą įvertinti visas Sutarties sąlygas bei su jomis susijusią riziką. Vėlesni</w:t>
            </w:r>
            <w:r>
              <w:t>s bandymas per aiškinimą pakeisti aiškiai suformuluotų nuostatų turinį nėra priimtinas.</w:t>
            </w:r>
            <w:r>
              <w:br/>
              <w:t>Atsižvelgiant į tai:</w:t>
            </w:r>
            <w:r>
              <w:br/>
              <w:t>·</w:t>
            </w:r>
            <w:r>
              <w:tab/>
              <w:t>Jūsų pateiktas Sutarties nuostatų interpretavimas laikytinas neteisingu;</w:t>
            </w:r>
            <w:r>
              <w:br/>
              <w:t>·</w:t>
            </w:r>
            <w:r>
              <w:tab/>
              <w:t>papildomas pažeidimų „turinio vertinimas“ nebus taikomas;</w:t>
            </w:r>
            <w:r>
              <w:br/>
              <w:t>·</w:t>
            </w:r>
            <w:r>
              <w:tab/>
              <w:t>Sutarties nuostatos išlieka galioti tokia apimtimi ir prasme, kaip yra nustatytos.</w:t>
            </w:r>
            <w:r>
              <w:br/>
              <w:t>Sutarties sąlygų keitimas ar papildomas jų interpretavimas nebus atliekamas.</w:t>
            </w:r>
            <w:r>
              <w:br/>
            </w:r>
          </w:p>
        </w:tc>
      </w:tr>
      <w:tr w:rsidR="00555E51" w14:paraId="2EDFFE35" w14:textId="77777777">
        <w:tc>
          <w:tcPr>
            <w:tcW w:w="9895" w:type="dxa"/>
          </w:tcPr>
          <w:p w14:paraId="0B78A85F" w14:textId="77777777" w:rsidR="00555E51" w:rsidRDefault="00261653">
            <w:r>
              <w:lastRenderedPageBreak/>
              <w:t>3 KLAUSIMAS (kategorija: sutarties sąlygos, klausimo įvedimo data: 2026-06-23):</w:t>
            </w:r>
          </w:p>
        </w:tc>
      </w:tr>
      <w:tr w:rsidR="00555E51" w14:paraId="355B6072" w14:textId="77777777">
        <w:tc>
          <w:tcPr>
            <w:tcW w:w="9895" w:type="dxa"/>
          </w:tcPr>
          <w:p w14:paraId="62280BD9" w14:textId="77777777" w:rsidR="00555E51" w:rsidRDefault="00261653">
            <w:r>
              <w:t>12.2. Esminiai Sutarties pažeidimai;</w:t>
            </w:r>
            <w:r>
              <w:br/>
              <w:t>10.1. Esminės Sutarties sąlygos</w:t>
            </w:r>
            <w:r>
              <w:br/>
              <w:t>Klausimas:</w:t>
            </w:r>
            <w:r>
              <w:br/>
              <w:t>Laikytume, kad vien bet kurios Sutarties nuostatos, susijusios su konkurencijos, intelektinės nuosavybės, konfidencialios informacijos valdymu bei naujų subteikėjų keitimu pažeidimas net ir padarytas du kartus pats savaime neturėtų būti vertinamas kaip esminis Sutarties pažeidimas.</w:t>
            </w:r>
            <w:r>
              <w:br/>
              <w:t>Nors minėtos sritys neabejotinai yra svarbios, esminio pažeidimo kvalifikavimas turėtų priklausyti ne tik nuo pažeidimo fakto, bet ir nuo jo pobūdžio, masto, trukmės, padarinių kitai ša</w:t>
            </w:r>
            <w:r>
              <w:t>liai bei kitų reikšmingų aplinkybių. Pavyzdžiui, vienkartinis, netyčinis ar formalaus pobūdžio nukrypimas, kuris nepadarė žalos, neturėtų būti prilyginamas esminiam Sutarties pažeidimui. Analogiškai, ne du kartus padaryti netyčiniai ar formalaus pobūdžio nukrypimai, kurie nepadarė žalos, neturėtų būti prilyginami esminiam Sutarties pažeidimui.</w:t>
            </w:r>
            <w:r>
              <w:br/>
              <w:t>Tokios nuostatos automatinis taikymas visiems pažeidimams – nepriklausomai nuo jų reikšmingumo – neatitiktų civilinės teisės protingumo, teisingumo ir sąžiningumo pri</w:t>
            </w:r>
            <w:r>
              <w:t>ncipų. Paminėtina, kad civilinėje teisėje galioja principas, kad sutarties nutraukimas turi būti kraštutinė (ultima ratio) priemonė, kuri taikoma tik tada kai šalis iš esmės negauna to ko tikėjosi iš sutarties. Todėl, mūsų vertinimu, būtų nepagrįsta ir neproporcinga bet kokį, net ir mažareikšmį ar atsitiktinį pažeidimą ar du tokius pažeidimus šioje srityje laikyti savaime pakankamu pagrindu nutraukti Sutartį. </w:t>
            </w:r>
            <w:r>
              <w:br/>
              <w:t>Prašytume patikslinti, ar teisingai suprantame, kad vertinant, ar pažeidimas priskirtinas esminiam</w:t>
            </w:r>
            <w:r>
              <w:t xml:space="preserve"> pažeidimui bus atsižvelgiama į jo mastą, poveikį šaliai, trukmę, kartojimosi pobūdį bei kitas reikšmingas aplinkybes? </w:t>
            </w:r>
          </w:p>
        </w:tc>
      </w:tr>
      <w:tr w:rsidR="00555E51" w14:paraId="5E3A62E0" w14:textId="77777777">
        <w:tc>
          <w:tcPr>
            <w:tcW w:w="9895" w:type="dxa"/>
          </w:tcPr>
          <w:p w14:paraId="0D8FBC60" w14:textId="77777777" w:rsidR="00555E51" w:rsidRDefault="00261653">
            <w:r>
              <w:t>ATSAKYMAS:</w:t>
            </w:r>
          </w:p>
        </w:tc>
      </w:tr>
      <w:tr w:rsidR="00555E51" w14:paraId="135B1CC7" w14:textId="77777777">
        <w:tc>
          <w:tcPr>
            <w:tcW w:w="9895" w:type="dxa"/>
          </w:tcPr>
          <w:p w14:paraId="00F00777" w14:textId="77777777" w:rsidR="00555E51" w:rsidRDefault="00261653">
            <w:r>
              <w:lastRenderedPageBreak/>
              <w:t>Pažymime, kad nesutinkame su Jūsų pateiktu Sutarties nuostatų aiškinimu, kuriuo siekiama riboti aiškiai Sutartyje nustatytų pažeidimų kvalifikavimą kaip esminių.</w:t>
            </w:r>
            <w:r>
              <w:br/>
              <w:t>Aiškiai nurodome, kad Sutartyje įtvirtintos nuostatos, susijusios su konkurencijos laikymusi, intelektinės nuosavybės apsauga, konfidencialios informacijos valdymu bei subteikėjų keitimu, yra laikomos kritinėmis Sutarties sąlygomis, kurių pažeidimai turi padidintą teisinę reikšmę nepriklausomai nuo formalaus jų vertinimo pagal mastą ar padarinius.</w:t>
            </w:r>
            <w:r>
              <w:br/>
              <w:t>Atsižvelgiant į tai, Sutartyje nustatyti kriterijai (įskaitant pakartotinumą, pvz., du pažeidimus) yra laikomi:</w:t>
            </w:r>
            <w:r>
              <w:br/>
              <w:t>·</w:t>
            </w:r>
            <w:r>
              <w:tab/>
              <w:t xml:space="preserve">savarankišku ir pakankamu pagrindu konstatuoti </w:t>
            </w:r>
            <w:r>
              <w:t>esminį Sutarties pažeidimą,</w:t>
            </w:r>
            <w:r>
              <w:br/>
              <w:t>·</w:t>
            </w:r>
            <w:r>
              <w:tab/>
              <w:t>ir nėra siejami su papildomu kiekvieno pažeidimo „reikšmingumo“ įrodinėjimu, kaip tai siūlote Jūs.</w:t>
            </w:r>
            <w:r>
              <w:br/>
              <w:t>Todėl, atsakydami į Jūsų klausimą, aiškiai patvirtiname, kad:</w:t>
            </w:r>
            <w:r>
              <w:br/>
              <w:t>Vertinant šių Sutarties nuostatų pažeidimus, papildomas jų masto, poveikio, trukmės ar kitų aplinkybių vertinimas nėra būtinas ir nebus taikomas, jei Sutartyje nustatyti pažeidimų kriterijai yra įvykdyti.</w:t>
            </w:r>
            <w:r>
              <w:br/>
              <w:t>Pabrėžiame, kad:</w:t>
            </w:r>
            <w:r>
              <w:br/>
              <w:t>·</w:t>
            </w:r>
            <w:r>
              <w:tab/>
              <w:t>Sutarties šalys turi teisę iš anksto susitarti, kokie pažeidimai laikomi esminiais (CK 6.217 taik</w:t>
            </w:r>
            <w:r>
              <w:t>ymo kontekste);</w:t>
            </w:r>
            <w:r>
              <w:br/>
              <w:t>·</w:t>
            </w:r>
            <w:r>
              <w:tab/>
              <w:t>esminio pažeidimo kriterijai konkrečioje sutartyje gali būti konkretizuojami ir objektyvizuojami, nustatant aiškias ribas ir jų pasekmes;</w:t>
            </w:r>
            <w:r>
              <w:br/>
              <w:t>·</w:t>
            </w:r>
            <w:r>
              <w:tab/>
              <w:t>tokie susitarimai yra teisėti ir plačiai taikomi praktikoje siekiant išvengti ginčų dėl subjektyvaus pažeidimų vertinimo.</w:t>
            </w:r>
            <w:r>
              <w:br/>
              <w:t>Jūsų siūlomas aiškinimas, pagal kurį net ir pakartotiniai minėtų sričių pažeidimai turėtų būti vertinami papildomai pagal jų reikšmingumą:</w:t>
            </w:r>
            <w:r>
              <w:br/>
              <w:t>·</w:t>
            </w:r>
            <w:r>
              <w:tab/>
              <w:t>paneigtų Sutarties nuostatų aiškumą ir prasmę,</w:t>
            </w:r>
            <w:r>
              <w:br/>
              <w:t>·</w:t>
            </w:r>
            <w:r>
              <w:tab/>
              <w:t>sudarytų prielaidas toleruoti jautrių srič</w:t>
            </w:r>
            <w:r>
              <w:t>ių pažeidimus,</w:t>
            </w:r>
            <w:r>
              <w:br/>
              <w:t>·</w:t>
            </w:r>
            <w:r>
              <w:tab/>
              <w:t>nesuderinamas su Sutarties tikslu apsaugoti esminius užsakovo interesus,</w:t>
            </w:r>
            <w:r>
              <w:br/>
              <w:t>·</w:t>
            </w:r>
            <w:r>
              <w:tab/>
              <w:t>neatitinka viešojo intereso užtikrinimo poreikio.</w:t>
            </w:r>
            <w:r>
              <w:br/>
              <w:t>Taip pat pažymime, kad nuorodos į protingumo, proporcingumo ir teisingumo principus negali būti naudojamos siekiant paneigti aiškiai ir nedviprasmiškai Sutartyje nustatytas šalių teises ir pareigas.</w:t>
            </w:r>
            <w:r>
              <w:br/>
              <w:t>Atsižvelgiant į tai:</w:t>
            </w:r>
            <w:r>
              <w:br/>
              <w:t>·</w:t>
            </w:r>
            <w:r>
              <w:tab/>
              <w:t>Jūsų pateiktas aiškinimas laikytinas nepagrįstu;</w:t>
            </w:r>
            <w:r>
              <w:br/>
              <w:t>·</w:t>
            </w:r>
            <w:r>
              <w:tab/>
              <w:t>papildomas pažeidimų reikšmingumo vertinimas nebus atliekamas;</w:t>
            </w:r>
            <w:r>
              <w:br/>
              <w:t>·</w:t>
            </w:r>
            <w:r>
              <w:tab/>
              <w:t>Sutarties nuostatos bus taikomos</w:t>
            </w:r>
            <w:r>
              <w:t xml:space="preserve"> pagal jų tiesioginę formuluotę.</w:t>
            </w:r>
            <w:r>
              <w:br/>
              <w:t>Sutarties sąlygų keitimas ar jų interpretavimas plečiamąja prasme nebus atliekamas.</w:t>
            </w:r>
            <w:r>
              <w:br/>
            </w:r>
          </w:p>
        </w:tc>
      </w:tr>
      <w:tr w:rsidR="00555E51" w14:paraId="2236BF43" w14:textId="77777777">
        <w:tc>
          <w:tcPr>
            <w:tcW w:w="9895" w:type="dxa"/>
          </w:tcPr>
          <w:p w14:paraId="296BA8C8" w14:textId="77777777" w:rsidR="00555E51" w:rsidRDefault="00261653">
            <w:r>
              <w:t>4 KLAUSIMAS (kategorija: sutarties sąlygos, klausimo įvedimo data: 2026-06-23):</w:t>
            </w:r>
          </w:p>
        </w:tc>
      </w:tr>
      <w:tr w:rsidR="00555E51" w14:paraId="1CFB8256" w14:textId="77777777">
        <w:tc>
          <w:tcPr>
            <w:tcW w:w="9895" w:type="dxa"/>
          </w:tcPr>
          <w:p w14:paraId="29542AD2" w14:textId="77777777" w:rsidR="00555E51" w:rsidRDefault="00261653">
            <w:r>
              <w:t xml:space="preserve">Ar teisingai suprantame, kad Susitarime dėl taikomų organizacinių ir techninių kibernetinio saugumo reikalavimų 1.9. p. 24 val. terminas yra taikomas dideliems kibernetinio saugumo incidentams ir per šį terminą teikiamas ankstyvasis perspėjimas? </w:t>
            </w:r>
            <w:r>
              <w:br/>
              <w:t>Po to, „nedelsiant, bet ne vėliau kaip per 72 valandas nuo sužinojimo apie didelį kibernetinį incidentą momento – pranešimas apie kibernetinį incidentą, kuriame pagal galimybes atnaujinama pateikta informacija ir nurodomas didelio kibernetinio incidento, įskaitant jo sunkumą ir poveikį, pradinis vertinimas, taip pat nurodomi įsilaužimo įrodymai, jeigu tokių yra“? (LR kibernetinio saugumo įstatymo 18 str. 4 d.)</w:t>
            </w:r>
            <w:r>
              <w:br/>
              <w:t xml:space="preserve">O apie kitus incidentus turi būti pranešama per 72 val. nuo sužinojimo (LR vyriausybės 2018 m. </w:t>
            </w:r>
            <w:r>
              <w:lastRenderedPageBreak/>
              <w:t>ru</w:t>
            </w:r>
            <w:r>
              <w:t>gpjūčio 13 d. nutarimu Nr. 818 patvirtinto „Nacionalinio kibernetinių incidentų valdymo plano” 13 p.)?</w:t>
            </w:r>
            <w:r>
              <w:br/>
            </w:r>
          </w:p>
        </w:tc>
      </w:tr>
      <w:tr w:rsidR="00555E51" w14:paraId="2F03FAC1" w14:textId="77777777">
        <w:tc>
          <w:tcPr>
            <w:tcW w:w="9895" w:type="dxa"/>
          </w:tcPr>
          <w:p w14:paraId="77C3D65F" w14:textId="77777777" w:rsidR="00555E51" w:rsidRDefault="00261653">
            <w:r>
              <w:lastRenderedPageBreak/>
              <w:t>ATSAKYMAS:</w:t>
            </w:r>
          </w:p>
        </w:tc>
      </w:tr>
      <w:tr w:rsidR="00555E51" w14:paraId="08BB2671" w14:textId="77777777">
        <w:tc>
          <w:tcPr>
            <w:tcW w:w="9895" w:type="dxa"/>
          </w:tcPr>
          <w:p w14:paraId="46B78020" w14:textId="77777777" w:rsidR="00555E51" w:rsidRDefault="00261653">
            <w:r>
              <w:t>Patvirtiname, kad Jūsų nurodytas teisinis reguliavimas iš esmės yra suprastas teisingai, tačiau jį tikslinga suformuluoti sistemiškai:</w:t>
            </w:r>
            <w:r>
              <w:br/>
              <w:t>1.</w:t>
            </w:r>
            <w:r>
              <w:tab/>
              <w:t>Dėl didelių kibernetinio saugumo incidentų:</w:t>
            </w:r>
            <w:r>
              <w:br/>
              <w:t>o</w:t>
            </w:r>
            <w:r>
              <w:tab/>
              <w:t>Per 24 valandas nuo sužinojimo apie didelį kibernetinį incidentą turi būti pateikiamas ankstyvasis perspėjimas (pirminis pranešimas);</w:t>
            </w:r>
            <w:r>
              <w:br/>
              <w:t>o</w:t>
            </w:r>
            <w:r>
              <w:tab/>
              <w:t xml:space="preserve">Nedelsiant, bet ne vėliau kaip per 72 valandas nuo sužinojimo momento pateikiamas išsamesnis pranešimas, kuriame: </w:t>
            </w:r>
            <w:r>
              <w:br/>
              <w:t>§</w:t>
            </w:r>
            <w:r>
              <w:tab/>
              <w:t>atnaujinama turima informacija,</w:t>
            </w:r>
            <w:r>
              <w:br/>
              <w:t>§</w:t>
            </w:r>
            <w:r>
              <w:tab/>
              <w:t>pateikiamas pradinis incidento vertinimas (sunkumas, poveikis),</w:t>
            </w:r>
            <w:r>
              <w:br/>
              <w:t>§</w:t>
            </w:r>
            <w:r>
              <w:tab/>
              <w:t>nurodomi galimi įsilaužimo požymiai (jei yra).</w:t>
            </w:r>
            <w:r>
              <w:br/>
              <w:t>2.</w:t>
            </w:r>
            <w:r>
              <w:tab/>
              <w:t>Dėl kitų (nedidelių ar vidutinių) kibernetinių incidentų:</w:t>
            </w:r>
            <w:r>
              <w:br/>
              <w:t>a</w:t>
            </w:r>
            <w:r>
              <w:t>pie juos pranešama ne vėliau kaip per 72 valandas nuo sužinojimo, vadovaujantis Nacionalinio kibernetinių incidentų valdymo plano nuostatomis</w:t>
            </w:r>
          </w:p>
        </w:tc>
      </w:tr>
      <w:tr w:rsidR="00555E51" w14:paraId="3BCA32E3" w14:textId="77777777">
        <w:tc>
          <w:tcPr>
            <w:tcW w:w="9895" w:type="dxa"/>
          </w:tcPr>
          <w:p w14:paraId="0EBE7639" w14:textId="77777777" w:rsidR="00555E51" w:rsidRDefault="00261653">
            <w:r>
              <w:t>5 KLAUSIMAS (kategorija: techninė specifikacija, klausimo įvedimo data: 2026-06-23):</w:t>
            </w:r>
          </w:p>
        </w:tc>
      </w:tr>
      <w:tr w:rsidR="00555E51" w14:paraId="75BBB5A5" w14:textId="77777777">
        <w:tc>
          <w:tcPr>
            <w:tcW w:w="9895" w:type="dxa"/>
          </w:tcPr>
          <w:p w14:paraId="570F018F" w14:textId="77777777" w:rsidR="00555E51" w:rsidRDefault="00261653">
            <w:r>
              <w:t xml:space="preserve">20. Duomenų atsarginių kopijų dažnis (angl. Backup frequency) ne rečiau kaip 1 kartą per 24 val. </w:t>
            </w:r>
            <w:r>
              <w:br/>
              <w:t>Ar teisingai suprantame, kad čia Perkančios organizacijos įsipareigojimai, nes šiuo pirkimu nėra perkama infrastruktūros priežiūros paslauga?</w:t>
            </w:r>
          </w:p>
        </w:tc>
      </w:tr>
      <w:tr w:rsidR="00555E51" w14:paraId="1F6B22F4" w14:textId="77777777">
        <w:tc>
          <w:tcPr>
            <w:tcW w:w="9895" w:type="dxa"/>
          </w:tcPr>
          <w:p w14:paraId="3D346DF5" w14:textId="77777777" w:rsidR="00555E51" w:rsidRDefault="00261653">
            <w:r>
              <w:t>ATSAKYMAS:</w:t>
            </w:r>
          </w:p>
        </w:tc>
      </w:tr>
      <w:tr w:rsidR="00555E51" w14:paraId="6DB6D186" w14:textId="77777777">
        <w:tc>
          <w:tcPr>
            <w:tcW w:w="9895" w:type="dxa"/>
          </w:tcPr>
          <w:p w14:paraId="6C28A109" w14:textId="77777777" w:rsidR="00555E51" w:rsidRDefault="00261653">
            <w:r>
              <w:t>Pažymime, kad Jūsų pateiktas aiškinimas, jog duomenų atsarginių kopijų darymas laikytinas tik Perkančiosios organizacijos atsakomybe dėl to, kad šiuo pirkimu nėra perkama infrastruktūros priežiūra, yra nepagrįstas.</w:t>
            </w:r>
            <w:r>
              <w:br/>
              <w:t>Aiškiai nurodome, kad:</w:t>
            </w:r>
            <w:r>
              <w:br/>
              <w:t>duomenų atsarginių kopijų darymas nėra laikomas infrastruktūros priežiūros paslauga, o yra neatsiejama tinkamo paslaugų teikimo, duomenų saugos ir jų atkuriamumo užtikrinimo dalis.</w:t>
            </w:r>
            <w:r>
              <w:br/>
              <w:t>Infrastruktūros priežiūra apima techninių resursų (serverių, tinklų, platformų) administravimą, tuo tarpu atsarginių kopijų darymas yra susijęs su:</w:t>
            </w:r>
            <w:r>
              <w:br/>
              <w:t>·</w:t>
            </w:r>
            <w:r>
              <w:tab/>
              <w:t>duomenų apsauga,</w:t>
            </w:r>
            <w:r>
              <w:br/>
              <w:t>·</w:t>
            </w:r>
            <w:r>
              <w:tab/>
              <w:t>paslaugos tęstinumo užtikrinimu,</w:t>
            </w:r>
            <w:r>
              <w:br/>
              <w:t>·</w:t>
            </w:r>
            <w:r>
              <w:tab/>
              <w:t>rizikų valdymu.</w:t>
            </w:r>
            <w:r>
              <w:br/>
              <w:t>Todėl ši pareiga priskirtina:</w:t>
            </w:r>
            <w:r>
              <w:br/>
              <w:t xml:space="preserve">ne infrastruktūros valdymui, o pačiam paslaugos teikimui </w:t>
            </w:r>
            <w:r>
              <w:t>ir jos rezultatui.</w:t>
            </w:r>
            <w:r>
              <w:br/>
              <w:t>Pabrėžiame, kad tiekėjas, teikdamas paslaugas ir tvarkydamas duomenis, privalo užtikrinti priemones, kurios leidžia:</w:t>
            </w:r>
            <w:r>
              <w:br/>
              <w:t>·</w:t>
            </w:r>
            <w:r>
              <w:tab/>
              <w:t>išvengti duomenų praradimo,</w:t>
            </w:r>
            <w:r>
              <w:br/>
              <w:t>·</w:t>
            </w:r>
            <w:r>
              <w:tab/>
              <w:t>atkurti duomenis incidento atveju,</w:t>
            </w:r>
            <w:r>
              <w:br/>
              <w:t>·</w:t>
            </w:r>
            <w:r>
              <w:tab/>
              <w:t>užtikrinti paslaugos tęstinumą.</w:t>
            </w:r>
            <w:r>
              <w:br/>
              <w:t>Aplinkybė, kad infrastruktūra gali būti valdoma Perkančiosios organizacijos, nepaneigia tiekėjo atsakomybės už duomenų saugą ir jų atkuriamumą.</w:t>
            </w:r>
            <w:r>
              <w:br/>
              <w:t>Toks aiškinimas atitinka tiek:</w:t>
            </w:r>
            <w:r>
              <w:br/>
              <w:t>·</w:t>
            </w:r>
            <w:r>
              <w:tab/>
              <w:t>bendruosius civilinės atsakomybės principus,</w:t>
            </w:r>
            <w:r>
              <w:br/>
              <w:t>·</w:t>
            </w:r>
            <w:r>
              <w:tab/>
              <w:t>tiek įprastą IT paslaugų teikimo praktiką,</w:t>
            </w:r>
            <w:r>
              <w:br/>
              <w:t>·</w:t>
            </w:r>
            <w:r>
              <w:tab/>
              <w:t>tiek d</w:t>
            </w:r>
            <w:r>
              <w:t>uomenų saugos reikalavimų logiką.</w:t>
            </w:r>
            <w:r>
              <w:br/>
            </w:r>
            <w:r>
              <w:lastRenderedPageBreak/>
              <w:t>Atsižvelgiant į tai:</w:t>
            </w:r>
            <w:r>
              <w:br/>
              <w:t>reikalavimas dėl atsarginių kopijų darymo laikytinas tiekėjo pareiga ir nėra laikomas infrastruktūros priežiūros paslaugos elementu.</w:t>
            </w:r>
            <w:r>
              <w:br/>
            </w:r>
          </w:p>
        </w:tc>
      </w:tr>
      <w:tr w:rsidR="00555E51" w14:paraId="69DCDA0A" w14:textId="77777777">
        <w:tc>
          <w:tcPr>
            <w:tcW w:w="9895" w:type="dxa"/>
          </w:tcPr>
          <w:p w14:paraId="1990FA3E" w14:textId="77777777" w:rsidR="00555E51" w:rsidRDefault="00261653">
            <w:r>
              <w:lastRenderedPageBreak/>
              <w:t>6 KLAUSIMAS (kategorija: techninė specifikacija, klausimo įvedimo data: 2026-06-23):</w:t>
            </w:r>
          </w:p>
        </w:tc>
      </w:tr>
      <w:tr w:rsidR="00555E51" w14:paraId="629F4A39" w14:textId="77777777">
        <w:tc>
          <w:tcPr>
            <w:tcW w:w="9895" w:type="dxa"/>
          </w:tcPr>
          <w:p w14:paraId="58A59057" w14:textId="77777777" w:rsidR="00555E51" w:rsidRDefault="00261653">
            <w:r>
              <w:t>4. Paslaugos prieinamumas (angl. Availability) - ne mažiau kaip 99% laiko per metus.</w:t>
            </w:r>
            <w:r>
              <w:br/>
              <w:t>Ar teisingai suprantame, kad Techninės specifikacijos 4 punkte nurodytas paslaugos prieinamumo reikalavimas („ne mažiau kaip 99 % per metus“) taikomas infrastruktūros prieinamumui, kurios paprastai lemia paslaugos prieinamumo rodiklius?</w:t>
            </w:r>
            <w:r>
              <w:br/>
              <w:t>Atsižvelgiant į tai, kad šiuo pirkimu nėra perkamos infrastruktūros ar jos priežiūros paslaugos, toks reikalavimas nėra tiesiogiai susijęs su tiekėjo teikiamų paslaugų apimtimi, todėl prašome jį patikslinti arba pašalinti.</w:t>
            </w:r>
          </w:p>
        </w:tc>
      </w:tr>
      <w:tr w:rsidR="00555E51" w14:paraId="5D7ADA24" w14:textId="77777777">
        <w:tc>
          <w:tcPr>
            <w:tcW w:w="9895" w:type="dxa"/>
          </w:tcPr>
          <w:p w14:paraId="13EF46C6" w14:textId="77777777" w:rsidR="00555E51" w:rsidRDefault="00261653">
            <w:r>
              <w:t>ATSAKYMAS:</w:t>
            </w:r>
          </w:p>
        </w:tc>
      </w:tr>
      <w:tr w:rsidR="00555E51" w14:paraId="683FECF1" w14:textId="77777777">
        <w:tc>
          <w:tcPr>
            <w:tcW w:w="9895" w:type="dxa"/>
          </w:tcPr>
          <w:p w14:paraId="4D0F8A78" w14:textId="77777777" w:rsidR="00555E51" w:rsidRDefault="00261653">
            <w:r>
              <w:t>Pažymime, kad Jūsų pateiktas aiškinimas nėra teisingas ir nepagrįstai susiaurina paslaugos prieinamumo reikalavimo turinį.</w:t>
            </w:r>
            <w:r>
              <w:br/>
              <w:t>Aiškiai nurodome, kad:</w:t>
            </w:r>
            <w:r>
              <w:br/>
              <w:t>Techninės specifikacijos 4 punkte nustatytas paslaugos prieinamumo reikalavimas („ne mažiau kaip 99 % per metus“) yra taikomas galutiniam paslaugos rezultatui, o ne infrastruktūros prieinamumui.</w:t>
            </w:r>
            <w:r>
              <w:br/>
              <w:t>Atkreipiame dėmesį, kad:</w:t>
            </w:r>
            <w:r>
              <w:br/>
              <w:t>·</w:t>
            </w:r>
            <w:r>
              <w:tab/>
              <w:t>paslaugos prieinamumas (availability) yra kompleksinis rodiklis, apimantis visų komponentų (įskaitant, bet neapsiribojant infrastruktūra, programine įranga, integracijomis ir valdymo procesais) veikimą;</w:t>
            </w:r>
            <w:r>
              <w:br/>
              <w:t>·</w:t>
            </w:r>
            <w:r>
              <w:tab/>
              <w:t>galutiniam naudotojui reikšmingas yra paslaugos veikimas kaip</w:t>
            </w:r>
            <w:r>
              <w:t xml:space="preserve"> visuma, o ne atskirų jos dalių (pvz., infrastruktūros) prieinamumas;</w:t>
            </w:r>
            <w:r>
              <w:br/>
              <w:t>·</w:t>
            </w:r>
            <w:r>
              <w:tab/>
              <w:t>todėl tiekėjas atsako už tai, kad jo teikiama paslauga atitiktų nustatytus prieinamumo rodiklius, nepriklausomai nuo to, kokiais techniniais sprendimais tai yra užtikrinama.</w:t>
            </w:r>
            <w:r>
              <w:br/>
              <w:t>Papildomai pažymime, kad:</w:t>
            </w:r>
            <w:r>
              <w:br/>
              <w:t>aplinkybė, jog šiuo pirkimu nėra tiesiogiai perkama infrastruktūra ar jos priežiūra, nepaneigia tiekėjo atsakomybės už paslaugos prieinamumą.</w:t>
            </w:r>
            <w:r>
              <w:br/>
              <w:t>Tiekėjas, teikdamas paslaugas, privalo:</w:t>
            </w:r>
            <w:r>
              <w:br/>
              <w:t>·</w:t>
            </w:r>
            <w:r>
              <w:tab/>
              <w:t>įsivertinti visus su paslaugos teikimu susijusius techno</w:t>
            </w:r>
            <w:r>
              <w:t>loginius ir organizacinius aspektus,</w:t>
            </w:r>
            <w:r>
              <w:br/>
              <w:t>·</w:t>
            </w:r>
            <w:r>
              <w:tab/>
              <w:t>pasirinkti tinkamus sprendimus (įskaitant infrastruktūrinius, jei jų reikia),</w:t>
            </w:r>
            <w:r>
              <w:br/>
              <w:t>·</w:t>
            </w:r>
            <w:r>
              <w:tab/>
              <w:t>ir užtikrinti, kad paslaugos prieinamumo reikalavimai būtų pasiekti.</w:t>
            </w:r>
            <w:r>
              <w:br/>
              <w:t>Jūsų siūlomas aiškinimas, pagal kurį prieinamumo rodiklis turėtų būti siejamas tik su infrastruktūra:</w:t>
            </w:r>
            <w:r>
              <w:br/>
              <w:t>·</w:t>
            </w:r>
            <w:r>
              <w:tab/>
              <w:t>nepagrįstai perkelia atsakomybę Perkančiajai organizacijai,</w:t>
            </w:r>
            <w:r>
              <w:br/>
              <w:t>·</w:t>
            </w:r>
            <w:r>
              <w:tab/>
              <w:t>paneigia paslaugos kaip rezultato principą,</w:t>
            </w:r>
            <w:r>
              <w:br/>
              <w:t>·</w:t>
            </w:r>
            <w:r>
              <w:tab/>
              <w:t>neatitinka įprastos IT paslaugų teikimo praktikos.</w:t>
            </w:r>
            <w:r>
              <w:br/>
              <w:t>Atsižvelgiant į tai:</w:t>
            </w:r>
            <w:r>
              <w:br/>
              <w:t>·</w:t>
            </w:r>
            <w:r>
              <w:tab/>
              <w:t>reikalavimas dėl ne mažesnio kaip 99 %</w:t>
            </w:r>
            <w:r>
              <w:t xml:space="preserve"> paslaugos prieinamumo laikytinas pagrįstu ir tiesiogiai susijusiu su perkamu objektu;</w:t>
            </w:r>
            <w:r>
              <w:br/>
              <w:t>·</w:t>
            </w:r>
            <w:r>
              <w:tab/>
              <w:t>jis yra tiekėjo, o ne Perkančiosios organizacijos atsakomybė;</w:t>
            </w:r>
            <w:r>
              <w:br/>
              <w:t>·</w:t>
            </w:r>
            <w:r>
              <w:tab/>
              <w:t>Techninės specifikacijos keitimas ar šio reikalavimo šalinimas nebus atliekamas.</w:t>
            </w:r>
            <w:r>
              <w:br/>
            </w:r>
          </w:p>
        </w:tc>
      </w:tr>
      <w:tr w:rsidR="00555E51" w14:paraId="6209DD55" w14:textId="77777777">
        <w:tc>
          <w:tcPr>
            <w:tcW w:w="9895" w:type="dxa"/>
          </w:tcPr>
          <w:p w14:paraId="7771C119" w14:textId="77777777" w:rsidR="00555E51" w:rsidRDefault="00261653">
            <w:r>
              <w:t>7 KLAUSIMAS (kategorija: techninė specifikacija, klausimo įvedimo data: 2026-06-23):</w:t>
            </w:r>
          </w:p>
        </w:tc>
      </w:tr>
      <w:tr w:rsidR="00555E51" w14:paraId="66881187" w14:textId="77777777">
        <w:tc>
          <w:tcPr>
            <w:tcW w:w="9895" w:type="dxa"/>
          </w:tcPr>
          <w:p w14:paraId="2F7CEC75" w14:textId="77777777" w:rsidR="00555E51" w:rsidRDefault="00261653">
            <w:r>
              <w:lastRenderedPageBreak/>
              <w:t>8. Palaikymo paslauga apima: Tiekėjo pagalbos tarnybos darbo laikas, darbo dienomis nuo 8:00 iki 18:00,  galimybė registruoti pranešimus klientų aptarnavimo sistemoje visą parą 24x7x365.</w:t>
            </w:r>
            <w:r>
              <w:br/>
              <w:t>Ar gerai suprantame, kad čia yra korekcijos klaida ir turėtų būti iki 17.00 val.?</w:t>
            </w:r>
          </w:p>
        </w:tc>
      </w:tr>
      <w:tr w:rsidR="00555E51" w14:paraId="07BA9CAB" w14:textId="77777777">
        <w:tc>
          <w:tcPr>
            <w:tcW w:w="9895" w:type="dxa"/>
          </w:tcPr>
          <w:p w14:paraId="0D155DC2" w14:textId="77777777" w:rsidR="00555E51" w:rsidRDefault="00261653">
            <w:r>
              <w:t>ATSAKYMAS:</w:t>
            </w:r>
          </w:p>
        </w:tc>
      </w:tr>
      <w:tr w:rsidR="00555E51" w14:paraId="633AA071" w14:textId="77777777">
        <w:tc>
          <w:tcPr>
            <w:tcW w:w="9895" w:type="dxa"/>
          </w:tcPr>
          <w:p w14:paraId="1D1900A6" w14:textId="77777777" w:rsidR="00555E51" w:rsidRDefault="00261653">
            <w:r>
              <w:t>Pažymime, kad pagal gerąją IT paslaugų teikimo praktiką SLA struktūra diferencijuoja:</w:t>
            </w:r>
            <w:r>
              <w:br/>
              <w:t>·</w:t>
            </w:r>
            <w:r>
              <w:tab/>
              <w:t>pagalbos tarnybos darbo laiką (support hours),</w:t>
            </w:r>
            <w:r>
              <w:br/>
              <w:t>·</w:t>
            </w:r>
            <w:r>
              <w:tab/>
              <w:t>incidentų registravimo galimybę (24x7),</w:t>
            </w:r>
            <w:r>
              <w:br/>
              <w:t>·</w:t>
            </w:r>
            <w:r>
              <w:tab/>
              <w:t>reagavimo ir sprendimo terminus.</w:t>
            </w:r>
            <w:r>
              <w:br/>
              <w:t>Atsižvelgiant į tai, Techninėje specifikacijoje nustatytas modelis, kai:</w:t>
            </w:r>
            <w:r>
              <w:br/>
              <w:t>·</w:t>
            </w:r>
            <w:r>
              <w:tab/>
              <w:t>pagalbos tarnyba dirba darbo dienomis nuo 8:00 iki 18:00 val.,</w:t>
            </w:r>
            <w:r>
              <w:br/>
              <w:t>·</w:t>
            </w:r>
            <w:r>
              <w:tab/>
              <w:t>o incidentų registravimas užtikrinamas 24x7x365 režimu,</w:t>
            </w:r>
            <w:r>
              <w:br/>
              <w:t>yra standartinis ir plačiai taikomas sprendimas, kuris:</w:t>
            </w:r>
            <w:r>
              <w:br/>
              <w:t>·</w:t>
            </w:r>
            <w:r>
              <w:tab/>
              <w:t>leidžia operatyviai registruoti incidentus bet kuriuo metu,</w:t>
            </w:r>
            <w:r>
              <w:br/>
              <w:t>·</w:t>
            </w:r>
            <w:r>
              <w:tab/>
              <w:t>tuo pačiu racionaliai paskirsto aktyvaus aptarnavimo resursus,</w:t>
            </w:r>
            <w:r>
              <w:br/>
              <w:t>·</w:t>
            </w:r>
            <w:r>
              <w:tab/>
              <w:t>užti</w:t>
            </w:r>
            <w:r>
              <w:t>krina pakankamą aptarnavimo langą (10 val. per darbo dieną).</w:t>
            </w:r>
            <w:r>
              <w:br/>
              <w:t>Pažymėtina, kad:</w:t>
            </w:r>
            <w:r>
              <w:br/>
              <w:t>SLA įsipareigojimai (reagavimo / sprendimo terminai) yra siejami su nustatytomis aptarnavimo valandomis, o ne su kalendoriniu 24/7 režimu, jei aiškiai nenumatyta kitaip.</w:t>
            </w:r>
            <w:r>
              <w:br/>
              <w:t>Todėl darbo laiko nustatymas iki 18:00 val. yra:</w:t>
            </w:r>
            <w:r>
              <w:br/>
              <w:t>·</w:t>
            </w:r>
            <w:r>
              <w:tab/>
              <w:t>pagrįstas,</w:t>
            </w:r>
            <w:r>
              <w:br/>
              <w:t>·</w:t>
            </w:r>
            <w:r>
              <w:tab/>
              <w:t>proporcingas,</w:t>
            </w:r>
            <w:r>
              <w:br/>
              <w:t>·</w:t>
            </w:r>
            <w:r>
              <w:tab/>
              <w:t>atitinkantis paslaugos pobūdį ir apimtį.</w:t>
            </w:r>
          </w:p>
        </w:tc>
      </w:tr>
    </w:tbl>
    <w:p w14:paraId="5B29FB78" w14:textId="77777777" w:rsidR="00390A1F" w:rsidRDefault="00390A1F" w:rsidP="00390A1F">
      <w:pPr>
        <w:rPr>
          <w:lang w:val="lt-LT"/>
        </w:rPr>
      </w:pPr>
    </w:p>
    <w:p w14:paraId="74A1246D" w14:textId="77777777" w:rsidR="00CB61B9" w:rsidRPr="00390A1F" w:rsidRDefault="00CB61B9" w:rsidP="00390A1F"/>
    <w:sectPr w:rsidR="00CB61B9" w:rsidRPr="00390A1F" w:rsidSect="00BA213E">
      <w:pgSz w:w="12240" w:h="15840"/>
      <w:pgMar w:top="964" w:right="56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59"/>
    <w:rsid w:val="0022069A"/>
    <w:rsid w:val="00390A1F"/>
    <w:rsid w:val="00555E51"/>
    <w:rsid w:val="0099639A"/>
    <w:rsid w:val="00B52559"/>
    <w:rsid w:val="00BA213E"/>
    <w:rsid w:val="00CB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3AC5"/>
  <w15:chartTrackingRefBased/>
  <w15:docId w15:val="{A00D8717-65A1-B645-B358-D445258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0A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52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12063</Words>
  <Characters>6876</Characters>
  <Application>Microsoft Office Word</Application>
  <DocSecurity>0</DocSecurity>
  <Lines>57</Lines>
  <Paragraphs>37</Paragraphs>
  <ScaleCrop>false</ScaleCrop>
  <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Žilvinas Balsevičius</cp:lastModifiedBy>
  <cp:revision>3</cp:revision>
  <dcterms:created xsi:type="dcterms:W3CDTF">2021-05-06T10:59:00Z</dcterms:created>
  <dcterms:modified xsi:type="dcterms:W3CDTF">2026-06-23T11:10:00Z</dcterms:modified>
</cp:coreProperties>
</file>