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8400" w14:textId="144C652D" w:rsidR="000362FE" w:rsidRDefault="00BA4DF2" w:rsidP="00BA4DF2">
      <w:pPr>
        <w:spacing w:after="0" w:line="240" w:lineRule="auto"/>
        <w:jc w:val="both"/>
      </w:pPr>
      <w:r>
        <w:t>KLAUSIMAS.</w:t>
      </w:r>
      <w:r w:rsidRPr="00BA4DF2">
        <w:rPr>
          <w:rFonts w:ascii="Roboto" w:hAnsi="Roboto" w:cs="Calibri"/>
          <w:color w:val="00241A"/>
          <w:kern w:val="0"/>
          <w:sz w:val="21"/>
          <w:szCs w:val="21"/>
          <w:shd w:val="clear" w:color="auto" w:fill="FFFFFF"/>
        </w:rPr>
        <w:t xml:space="preserve"> </w:t>
      </w:r>
      <w:r w:rsidRPr="00BA4DF2">
        <w:t>Susipažinę su pirkimo „Jonavos r. Šveicarijos k. vaikų žaidimų aikštelės įrengimo darbai“ technine specifikacija, prašome patikslinti 2 pozicijos „Spyruokliukas (1 vnt.)“ ir 8 pozicijos „Spyruokliukas (1 vnt.)“ techninius reikalavimus.</w:t>
      </w:r>
      <w:r>
        <w:t xml:space="preserve"> </w:t>
      </w:r>
      <w:r w:rsidRPr="00BA4DF2">
        <w:t>Atkreipiame dėmesį, kad šis pirkimas skelbiamas jau antrą kartą, kadangi pirmasis pirkimas neįvyko. Tai leidžia pagrįstai manyti, kad pirkimo sąlygose nustatyti techniniai reikalavimai gali būti per siauri ir ribojantys tiekėjų konkurenciją.</w:t>
      </w:r>
      <w:r>
        <w:t xml:space="preserve"> </w:t>
      </w:r>
      <w:r w:rsidRPr="00BA4DF2">
        <w:t>Techninėje specifikacijoje 2 ir 8 pozicijose nurodytas reikalavimas, kad įrenginys turi būti sudarytas iš spyruoklės, kuri nejuda į šonus. Mūsų vertinimu, šis reikalavimas yra perteklinis ir nepagrįstai susiaurina galimų pasiūlyti gaminių ratą, kadangi tokia konstrukcinė savybė nėra įprastas bendrinis rinkoje esančių spyruoklinių žaidimų įrenginių reikalavimas, o labiau būdinga konkretaus gamintojo technologiniam sprendimui.</w:t>
      </w:r>
      <w:r>
        <w:t xml:space="preserve"> </w:t>
      </w:r>
      <w:r w:rsidRPr="00BA4DF2">
        <w:t>Pažymime, kad pateikti orientaciniai vaizdai ir techninis aprašymas sudaro prielaidas manyti, jog šios pozicijos yra aprašytos išskirtinai pagal konkretaus gamintojo, tikėtina Lappset, gaminius ir jų techninius sprendinius. Dėl šios priežasties kiti tiekėjai, galintys pasiūlyti saugius, sertifikuotus, EN 1176 arba lygiaverčius standartus atitinkančius spyruoklinius įrenginius, netenka realios galimybės dalyvauti pirkime.Taip pat atkreipiame dėmesį, kad analogišką pastabą dėl šių techninių reikalavimų teikėme jau ankstesnio pirkimo metu, tačiau į ją nebuvo atsižvelgta. Kadangi pirkimas neįvyko ir yra skelbiamas pakartotinai, prašome iš naujo įvertinti, ar tokie detalūs ir konkrečiai technologijai pritaikyti reikalavimai yra būtini pirkimo objektui pasiekti.</w:t>
      </w:r>
      <w:r>
        <w:t xml:space="preserve"> </w:t>
      </w:r>
      <w:r w:rsidRPr="00BA4DF2">
        <w:t>Manome, kad vaikų žaidimų aikštelės saugumas ir funkcionalumas gali būti užtikrintas nereikalaujant konkretaus techninio sprendimo, t. y. spyruoklės, kuri nejuda į šonus. Rinkoje yra įprastų spyruoklinių įrenginių, kurie atitinka taikomus saugos standartus, yra sertifikuoti, tinkami naudoti vaikų žaidimų aikštelėse ir gali užtikrinti tokį patį funkcinį rezultatą.</w:t>
      </w:r>
      <w:r>
        <w:t xml:space="preserve"> </w:t>
      </w:r>
      <w:r w:rsidRPr="00BA4DF2">
        <w:t>Atsižvelgdami į tai, prašome pakeisti 2 ir 8 pozicijų techninius reikalavimus, atsisakant perteklinio reikalavimo dėl „spyruoklės, kuri nejuda į šonus“, ir leisti siūlyti lygiaverčius, įprastos spyruoklinės konstrukcijos įrenginius, kurie atitinka EN 1176 arba lygiaverčio standarto reikalavimus.</w:t>
      </w:r>
    </w:p>
    <w:p w14:paraId="5134E0B6" w14:textId="66EC817C" w:rsidR="00BA4DF2" w:rsidRPr="00BA4DF2" w:rsidRDefault="00BA4DF2" w:rsidP="00BA4DF2">
      <w:pPr>
        <w:spacing w:after="0" w:line="240" w:lineRule="auto"/>
        <w:jc w:val="both"/>
      </w:pPr>
      <w:r>
        <w:t>ATSAKYMAS.</w:t>
      </w:r>
      <w:r w:rsidRPr="00BA4DF2">
        <w:rPr>
          <w:rFonts w:ascii="Times New Roman" w:eastAsia="Calibri" w:hAnsi="Times New Roman" w:cs="Times New Roman"/>
          <w:kern w:val="0"/>
        </w:rPr>
        <w:t xml:space="preserve"> </w:t>
      </w:r>
      <w:r w:rsidRPr="00BA4DF2">
        <w:t>Perkančioji organizacija, įvertinusi tiekėjo pastabą dėl Techninės specifikacijos 2</w:t>
      </w:r>
      <w:r>
        <w:t xml:space="preserve"> ir 8 pozicijose</w:t>
      </w:r>
      <w:r w:rsidRPr="00BA4DF2">
        <w:t xml:space="preserve"> nustatyto reikalavimo, kad įrenginiai būtų sudaryti iš „spyruoklės, kuri nejuda į šonus“, informuoja, kad šio reikalavimo nekeis.</w:t>
      </w:r>
    </w:p>
    <w:p w14:paraId="58F22F4C" w14:textId="3100F466" w:rsidR="00BA4DF2" w:rsidRDefault="00BA4DF2" w:rsidP="00BA4DF2">
      <w:pPr>
        <w:spacing w:after="0" w:line="240" w:lineRule="auto"/>
        <w:jc w:val="both"/>
      </w:pPr>
      <w:r w:rsidRPr="00BA4DF2">
        <w:t>Pažymime, kad perkančioji organizacija, rengdama pirkimo dokumentus, turi teisę apibrėžti savo poreikį ir nustatyti techninius reikalavimus pirkimo objektui, jeigu tokie reikalavimai yra susiję su pirkimo objektu, proporcingi siekiamam tikslui ir nėra nustatomi siekiant nepagrįstai privilegijuoti ar diskriminuoti konkrečius tiekėjus. Šiuo atveju perkančioji organizacija perka ne bet kokį spyruoklinį žaidimų įrenginį, o įrenginį su konkrečia funkcine savybe – spyruokliniu mechanizmu, kuris nejuda į šonus. Techninėje specifikacijoje numatytas konstrukcinis sprendimas („nejudanti į šonus“ konstrukcija) pasirinktas sąmoningai, įvertinus mažesnio amžiaus vaikų saugumą ir supimosi stabilumą. Nors alternatyvūs sprendimai galimai atitinka EN 1176 standartą, jų judėjimo kryptys ir veikimo principas ženkliai skiriasi. Todėl šiuo atveju konstrukcija nėra laikoma lygiaverte, o specifikacijoje įvardintas sprendimas yra būtinas. Reikalavimas apibūdina pageidaujamą įrenginio konstrukcinę ir eksploatacinę savybę, kuri perkančiajai organizacijai yra reikalinga dėl numatomo įrenginio naudojimo pobūdžio, stabilumo, ilgaamžiškumo, priežiūros paprastumo ir saugaus naudojimo vaikų žaidimų aikštelėje.</w:t>
      </w:r>
    </w:p>
    <w:p w14:paraId="67FE0D89" w14:textId="77777777" w:rsidR="00BA4DF2" w:rsidRDefault="00BA4DF2" w:rsidP="00BA4DF2">
      <w:pPr>
        <w:spacing w:after="0" w:line="240" w:lineRule="auto"/>
        <w:jc w:val="both"/>
      </w:pPr>
    </w:p>
    <w:p w14:paraId="5617492F" w14:textId="7D5A8988" w:rsidR="00BA4DF2" w:rsidRDefault="00BA4DF2" w:rsidP="00BA4DF2">
      <w:pPr>
        <w:spacing w:after="0" w:line="240" w:lineRule="auto"/>
        <w:jc w:val="both"/>
      </w:pPr>
      <w:r>
        <w:t xml:space="preserve">KLAUSIMAS. </w:t>
      </w:r>
      <w:r w:rsidRPr="00BA4DF2">
        <w:t>Dėl pakeistos techninės specifikacijos prašome pratęsti pirkimo terminą.</w:t>
      </w:r>
    </w:p>
    <w:p w14:paraId="04775255" w14:textId="3BD393B1" w:rsidR="00BA4DF2" w:rsidRPr="00BA4DF2" w:rsidRDefault="00BA4DF2" w:rsidP="00BA4DF2">
      <w:pPr>
        <w:spacing w:after="0" w:line="240" w:lineRule="auto"/>
        <w:jc w:val="both"/>
      </w:pPr>
      <w:r>
        <w:t xml:space="preserve">ATSAKYMAS. </w:t>
      </w:r>
      <w:r w:rsidRPr="00BA4DF2">
        <w:t>Informuojame, kad pasiūlymų pateikimo terminas pratęsiamas iki 2026-06-2</w:t>
      </w:r>
      <w:r>
        <w:t>6</w:t>
      </w:r>
      <w:r w:rsidRPr="00BA4DF2">
        <w:t xml:space="preserve"> 9.00 val. </w:t>
      </w:r>
    </w:p>
    <w:p w14:paraId="20D939DE" w14:textId="709E3375" w:rsidR="00BA4DF2" w:rsidRPr="00BA4DF2" w:rsidRDefault="00BA4DF2" w:rsidP="00BA4DF2">
      <w:pPr>
        <w:spacing w:after="0" w:line="240" w:lineRule="auto"/>
        <w:jc w:val="both"/>
      </w:pPr>
    </w:p>
    <w:p w14:paraId="3342FD92" w14:textId="5E0D5072" w:rsidR="00BA4DF2" w:rsidRDefault="00BA4DF2"/>
    <w:p w14:paraId="1F49FA9E" w14:textId="77777777" w:rsidR="00BA4DF2" w:rsidRDefault="00BA4DF2"/>
    <w:sectPr w:rsidR="00BA4D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74"/>
    <w:rsid w:val="000362FE"/>
    <w:rsid w:val="00643018"/>
    <w:rsid w:val="009F5074"/>
    <w:rsid w:val="00A80F5C"/>
    <w:rsid w:val="00BA4DF2"/>
    <w:rsid w:val="00C8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8AE9"/>
  <w15:chartTrackingRefBased/>
  <w15:docId w15:val="{96727014-E953-42BD-AC94-07EA3892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F5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F5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F50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F50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F50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F50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50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50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50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50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F50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F50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F50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F50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F50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50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50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50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5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50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50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50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50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5074"/>
    <w:rPr>
      <w:i/>
      <w:iCs/>
      <w:color w:val="404040" w:themeColor="text1" w:themeTint="BF"/>
    </w:rPr>
  </w:style>
  <w:style w:type="paragraph" w:styleId="Sraopastraipa">
    <w:name w:val="List Paragraph"/>
    <w:basedOn w:val="prastasis"/>
    <w:uiPriority w:val="34"/>
    <w:qFormat/>
    <w:rsid w:val="009F5074"/>
    <w:pPr>
      <w:ind w:left="720"/>
      <w:contextualSpacing/>
    </w:pPr>
  </w:style>
  <w:style w:type="character" w:styleId="Rykuspabraukimas">
    <w:name w:val="Intense Emphasis"/>
    <w:basedOn w:val="Numatytasispastraiposriftas"/>
    <w:uiPriority w:val="21"/>
    <w:qFormat/>
    <w:rsid w:val="009F5074"/>
    <w:rPr>
      <w:i/>
      <w:iCs/>
      <w:color w:val="2F5496" w:themeColor="accent1" w:themeShade="BF"/>
    </w:rPr>
  </w:style>
  <w:style w:type="paragraph" w:styleId="Iskirtacitata">
    <w:name w:val="Intense Quote"/>
    <w:basedOn w:val="prastasis"/>
    <w:next w:val="prastasis"/>
    <w:link w:val="IskirtacitataDiagrama"/>
    <w:uiPriority w:val="30"/>
    <w:qFormat/>
    <w:rsid w:val="009F5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F5074"/>
    <w:rPr>
      <w:i/>
      <w:iCs/>
      <w:color w:val="2F5496" w:themeColor="accent1" w:themeShade="BF"/>
    </w:rPr>
  </w:style>
  <w:style w:type="character" w:styleId="Rykinuoroda">
    <w:name w:val="Intense Reference"/>
    <w:basedOn w:val="Numatytasispastraiposriftas"/>
    <w:uiPriority w:val="32"/>
    <w:qFormat/>
    <w:rsid w:val="009F5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2529</Words>
  <Characters>1442</Characters>
  <Application>Microsoft Office Word</Application>
  <DocSecurity>0</DocSecurity>
  <Lines>12</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2026-06-23T11:24:00Z</dcterms:created>
  <dcterms:modified xsi:type="dcterms:W3CDTF">2026-06-23T11:30:00Z</dcterms:modified>
</cp:coreProperties>
</file>