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16F461AC" w:rsidR="00EF7EFF" w:rsidRPr="00B14097" w:rsidRDefault="00EF7EFF" w:rsidP="00181B65">
      <w:pPr>
        <w:pStyle w:val="Antrat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B9411D">
        <w:rPr>
          <w:rFonts w:ascii="Arial" w:hAnsi="Arial" w:cs="Arial"/>
          <w:i/>
          <w:iCs/>
          <w:color w:val="auto"/>
          <w:sz w:val="20"/>
          <w:szCs w:val="20"/>
        </w:rPr>
        <w:t>8</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181B65" w:rsidRPr="00181B65" w14:paraId="4D35F22F" w14:textId="77777777" w:rsidTr="00181B6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2531"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643"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954"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7D4E5E">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643"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954"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7D4E5E">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Sraopastraipa"/>
              <w:keepNext/>
              <w:numPr>
                <w:ilvl w:val="0"/>
                <w:numId w:val="13"/>
              </w:numPr>
              <w:jc w:val="center"/>
              <w:rPr>
                <w:rFonts w:eastAsia="Times New Roman" w:cs="Arial"/>
                <w:bCs/>
                <w:sz w:val="20"/>
                <w:szCs w:val="20"/>
                <w:lang w:eastAsia="lt-LT"/>
              </w:rPr>
            </w:pPr>
          </w:p>
        </w:tc>
        <w:tc>
          <w:tcPr>
            <w:tcW w:w="2531"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643"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954"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7D4E5E">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643" w:type="dxa"/>
            <w:tcMar>
              <w:top w:w="0" w:type="dxa"/>
              <w:left w:w="108" w:type="dxa"/>
              <w:bottom w:w="0" w:type="dxa"/>
              <w:right w:w="108" w:type="dxa"/>
            </w:tcMar>
          </w:tcPr>
          <w:p w14:paraId="24F55AD8" w14:textId="7515816C" w:rsidR="00181B65" w:rsidRPr="00181B65" w:rsidRDefault="008349DC" w:rsidP="00181B65">
            <w:pPr>
              <w:ind w:firstLine="0"/>
              <w:jc w:val="both"/>
              <w:rPr>
                <w:rFonts w:eastAsia="Times New Roman" w:cs="Arial"/>
                <w:sz w:val="20"/>
                <w:szCs w:val="20"/>
                <w:lang w:eastAsia="lt-LT"/>
              </w:rPr>
            </w:pPr>
            <w:r>
              <w:rPr>
                <w:rFonts w:eastAsia="Times New Roman" w:cs="Arial"/>
                <w:sz w:val="20"/>
                <w:szCs w:val="20"/>
                <w:lang w:eastAsia="lt-LT"/>
              </w:rPr>
              <w:t>6</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22D5925E" w14:textId="479B135D"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 </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7D4E5E">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289EBD75" w14:textId="53084217" w:rsidR="00181B65" w:rsidRPr="00181B65" w:rsidRDefault="008349DC" w:rsidP="00AC02C3">
            <w:pPr>
              <w:ind w:firstLine="0"/>
              <w:jc w:val="both"/>
              <w:rPr>
                <w:rFonts w:eastAsia="Times New Roman" w:cs="Arial"/>
                <w:sz w:val="20"/>
                <w:szCs w:val="20"/>
                <w:lang w:eastAsia="lt-LT"/>
              </w:rPr>
            </w:pPr>
            <w:r>
              <w:rPr>
                <w:rFonts w:eastAsia="Times New Roman" w:cs="Arial"/>
                <w:sz w:val="20"/>
                <w:szCs w:val="20"/>
                <w:lang w:eastAsia="lt-LT"/>
              </w:rPr>
              <w:t>4</w:t>
            </w:r>
            <w:r w:rsidR="00181B65" w:rsidRPr="00181B65">
              <w:rPr>
                <w:rFonts w:eastAsia="Times New Roman" w:cs="Arial"/>
                <w:sz w:val="20"/>
                <w:szCs w:val="20"/>
                <w:lang w:eastAsia="lt-LT"/>
              </w:rPr>
              <w:t xml:space="preserve"> dienų iki pasiūlymų pateikimo termino dienos</w:t>
            </w:r>
          </w:p>
        </w:tc>
        <w:tc>
          <w:tcPr>
            <w:tcW w:w="2954" w:type="dxa"/>
            <w:tcMar>
              <w:top w:w="0" w:type="dxa"/>
              <w:left w:w="108" w:type="dxa"/>
              <w:bottom w:w="0" w:type="dxa"/>
              <w:right w:w="108" w:type="dxa"/>
            </w:tcMar>
          </w:tcPr>
          <w:p w14:paraId="733D6386" w14:textId="77777777" w:rsidR="00181B65" w:rsidRPr="00181B65" w:rsidRDefault="00181B65" w:rsidP="00AB30BF">
            <w:pPr>
              <w:ind w:firstLine="0"/>
              <w:jc w:val="both"/>
              <w:rPr>
                <w:rFonts w:eastAsia="Times New Roman" w:cs="Arial"/>
                <w:sz w:val="20"/>
                <w:szCs w:val="20"/>
                <w:lang w:eastAsia="lt-LT"/>
              </w:rPr>
            </w:pPr>
          </w:p>
        </w:tc>
      </w:tr>
      <w:tr w:rsidR="00181B65" w:rsidRPr="00181B65" w14:paraId="45284CA6" w14:textId="77777777" w:rsidTr="007D4E5E">
        <w:trPr>
          <w:trHeight w:val="20"/>
        </w:trPr>
        <w:tc>
          <w:tcPr>
            <w:tcW w:w="726" w:type="dxa"/>
            <w:tcMar>
              <w:top w:w="0" w:type="dxa"/>
              <w:left w:w="108" w:type="dxa"/>
              <w:bottom w:w="0" w:type="dxa"/>
              <w:right w:w="108" w:type="dxa"/>
            </w:tcMar>
            <w:vAlign w:val="center"/>
          </w:tcPr>
          <w:p w14:paraId="09E7A9A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76526D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Objekto apžiūra bus vykdoma:</w:t>
            </w:r>
          </w:p>
        </w:tc>
        <w:tc>
          <w:tcPr>
            <w:tcW w:w="3643" w:type="dxa"/>
            <w:tcMar>
              <w:top w:w="0" w:type="dxa"/>
              <w:left w:w="108" w:type="dxa"/>
              <w:bottom w:w="0" w:type="dxa"/>
              <w:right w:w="108" w:type="dxa"/>
            </w:tcMar>
          </w:tcPr>
          <w:p w14:paraId="58C23C9F" w14:textId="77777777" w:rsidR="00181B65" w:rsidRPr="00181B65" w:rsidRDefault="00181B65" w:rsidP="00181B65">
            <w:pPr>
              <w:ind w:firstLine="0"/>
              <w:jc w:val="both"/>
              <w:rPr>
                <w:rFonts w:eastAsia="Times New Roman" w:cs="Arial"/>
                <w:iCs/>
                <w:color w:val="FF0000"/>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2E9C81B2" w14:textId="631C6F07" w:rsidR="00181B65" w:rsidRPr="00181B65" w:rsidRDefault="00181B65" w:rsidP="00181B65">
            <w:pPr>
              <w:ind w:firstLine="0"/>
              <w:jc w:val="both"/>
              <w:rPr>
                <w:rFonts w:eastAsia="Times New Roman" w:cs="Arial"/>
                <w:sz w:val="20"/>
                <w:szCs w:val="20"/>
                <w:lang w:eastAsia="lt-LT"/>
              </w:rPr>
            </w:pPr>
          </w:p>
        </w:tc>
      </w:tr>
      <w:tr w:rsidR="00181B65" w:rsidRPr="00181B65" w14:paraId="4DA2D4AA" w14:textId="77777777" w:rsidTr="007D4E5E">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2531"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643"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954" w:type="dxa"/>
            <w:tcMar>
              <w:top w:w="0" w:type="dxa"/>
              <w:left w:w="108" w:type="dxa"/>
              <w:bottom w:w="0" w:type="dxa"/>
              <w:right w:w="108" w:type="dxa"/>
            </w:tcMar>
          </w:tcPr>
          <w:p w14:paraId="01AFBAED" w14:textId="64F8A487" w:rsidR="00181B65" w:rsidRPr="00181B65" w:rsidRDefault="00181B65" w:rsidP="00181B65">
            <w:pPr>
              <w:ind w:firstLine="0"/>
              <w:jc w:val="both"/>
              <w:rPr>
                <w:rFonts w:eastAsia="Times New Roman" w:cs="Arial"/>
                <w:sz w:val="20"/>
                <w:szCs w:val="20"/>
                <w:lang w:eastAsia="lt-LT"/>
              </w:rPr>
            </w:pPr>
          </w:p>
        </w:tc>
      </w:tr>
      <w:tr w:rsidR="00181B65" w:rsidRPr="00181B65" w14:paraId="1EDE55D7" w14:textId="77777777" w:rsidTr="00AB30BF">
        <w:trPr>
          <w:trHeight w:val="604"/>
        </w:trPr>
        <w:tc>
          <w:tcPr>
            <w:tcW w:w="726" w:type="dxa"/>
            <w:tcMar>
              <w:top w:w="0" w:type="dxa"/>
              <w:left w:w="108" w:type="dxa"/>
              <w:bottom w:w="0" w:type="dxa"/>
              <w:right w:w="108" w:type="dxa"/>
            </w:tcMar>
          </w:tcPr>
          <w:p w14:paraId="7AC54AEF"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DD8A71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Tiekėjai turi pateikti prekių pavyzdžius</w:t>
            </w:r>
          </w:p>
        </w:tc>
        <w:tc>
          <w:tcPr>
            <w:tcW w:w="3643" w:type="dxa"/>
            <w:tcMar>
              <w:top w:w="0" w:type="dxa"/>
              <w:left w:w="108" w:type="dxa"/>
              <w:bottom w:w="0" w:type="dxa"/>
              <w:right w:w="108" w:type="dxa"/>
            </w:tcMar>
          </w:tcPr>
          <w:p w14:paraId="58A283D4" w14:textId="77777777" w:rsidR="00181B65" w:rsidRPr="00181B65" w:rsidRDefault="00181B65" w:rsidP="00181B65">
            <w:pPr>
              <w:suppressAutoHyphens/>
              <w:ind w:firstLine="0"/>
              <w:jc w:val="both"/>
              <w:rPr>
                <w:rFonts w:eastAsia="Arial Unicode MS" w:cs="Arial"/>
                <w:sz w:val="20"/>
                <w:szCs w:val="20"/>
              </w:rPr>
            </w:pPr>
            <w:r w:rsidRPr="00181B65">
              <w:rPr>
                <w:rFonts w:eastAsia="Arial Unicode MS" w:cs="Arial"/>
                <w:sz w:val="20"/>
                <w:szCs w:val="20"/>
              </w:rPr>
              <w:t>NETAIKOMA</w:t>
            </w:r>
          </w:p>
          <w:p w14:paraId="6DA84271" w14:textId="77777777" w:rsidR="00181B65" w:rsidRPr="00181B65" w:rsidRDefault="00181B65" w:rsidP="00181B65">
            <w:pPr>
              <w:suppressAutoHyphens/>
              <w:ind w:firstLine="0"/>
              <w:jc w:val="both"/>
              <w:rPr>
                <w:rFonts w:eastAsia="Arial Unicode MS" w:cs="Arial"/>
                <w:sz w:val="20"/>
                <w:szCs w:val="20"/>
              </w:rPr>
            </w:pPr>
          </w:p>
          <w:p w14:paraId="177A7734" w14:textId="01FC391E" w:rsidR="00181B65" w:rsidRPr="00181B65" w:rsidRDefault="00181B65" w:rsidP="00181B65">
            <w:pPr>
              <w:ind w:firstLine="0"/>
              <w:jc w:val="both"/>
              <w:rPr>
                <w:rFonts w:eastAsia="Times New Roman" w:cs="Arial"/>
                <w:iCs/>
                <w:color w:val="00B050"/>
                <w:sz w:val="20"/>
                <w:szCs w:val="20"/>
                <w:lang w:eastAsia="lt-LT"/>
              </w:rPr>
            </w:pPr>
          </w:p>
        </w:tc>
        <w:tc>
          <w:tcPr>
            <w:tcW w:w="2954" w:type="dxa"/>
            <w:tcMar>
              <w:top w:w="0" w:type="dxa"/>
              <w:left w:w="108" w:type="dxa"/>
              <w:bottom w:w="0" w:type="dxa"/>
              <w:right w:w="108" w:type="dxa"/>
            </w:tcMar>
          </w:tcPr>
          <w:p w14:paraId="503BBD69"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7D4E5E">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4A1FC1">
              <w:rPr>
                <w:rFonts w:eastAsia="Times New Roman" w:cs="Arial"/>
                <w:iCs/>
                <w:sz w:val="20"/>
                <w:szCs w:val="20"/>
                <w:lang w:eastAsia="lt-LT"/>
              </w:rPr>
              <w:t>90 (devyniasdešimt) dienų nuo Pasiūlymų pateikimo galutinio termino pabaigos.</w:t>
            </w:r>
          </w:p>
        </w:tc>
        <w:tc>
          <w:tcPr>
            <w:tcW w:w="2954"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3298B077" w14:textId="77777777" w:rsidTr="007D4E5E">
        <w:trPr>
          <w:trHeight w:val="20"/>
        </w:trPr>
        <w:tc>
          <w:tcPr>
            <w:tcW w:w="726" w:type="dxa"/>
            <w:tcMar>
              <w:top w:w="0" w:type="dxa"/>
              <w:left w:w="108" w:type="dxa"/>
              <w:bottom w:w="0" w:type="dxa"/>
              <w:right w:w="108" w:type="dxa"/>
            </w:tcMar>
          </w:tcPr>
          <w:p w14:paraId="5D9F47DB"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29471D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52195A1" w14:textId="0A129D96" w:rsidR="00181B65" w:rsidRPr="00181B65" w:rsidRDefault="00597F3E" w:rsidP="00181B65">
            <w:pPr>
              <w:ind w:firstLine="0"/>
              <w:jc w:val="both"/>
              <w:rPr>
                <w:rFonts w:eastAsia="Times New Roman" w:cs="Arial"/>
                <w:iCs/>
                <w:sz w:val="20"/>
                <w:szCs w:val="20"/>
                <w:lang w:eastAsia="lt-LT"/>
              </w:rPr>
            </w:pPr>
            <w:r w:rsidRPr="00597F3E">
              <w:rPr>
                <w:rFonts w:eastAsia="Times New Roman" w:cs="Arial"/>
                <w:iCs/>
                <w:sz w:val="20"/>
                <w:szCs w:val="20"/>
                <w:lang w:eastAsia="lt-LT"/>
              </w:rPr>
              <w:t>NETAIKOMA</w:t>
            </w:r>
          </w:p>
        </w:tc>
        <w:tc>
          <w:tcPr>
            <w:tcW w:w="2954" w:type="dxa"/>
            <w:tcMar>
              <w:top w:w="0" w:type="dxa"/>
              <w:left w:w="108" w:type="dxa"/>
              <w:bottom w:w="0" w:type="dxa"/>
              <w:right w:w="108" w:type="dxa"/>
            </w:tcMar>
          </w:tcPr>
          <w:p w14:paraId="34761F39" w14:textId="7042C6FB" w:rsidR="00181B65" w:rsidRPr="00181B65" w:rsidRDefault="00181B65" w:rsidP="00181B65">
            <w:pPr>
              <w:ind w:firstLine="0"/>
              <w:jc w:val="both"/>
              <w:rPr>
                <w:rFonts w:eastAsia="Times New Roman" w:cs="Arial"/>
                <w:i/>
                <w:iCs/>
                <w:sz w:val="20"/>
                <w:szCs w:val="20"/>
                <w:lang w:eastAsia="lt-LT"/>
              </w:rPr>
            </w:pPr>
          </w:p>
        </w:tc>
      </w:tr>
      <w:tr w:rsidR="00181B65" w:rsidRPr="00181B65" w14:paraId="773E774B" w14:textId="77777777" w:rsidTr="007D4E5E">
        <w:trPr>
          <w:trHeight w:val="20"/>
        </w:trPr>
        <w:tc>
          <w:tcPr>
            <w:tcW w:w="726" w:type="dxa"/>
            <w:tcMar>
              <w:top w:w="0" w:type="dxa"/>
              <w:left w:w="108" w:type="dxa"/>
              <w:bottom w:w="0" w:type="dxa"/>
              <w:right w:w="108" w:type="dxa"/>
            </w:tcMar>
          </w:tcPr>
          <w:p w14:paraId="26B68825"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4391AEC9"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46A288E8" w14:textId="687CC3DE" w:rsidR="00181B65" w:rsidRPr="00181B65" w:rsidRDefault="00597F3E" w:rsidP="00181B65">
            <w:pPr>
              <w:ind w:firstLine="0"/>
              <w:jc w:val="both"/>
              <w:rPr>
                <w:rFonts w:eastAsia="Times New Roman" w:cs="Arial"/>
                <w:color w:val="000000"/>
                <w:sz w:val="20"/>
                <w:szCs w:val="20"/>
                <w:lang w:eastAsia="lt-LT"/>
              </w:rPr>
            </w:pPr>
            <w:r w:rsidRPr="00597F3E">
              <w:rPr>
                <w:rFonts w:eastAsia="Times New Roman" w:cs="Arial"/>
                <w:sz w:val="20"/>
                <w:szCs w:val="20"/>
                <w:lang w:eastAsia="lt-LT"/>
              </w:rPr>
              <w:t>NETAIKOMA</w:t>
            </w:r>
          </w:p>
        </w:tc>
        <w:tc>
          <w:tcPr>
            <w:tcW w:w="2954" w:type="dxa"/>
            <w:tcMar>
              <w:top w:w="0" w:type="dxa"/>
              <w:left w:w="108" w:type="dxa"/>
              <w:bottom w:w="0" w:type="dxa"/>
              <w:right w:w="108" w:type="dxa"/>
            </w:tcMar>
          </w:tcPr>
          <w:p w14:paraId="646AFB7B" w14:textId="157301B4" w:rsidR="00181B65" w:rsidRPr="00181B65" w:rsidRDefault="00181B65" w:rsidP="00181B65">
            <w:pPr>
              <w:ind w:firstLine="0"/>
              <w:jc w:val="both"/>
              <w:rPr>
                <w:rFonts w:eastAsia="Times New Roman" w:cs="Arial"/>
                <w:i/>
                <w:iCs/>
                <w:sz w:val="20"/>
                <w:szCs w:val="20"/>
                <w:highlight w:val="lightGray"/>
                <w:lang w:eastAsia="lt-LT"/>
              </w:rPr>
            </w:pPr>
          </w:p>
        </w:tc>
      </w:tr>
      <w:tr w:rsidR="00181B65" w:rsidRPr="00181B65" w14:paraId="0F248B8C" w14:textId="77777777" w:rsidTr="007D4E5E">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643" w:type="dxa"/>
            <w:tcMar>
              <w:top w:w="0" w:type="dxa"/>
              <w:left w:w="108" w:type="dxa"/>
              <w:bottom w:w="0" w:type="dxa"/>
              <w:right w:w="108" w:type="dxa"/>
            </w:tcMar>
          </w:tcPr>
          <w:p w14:paraId="3956307B" w14:textId="624C6F0A"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7D4E5E">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w:t>
            </w:r>
            <w:r w:rsidRPr="00181B65">
              <w:rPr>
                <w:rFonts w:eastAsia="Times New Roman" w:cs="Arial"/>
                <w:bCs/>
                <w:sz w:val="20"/>
                <w:szCs w:val="20"/>
                <w:lang w:eastAsia="lt-LT"/>
              </w:rPr>
              <w:lastRenderedPageBreak/>
              <w:t xml:space="preserve">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643" w:type="dxa"/>
            <w:tcMar>
              <w:top w:w="0" w:type="dxa"/>
              <w:left w:w="108" w:type="dxa"/>
              <w:bottom w:w="0" w:type="dxa"/>
              <w:right w:w="108" w:type="dxa"/>
            </w:tcMar>
          </w:tcPr>
          <w:p w14:paraId="1AC10E76" w14:textId="294CAD13"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lastRenderedPageBreak/>
              <w:t>3 (tris) darbo dienas nuo sprendimo priėmimo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7D4E5E">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643" w:type="dxa"/>
            <w:tcMar>
              <w:top w:w="0" w:type="dxa"/>
              <w:left w:w="108" w:type="dxa"/>
              <w:bottom w:w="0" w:type="dxa"/>
              <w:right w:w="108" w:type="dxa"/>
            </w:tcMar>
          </w:tcPr>
          <w:p w14:paraId="5055CF60" w14:textId="7D986E9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r w:rsidR="00CF50A4">
              <w:rPr>
                <w:rFonts w:eastAsia="Times New Roman" w:cs="Arial"/>
                <w:bCs/>
                <w:sz w:val="20"/>
                <w:szCs w:val="20"/>
                <w:lang w:eastAsia="lt-LT"/>
              </w:rPr>
              <w:t>.</w:t>
            </w:r>
          </w:p>
        </w:tc>
        <w:tc>
          <w:tcPr>
            <w:tcW w:w="2954"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7D4E5E">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643" w:type="dxa"/>
            <w:tcMar>
              <w:top w:w="0" w:type="dxa"/>
              <w:left w:w="108" w:type="dxa"/>
              <w:bottom w:w="0" w:type="dxa"/>
              <w:right w:w="108" w:type="dxa"/>
            </w:tcMar>
          </w:tcPr>
          <w:p w14:paraId="55708825" w14:textId="4DE7938E"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r w:rsidR="000D65AA">
              <w:rPr>
                <w:rFonts w:eastAsia="Times New Roman" w:cs="Arial"/>
                <w:sz w:val="20"/>
                <w:szCs w:val="20"/>
                <w:lang w:eastAsia="lt-LT"/>
              </w:rPr>
              <w:t xml:space="preserve"> </w:t>
            </w: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7D4E5E">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CF3909" w14:textId="5BD79C00"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r w:rsidR="00CF50A4">
              <w:rPr>
                <w:rFonts w:eastAsia="Times New Roman" w:cs="Arial"/>
                <w:sz w:val="20"/>
                <w:szCs w:val="20"/>
                <w:lang w:eastAsia="lt-LT"/>
              </w:rPr>
              <w:t>.</w:t>
            </w:r>
          </w:p>
        </w:tc>
        <w:tc>
          <w:tcPr>
            <w:tcW w:w="2954"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7D4E5E">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2531"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643"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7D4E5E">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643"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7D4E5E">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2531"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 xml:space="preserve">suinteresuotas dalyvis paprašys Perkančiojo subjekto </w:t>
            </w:r>
            <w:r w:rsidRPr="00181B65">
              <w:rPr>
                <w:rFonts w:eastAsia="Times New Roman" w:cs="Arial"/>
                <w:iCs/>
                <w:sz w:val="20"/>
                <w:szCs w:val="20"/>
                <w:lang w:eastAsia="lt-LT"/>
              </w:rPr>
              <w:lastRenderedPageBreak/>
              <w:t>pateikti laimėjusį pasiūlymą</w:t>
            </w:r>
          </w:p>
        </w:tc>
        <w:tc>
          <w:tcPr>
            <w:tcW w:w="3643"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lastRenderedPageBreak/>
              <w:t xml:space="preserve">PĮ 108 straipsnio 1 dalyje nustatytas terminas ir atidėjimo terminas pratęsiami papildomam terminui, jį skaičiuojant nuo Suinteresuoto dalyvio </w:t>
            </w:r>
            <w:r w:rsidRPr="00181B65">
              <w:rPr>
                <w:rFonts w:eastAsia="Times New Roman" w:cs="Arial"/>
                <w:sz w:val="20"/>
                <w:szCs w:val="20"/>
                <w:lang w:eastAsia="lt-LT"/>
              </w:rPr>
              <w:lastRenderedPageBreak/>
              <w:t xml:space="preserve">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954"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Sraopastraipa"/>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BE86" w14:textId="77777777" w:rsidR="005F763C" w:rsidRDefault="005F763C" w:rsidP="002D3D62">
      <w:r>
        <w:separator/>
      </w:r>
    </w:p>
  </w:endnote>
  <w:endnote w:type="continuationSeparator" w:id="0">
    <w:p w14:paraId="5B171DB5" w14:textId="77777777" w:rsidR="005F763C" w:rsidRDefault="005F763C"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637E" w14:textId="77777777" w:rsidR="005F763C" w:rsidRDefault="005F763C" w:rsidP="002D3D62">
      <w:r>
        <w:separator/>
      </w:r>
    </w:p>
  </w:footnote>
  <w:footnote w:type="continuationSeparator" w:id="0">
    <w:p w14:paraId="2CFCC14D" w14:textId="77777777" w:rsidR="005F763C" w:rsidRDefault="005F763C"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Antrats"/>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209C6D3A"/>
    <w:lvl w:ilvl="0">
      <w:start w:val="3"/>
      <w:numFmt w:val="decimal"/>
      <w:lvlText w:val="%1."/>
      <w:lvlJc w:val="left"/>
      <w:pPr>
        <w:ind w:left="502"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7C9"/>
    <w:rsid w:val="0003080C"/>
    <w:rsid w:val="00031D79"/>
    <w:rsid w:val="00041E1A"/>
    <w:rsid w:val="00061697"/>
    <w:rsid w:val="0008119F"/>
    <w:rsid w:val="000B23EE"/>
    <w:rsid w:val="000B2810"/>
    <w:rsid w:val="000C0DE4"/>
    <w:rsid w:val="000C3717"/>
    <w:rsid w:val="000D24D3"/>
    <w:rsid w:val="000D65AA"/>
    <w:rsid w:val="000E31DC"/>
    <w:rsid w:val="000E6F54"/>
    <w:rsid w:val="000F536D"/>
    <w:rsid w:val="00142B95"/>
    <w:rsid w:val="00154F48"/>
    <w:rsid w:val="001552A2"/>
    <w:rsid w:val="00164D00"/>
    <w:rsid w:val="00166164"/>
    <w:rsid w:val="001671F3"/>
    <w:rsid w:val="001679E3"/>
    <w:rsid w:val="00170316"/>
    <w:rsid w:val="00176A6D"/>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8091B"/>
    <w:rsid w:val="00383CEA"/>
    <w:rsid w:val="0039226A"/>
    <w:rsid w:val="00395633"/>
    <w:rsid w:val="003A017B"/>
    <w:rsid w:val="003A068C"/>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7660"/>
    <w:rsid w:val="00492FF2"/>
    <w:rsid w:val="004A1F56"/>
    <w:rsid w:val="004A1FC1"/>
    <w:rsid w:val="004A34C7"/>
    <w:rsid w:val="004B0F74"/>
    <w:rsid w:val="004B7029"/>
    <w:rsid w:val="004C0E80"/>
    <w:rsid w:val="004D721F"/>
    <w:rsid w:val="004D7D92"/>
    <w:rsid w:val="004E1E8C"/>
    <w:rsid w:val="004E3BAE"/>
    <w:rsid w:val="004E6E5E"/>
    <w:rsid w:val="004E707C"/>
    <w:rsid w:val="004F04DC"/>
    <w:rsid w:val="00502D2C"/>
    <w:rsid w:val="00505F28"/>
    <w:rsid w:val="005062ED"/>
    <w:rsid w:val="00510C8F"/>
    <w:rsid w:val="00510D4C"/>
    <w:rsid w:val="00545C45"/>
    <w:rsid w:val="00545DCE"/>
    <w:rsid w:val="00547F2B"/>
    <w:rsid w:val="005505EE"/>
    <w:rsid w:val="005517EC"/>
    <w:rsid w:val="00552DEC"/>
    <w:rsid w:val="00552F98"/>
    <w:rsid w:val="0055637F"/>
    <w:rsid w:val="0057152C"/>
    <w:rsid w:val="00575CA6"/>
    <w:rsid w:val="00581AA9"/>
    <w:rsid w:val="00582E0B"/>
    <w:rsid w:val="00590263"/>
    <w:rsid w:val="00597F3E"/>
    <w:rsid w:val="005B6317"/>
    <w:rsid w:val="005C0C61"/>
    <w:rsid w:val="005C7D5B"/>
    <w:rsid w:val="005D736F"/>
    <w:rsid w:val="005F6FCC"/>
    <w:rsid w:val="005F763C"/>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7BB7"/>
    <w:rsid w:val="00781D02"/>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349DC"/>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0487"/>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B30BF"/>
    <w:rsid w:val="00AC02C3"/>
    <w:rsid w:val="00AC393B"/>
    <w:rsid w:val="00AF04E7"/>
    <w:rsid w:val="00AF399E"/>
    <w:rsid w:val="00AF45AB"/>
    <w:rsid w:val="00AF556D"/>
    <w:rsid w:val="00AF67BA"/>
    <w:rsid w:val="00AF74A3"/>
    <w:rsid w:val="00B27E57"/>
    <w:rsid w:val="00B34992"/>
    <w:rsid w:val="00B34BB2"/>
    <w:rsid w:val="00B430EC"/>
    <w:rsid w:val="00B45ED6"/>
    <w:rsid w:val="00B4614C"/>
    <w:rsid w:val="00B50284"/>
    <w:rsid w:val="00B60A06"/>
    <w:rsid w:val="00B63239"/>
    <w:rsid w:val="00B676D9"/>
    <w:rsid w:val="00B70432"/>
    <w:rsid w:val="00B70D8D"/>
    <w:rsid w:val="00B72545"/>
    <w:rsid w:val="00B81B8F"/>
    <w:rsid w:val="00B87C08"/>
    <w:rsid w:val="00B9411D"/>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50E67"/>
    <w:rsid w:val="00C653C2"/>
    <w:rsid w:val="00C67042"/>
    <w:rsid w:val="00C7457F"/>
    <w:rsid w:val="00C805CB"/>
    <w:rsid w:val="00C81803"/>
    <w:rsid w:val="00CA325A"/>
    <w:rsid w:val="00CB4FAA"/>
    <w:rsid w:val="00CC5E01"/>
    <w:rsid w:val="00CC6A75"/>
    <w:rsid w:val="00CD4B55"/>
    <w:rsid w:val="00CD79FC"/>
    <w:rsid w:val="00CE0EA1"/>
    <w:rsid w:val="00CF50A4"/>
    <w:rsid w:val="00D05DA9"/>
    <w:rsid w:val="00D11130"/>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55BD8"/>
    <w:rsid w:val="00E6481D"/>
    <w:rsid w:val="00E66F60"/>
    <w:rsid w:val="00E70821"/>
    <w:rsid w:val="00E71CF5"/>
    <w:rsid w:val="00E77E2D"/>
    <w:rsid w:val="00E83809"/>
    <w:rsid w:val="00E86D12"/>
    <w:rsid w:val="00E87B79"/>
    <w:rsid w:val="00E917FA"/>
    <w:rsid w:val="00EA26D5"/>
    <w:rsid w:val="00EA4775"/>
    <w:rsid w:val="00EB0D32"/>
    <w:rsid w:val="00ED3BFD"/>
    <w:rsid w:val="00ED71CD"/>
    <w:rsid w:val="00ED7DA9"/>
    <w:rsid w:val="00EE31FA"/>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prastasis"/>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2.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customXml/itemProps3.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4428144C-F1D9-4166-A97C-27C285AF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2703</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226</cp:revision>
  <dcterms:created xsi:type="dcterms:W3CDTF">2025-09-19T05:13:00Z</dcterms:created>
  <dcterms:modified xsi:type="dcterms:W3CDTF">2026-06-23T10:07:00Z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