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3264" w14:textId="2B47DBC6" w:rsidR="00970944" w:rsidRPr="00970944" w:rsidRDefault="00970944" w:rsidP="00970944">
      <w:pPr>
        <w:spacing w:after="0" w:line="240" w:lineRule="auto"/>
        <w:jc w:val="right"/>
        <w:rPr>
          <w:rFonts w:ascii="Times New Roman" w:hAnsi="Times New Roman" w:cs="Times New Roman"/>
          <w:kern w:val="0"/>
          <w:sz w:val="20"/>
          <w:szCs w:val="20"/>
        </w:rPr>
      </w:pPr>
      <w:r w:rsidRPr="00970944">
        <w:rPr>
          <w:rFonts w:ascii="Times New Roman" w:hAnsi="Times New Roman" w:cs="Times New Roman"/>
          <w:kern w:val="0"/>
          <w:sz w:val="20"/>
          <w:szCs w:val="20"/>
        </w:rPr>
        <w:t>Pirkimo sąlygų</w:t>
      </w:r>
    </w:p>
    <w:p w14:paraId="3141B71E" w14:textId="529E9066" w:rsidR="00970944" w:rsidRDefault="00970944" w:rsidP="00970944">
      <w:pPr>
        <w:spacing w:after="0" w:line="240" w:lineRule="auto"/>
        <w:jc w:val="right"/>
        <w:rPr>
          <w:rFonts w:ascii="Times New Roman" w:hAnsi="Times New Roman" w:cs="Times New Roman"/>
          <w:kern w:val="0"/>
          <w:sz w:val="20"/>
          <w:szCs w:val="20"/>
        </w:rPr>
      </w:pPr>
      <w:r w:rsidRPr="00970944">
        <w:rPr>
          <w:rFonts w:ascii="Times New Roman" w:hAnsi="Times New Roman" w:cs="Times New Roman"/>
          <w:kern w:val="0"/>
          <w:sz w:val="20"/>
          <w:szCs w:val="20"/>
        </w:rPr>
        <w:t>9 priedas „Pirkimo neskaidymo į dalis pagrindimas“</w:t>
      </w:r>
    </w:p>
    <w:p w14:paraId="104D47A9" w14:textId="77777777" w:rsidR="007F26EF" w:rsidRPr="00970944" w:rsidRDefault="007F26EF" w:rsidP="00970944">
      <w:pPr>
        <w:spacing w:after="0" w:line="240" w:lineRule="auto"/>
        <w:jc w:val="right"/>
        <w:rPr>
          <w:rFonts w:ascii="Times New Roman" w:hAnsi="Times New Roman" w:cs="Times New Roman"/>
          <w:kern w:val="0"/>
          <w:sz w:val="20"/>
          <w:szCs w:val="20"/>
        </w:rPr>
      </w:pPr>
    </w:p>
    <w:p w14:paraId="5B1228AE" w14:textId="77777777" w:rsidR="007F26EF" w:rsidRPr="00D04A27" w:rsidRDefault="007F26EF" w:rsidP="007F26EF">
      <w:pPr>
        <w:spacing w:after="0" w:line="240" w:lineRule="auto"/>
        <w:jc w:val="center"/>
        <w:rPr>
          <w:rFonts w:ascii="Times New Roman" w:hAnsi="Times New Roman" w:cs="Times New Roman"/>
          <w:b/>
          <w:bCs/>
          <w:kern w:val="0"/>
          <w:sz w:val="24"/>
          <w:szCs w:val="24"/>
        </w:rPr>
      </w:pPr>
      <w:r w:rsidRPr="00D04A27">
        <w:rPr>
          <w:rFonts w:ascii="Times New Roman" w:hAnsi="Times New Roman" w:cs="Times New Roman"/>
          <w:b/>
          <w:bCs/>
          <w:kern w:val="0"/>
          <w:sz w:val="24"/>
          <w:szCs w:val="24"/>
        </w:rPr>
        <w:t xml:space="preserve">LIEPORIŲ GIMNAZIJOS  V. GRINKEVIČIAUS G. 22, ŠIAULIAI, </w:t>
      </w:r>
    </w:p>
    <w:p w14:paraId="62AF9498" w14:textId="77777777" w:rsidR="007F26EF" w:rsidRPr="00D04A27" w:rsidRDefault="007F26EF" w:rsidP="007F26EF">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hAnsi="Times New Roman" w:cs="Times New Roman"/>
          <w:b/>
          <w:bCs/>
          <w:kern w:val="0"/>
          <w:sz w:val="24"/>
          <w:szCs w:val="24"/>
        </w:rPr>
        <w:t>STADIONO RANGOS DARBAI</w:t>
      </w:r>
      <w:r w:rsidRPr="00D04A27">
        <w:rPr>
          <w:rFonts w:ascii="Times New Roman" w:eastAsia="Calibri" w:hAnsi="Times New Roman" w:cs="Times New Roman"/>
          <w:b/>
          <w:kern w:val="0"/>
          <w:sz w:val="24"/>
          <w:szCs w:val="24"/>
          <w14:ligatures w14:val="none"/>
        </w:rPr>
        <w:t xml:space="preserve"> </w:t>
      </w:r>
    </w:p>
    <w:p w14:paraId="67A2D98E" w14:textId="77777777" w:rsidR="00970944" w:rsidRPr="003E5DD7" w:rsidRDefault="00970944" w:rsidP="00970944">
      <w:pPr>
        <w:spacing w:after="0" w:line="240" w:lineRule="auto"/>
        <w:jc w:val="center"/>
        <w:rPr>
          <w:rFonts w:ascii="Times New Roman" w:eastAsia="Calibri" w:hAnsi="Times New Roman" w:cs="Times New Roman"/>
          <w:b/>
          <w:kern w:val="0"/>
          <w:sz w:val="24"/>
          <w:szCs w:val="24"/>
          <w14:ligatures w14:val="none"/>
        </w:rPr>
      </w:pPr>
    </w:p>
    <w:p w14:paraId="4C97AE0D" w14:textId="7B7F3432" w:rsidR="00523468" w:rsidRPr="003E5DD7" w:rsidRDefault="00523468" w:rsidP="00523468">
      <w:pPr>
        <w:jc w:val="center"/>
        <w:rPr>
          <w:rFonts w:ascii="Times New Roman" w:hAnsi="Times New Roman" w:cs="Times New Roman"/>
          <w:b/>
          <w:bCs/>
          <w:sz w:val="24"/>
          <w:szCs w:val="24"/>
        </w:rPr>
      </w:pPr>
      <w:r w:rsidRPr="003E5DD7">
        <w:rPr>
          <w:rFonts w:ascii="Times New Roman" w:hAnsi="Times New Roman" w:cs="Times New Roman"/>
          <w:b/>
          <w:bCs/>
          <w:sz w:val="24"/>
          <w:szCs w:val="24"/>
        </w:rPr>
        <w:t>PIRKIMO NESKAIDYMO Į DALIS PAGRINDIMAS</w:t>
      </w:r>
    </w:p>
    <w:p w14:paraId="71FD0A34"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Pirkimo objekto neskaidymo pagrindimas statybos darbų atlikimas pagal techninį projektą „Šiaulių Lieporių gimnazijos sporto ir kitos paskirties inžinerinių statinių su prieigomis ir lauko inžinerinių tinklų, V. Grinkevičiaus g. 22, Šiauliuose, rekonstravimo ir naujos statybos projektas“, kurio Nr. AT-24S-2175.</w:t>
      </w:r>
    </w:p>
    <w:p w14:paraId="137D52CC"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Pirkimo objektas į dalis neskaidomas vadovaujantis Lietuvos Respublikos viešųjų pirkimų įstatymas 28 straipsnio 1 dalimi, kuri nustato pareigą skaidyti pirkimo objektą į dalis, siekiant skatinti konkurenciją ir sudaryti galimybes dalyvauti smulkiajam ir vidutiniam verslui, tačiau kartu numato išimtį, kad pirkimo objektas gali būti neskaidomas, kai toks skaidymas nėra tikslingas, o perkančioji organizacija privalo pagrįsti tokio sprendimo priežastis. Taip pat vadovaujamasi šio įstatymo 17 straipsnyje įtvirtintais principais – skaidrumo, lygiateisiškumo, nediskriminavimo, proporcingumo ir racionalaus lėšų panaudojimo, kurie įpareigoja perkančiąją organizaciją pasirinkti tokį pirkimo objekto formavimo būdą, kuris užtikrintų efektyviausią pirkimo tikslų įgyvendinimą.</w:t>
      </w:r>
    </w:p>
    <w:p w14:paraId="49DE10C9"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Nagrinėjamu atveju pirkimo objektas apima statybos darbus, vykdomus pagal vieną techninį projektą ir vieną statybą leidžiantį dokumentą, todėl visi projekte numatyti darbai sudaro vientisą, technologiškai ir funkciškai neatsiejamą visumą darbų. Techniniame projekte nustatyti sprendiniai yra tarpusavyje glaudžiai susiję, jų įgyvendinimas reikalauja nuoseklaus ir koordinuoto darbų vykdymo, o atskirų darbų išskyrimas į savarankiškas pirkimo dalis būtų dirbtinis, techniškai nepagrįstas ir galėtų pažeisti projekto integralumą bei techninių sprendinių suderinamumą. Dėl šios priežasties pirkimo objekto skaidymas neatitiktų realios pirkimo objekto struktūros ir jo įgyvendinimo logikos.</w:t>
      </w:r>
    </w:p>
    <w:p w14:paraId="6736BD18"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Pirkimo objekto skaidymas ir skirtingų rangovų įtraukimas sukeltų reikšmingas rizikas tinkamam sutarties vykdymui, kadangi ženkliai padidėtų darbų koordinavimo sudėtingumas, atsirastų poreikis derinti kelių tiekėjų veiksmus, užtikrinti jų atliekamų darbų eiliškumą bei tarpusavio suderinamumą. Tai savo ruožtu didintų riziką dėl darbų atlikimo terminų nesilaikymo, galimų trikdžių statybos procese bei neigiamai paveiktų bendrą projekto įgyvendinimo efektyvumą. Be to, skirtingų rangovų dalyvavimas apsunkintų vieningų kokybės reikalavimų užtikrinimą ir sudarytų prielaidas nevienodam techninių sprendinių įgyvendinimui.</w:t>
      </w:r>
    </w:p>
    <w:p w14:paraId="3A0125E6"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Kelių rangovų dalyvavimas taip pat lemtų atsakomybės išskaidymą, dėl ko atsirastų praktinių sunkumų nustatant atsakingą subjektą už galimus defektus ar netinkamai atliktus darbus, ypač tais atvejais, kai darbai yra tarpusavyje susiję. Tai apsunkintų garantinių įsipareigojimų taikymą ir efektyvią sutarties vykdymo kontrolę bei neatitiktų racionalaus ir efektyvaus viešųjų lėšų panaudojimo principo.</w:t>
      </w:r>
    </w:p>
    <w:p w14:paraId="5917BCC6"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Pažymėtina, kad pirkimo objektas apima tiek darbo projekto parengimą, tiek statybos darbų atlikimą, todėl šių veiklų priskyrimas vienam tiekėjui leidžia užtikrinti projektavimo ir statybos procesų suderinamumą, optimalų techninių sprendinių parinkimą, efektyvų išteklių planavimą bei galimybę šiuos procesus vykdyti lygiagrečiai, taip trumpinant projekto įgyvendinimo terminus. Tuo tarpu šių veiklų išskaidymas tarp skirtingų tiekėjų didintų administracinę naštą, apsunkintų įsipareigojimų kontrolę, projektavimo sprendinių ir jų įgyvendinimo derinimą bei sukeltų papildomas laiko ir finansines sąnaudas.</w:t>
      </w:r>
    </w:p>
    <w:p w14:paraId="7EB1D80F"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t>Be to, pirkimo objekto skaidymas lemtų papildomas išlaidas, susijusias su kelių sutarčių administravimu, darbų koordinavimu, technine priežiūra bei galimų ginčų sprendimu, todėl nebūtų užtikrintas racionalus lėšų panaudojimas. Taip pat egzistuoja rizika, kad skaidant pirkimą į dalis nebūtų gauta pasiūlymų visoms dalims, kas galėtų lemti pirkimo procedūrų užsitęsimą ir projekto įgyvendinimo vėlavimą.</w:t>
      </w:r>
    </w:p>
    <w:p w14:paraId="07BAB961" w14:textId="77777777" w:rsidR="00523468" w:rsidRPr="002D19C6" w:rsidRDefault="00523468" w:rsidP="00523468">
      <w:pPr>
        <w:spacing w:after="0" w:line="240" w:lineRule="auto"/>
        <w:ind w:firstLine="720"/>
        <w:jc w:val="both"/>
        <w:rPr>
          <w:rFonts w:ascii="Times New Roman" w:hAnsi="Times New Roman" w:cs="Times New Roman"/>
          <w:sz w:val="24"/>
          <w:szCs w:val="24"/>
        </w:rPr>
      </w:pPr>
      <w:r w:rsidRPr="002D19C6">
        <w:rPr>
          <w:rFonts w:ascii="Times New Roman" w:hAnsi="Times New Roman" w:cs="Times New Roman"/>
          <w:sz w:val="24"/>
          <w:szCs w:val="24"/>
        </w:rPr>
        <w:lastRenderedPageBreak/>
        <w:t>Atsižvelgiant į išdėstytas aplinkybes, konstatuotina, kad pirkimo objekto skaidymas nagrinėjamu atveju yra netikslingas, ekonomiškai nenaudingas ir galėtų kelti riziką tinkamam pirkimo sutarties įvykdymui bei viešojo pirkimo tikslų pasiekimui, todėl sprendimas neskaidyti pirkimo objekto yra pagrįstas, proporcingas ir atitinka Lietuvos Respublikos viešųjų pirkimų įstatymas nuostatas bei jame įtvirtintus principus. Pirkimo objekto neskaidymas nėra skirtas dirbtinai riboti konkurenciją, o yra objektyviai pagrįstas techninio ir funkcinio vientisumo, efektyvaus įgyvendinimo bei tinkamo pirkimo sutarties įvykdymo užtikrinimo būtinybe.</w:t>
      </w:r>
    </w:p>
    <w:p w14:paraId="21667084" w14:textId="77777777" w:rsidR="00523468" w:rsidRPr="002D19C6" w:rsidRDefault="00523468" w:rsidP="00523468">
      <w:pPr>
        <w:rPr>
          <w:sz w:val="24"/>
          <w:szCs w:val="24"/>
        </w:rPr>
      </w:pPr>
    </w:p>
    <w:p w14:paraId="71F74D38" w14:textId="77777777" w:rsidR="00523468" w:rsidRDefault="00523468" w:rsidP="00523468"/>
    <w:p w14:paraId="35E0286A" w14:textId="77777777" w:rsidR="006E1AD7" w:rsidRDefault="006E1AD7"/>
    <w:sectPr w:rsidR="006E1AD7" w:rsidSect="002101B8">
      <w:headerReference w:type="firs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1F31" w14:textId="77777777" w:rsidR="004056A0" w:rsidRDefault="004056A0" w:rsidP="002101B8">
      <w:pPr>
        <w:spacing w:after="0" w:line="240" w:lineRule="auto"/>
      </w:pPr>
      <w:r>
        <w:separator/>
      </w:r>
    </w:p>
  </w:endnote>
  <w:endnote w:type="continuationSeparator" w:id="0">
    <w:p w14:paraId="6127AA4D" w14:textId="77777777" w:rsidR="004056A0" w:rsidRDefault="004056A0" w:rsidP="00210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B6B1" w14:textId="77777777" w:rsidR="004056A0" w:rsidRDefault="004056A0" w:rsidP="002101B8">
      <w:pPr>
        <w:spacing w:after="0" w:line="240" w:lineRule="auto"/>
      </w:pPr>
      <w:r>
        <w:separator/>
      </w:r>
    </w:p>
  </w:footnote>
  <w:footnote w:type="continuationSeparator" w:id="0">
    <w:p w14:paraId="07A18790" w14:textId="77777777" w:rsidR="004056A0" w:rsidRDefault="004056A0" w:rsidP="00210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E8E9" w14:textId="40DE54B4" w:rsidR="002101B8" w:rsidRDefault="002101B8">
    <w:pPr>
      <w:pStyle w:val="Antrats"/>
    </w:pPr>
    <w:r>
      <w:rPr>
        <w:noProof/>
      </w:rPr>
      <w:drawing>
        <wp:inline distT="0" distB="0" distL="0" distR="0" wp14:anchorId="2C64640B" wp14:editId="225ECDFE">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468"/>
    <w:rsid w:val="00070650"/>
    <w:rsid w:val="00102BEC"/>
    <w:rsid w:val="002101B8"/>
    <w:rsid w:val="002D19C6"/>
    <w:rsid w:val="00340BEE"/>
    <w:rsid w:val="00345858"/>
    <w:rsid w:val="003E5DD7"/>
    <w:rsid w:val="004056A0"/>
    <w:rsid w:val="00523468"/>
    <w:rsid w:val="006E1AD7"/>
    <w:rsid w:val="007F26EF"/>
    <w:rsid w:val="0083293F"/>
    <w:rsid w:val="008B738A"/>
    <w:rsid w:val="00970944"/>
    <w:rsid w:val="00A16047"/>
    <w:rsid w:val="00DF6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31368"/>
  <w15:chartTrackingRefBased/>
  <w15:docId w15:val="{8F6079B1-19C7-4D92-B3F0-5F0972482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468"/>
  </w:style>
  <w:style w:type="paragraph" w:styleId="Antrat1">
    <w:name w:val="heading 1"/>
    <w:basedOn w:val="prastasis"/>
    <w:next w:val="prastasis"/>
    <w:link w:val="Antrat1Diagrama"/>
    <w:uiPriority w:val="9"/>
    <w:qFormat/>
    <w:rsid w:val="00523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3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346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346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346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346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346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346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346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346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346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346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346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346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34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34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34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34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3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34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346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34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346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3468"/>
    <w:rPr>
      <w:i/>
      <w:iCs/>
      <w:color w:val="404040" w:themeColor="text1" w:themeTint="BF"/>
    </w:rPr>
  </w:style>
  <w:style w:type="paragraph" w:styleId="Sraopastraipa">
    <w:name w:val="List Paragraph"/>
    <w:basedOn w:val="prastasis"/>
    <w:uiPriority w:val="34"/>
    <w:qFormat/>
    <w:rsid w:val="00523468"/>
    <w:pPr>
      <w:ind w:left="720"/>
      <w:contextualSpacing/>
    </w:pPr>
  </w:style>
  <w:style w:type="character" w:styleId="Rykuspabraukimas">
    <w:name w:val="Intense Emphasis"/>
    <w:basedOn w:val="Numatytasispastraiposriftas"/>
    <w:uiPriority w:val="21"/>
    <w:qFormat/>
    <w:rsid w:val="00523468"/>
    <w:rPr>
      <w:i/>
      <w:iCs/>
      <w:color w:val="2F5496" w:themeColor="accent1" w:themeShade="BF"/>
    </w:rPr>
  </w:style>
  <w:style w:type="paragraph" w:styleId="Iskirtacitata">
    <w:name w:val="Intense Quote"/>
    <w:basedOn w:val="prastasis"/>
    <w:next w:val="prastasis"/>
    <w:link w:val="IskirtacitataDiagrama"/>
    <w:uiPriority w:val="30"/>
    <w:qFormat/>
    <w:rsid w:val="00523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3468"/>
    <w:rPr>
      <w:i/>
      <w:iCs/>
      <w:color w:val="2F5496" w:themeColor="accent1" w:themeShade="BF"/>
    </w:rPr>
  </w:style>
  <w:style w:type="character" w:styleId="Rykinuoroda">
    <w:name w:val="Intense Reference"/>
    <w:basedOn w:val="Numatytasispastraiposriftas"/>
    <w:uiPriority w:val="32"/>
    <w:qFormat/>
    <w:rsid w:val="00523468"/>
    <w:rPr>
      <w:b/>
      <w:bCs/>
      <w:smallCaps/>
      <w:color w:val="2F5496" w:themeColor="accent1" w:themeShade="BF"/>
      <w:spacing w:val="5"/>
    </w:rPr>
  </w:style>
  <w:style w:type="paragraph" w:styleId="Antrats">
    <w:name w:val="header"/>
    <w:basedOn w:val="prastasis"/>
    <w:link w:val="AntratsDiagrama"/>
    <w:uiPriority w:val="99"/>
    <w:unhideWhenUsed/>
    <w:rsid w:val="002101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01B8"/>
  </w:style>
  <w:style w:type="paragraph" w:styleId="Porat">
    <w:name w:val="footer"/>
    <w:basedOn w:val="prastasis"/>
    <w:link w:val="PoratDiagrama"/>
    <w:uiPriority w:val="99"/>
    <w:unhideWhenUsed/>
    <w:rsid w:val="002101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0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2948</Words>
  <Characters>1681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Kontrimienė</dc:creator>
  <cp:keywords/>
  <dc:description/>
  <cp:lastModifiedBy>PC31</cp:lastModifiedBy>
  <cp:revision>4</cp:revision>
  <dcterms:created xsi:type="dcterms:W3CDTF">2026-06-15T10:14:00Z</dcterms:created>
  <dcterms:modified xsi:type="dcterms:W3CDTF">2026-06-15T11:10:00Z</dcterms:modified>
</cp:coreProperties>
</file>