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3EBB" w14:textId="77777777" w:rsidR="00996160" w:rsidRPr="00282531" w:rsidRDefault="00F263B8" w:rsidP="008D3990">
      <w:pPr>
        <w:jc w:val="center"/>
        <w:rPr>
          <w:rFonts w:ascii="Times New Roman" w:hAnsi="Times New Roman" w:cs="Times New Roman"/>
        </w:rPr>
      </w:pPr>
      <w:r w:rsidRPr="00282531">
        <w:rPr>
          <w:rFonts w:ascii="Times New Roman" w:hAnsi="Times New Roman" w:cs="Times New Roman"/>
          <w:b/>
        </w:rPr>
        <w:t xml:space="preserve">                                                                                                                       </w:t>
      </w:r>
      <w:r w:rsidRPr="00282531">
        <w:rPr>
          <w:rFonts w:ascii="Times New Roman" w:hAnsi="Times New Roman" w:cs="Times New Roman"/>
        </w:rPr>
        <w:t>TSD-</w:t>
      </w:r>
      <w:r w:rsidR="00282531" w:rsidRPr="00282531">
        <w:rPr>
          <w:rFonts w:ascii="Times New Roman" w:hAnsi="Times New Roman" w:cs="Times New Roman"/>
        </w:rPr>
        <w:t>370</w:t>
      </w:r>
      <w:r w:rsidRPr="00282531">
        <w:rPr>
          <w:rFonts w:ascii="Times New Roman" w:hAnsi="Times New Roman" w:cs="Times New Roman"/>
        </w:rPr>
        <w:t>, VPP-1518</w:t>
      </w:r>
    </w:p>
    <w:p w14:paraId="44CA404F" w14:textId="77777777" w:rsidR="00996160" w:rsidRPr="00282531" w:rsidRDefault="00996160" w:rsidP="008D3990">
      <w:pPr>
        <w:jc w:val="center"/>
        <w:rPr>
          <w:rFonts w:ascii="Times New Roman" w:hAnsi="Times New Roman" w:cs="Times New Roman"/>
          <w:b/>
        </w:rPr>
      </w:pPr>
    </w:p>
    <w:p w14:paraId="1E11EF44" w14:textId="77777777" w:rsidR="008D3990" w:rsidRPr="00282531" w:rsidRDefault="00FB63EF" w:rsidP="00F871B1">
      <w:pPr>
        <w:spacing w:after="0" w:line="276" w:lineRule="auto"/>
        <w:jc w:val="center"/>
        <w:rPr>
          <w:rFonts w:ascii="Times New Roman" w:eastAsia="Times New Roman" w:hAnsi="Times New Roman" w:cs="Times New Roman"/>
          <w:b/>
          <w:bCs/>
          <w:noProof/>
          <w:lang w:eastAsia="lt-LT"/>
        </w:rPr>
      </w:pPr>
      <w:r w:rsidRPr="00282531">
        <w:rPr>
          <w:rFonts w:ascii="Times New Roman" w:eastAsia="Times New Roman" w:hAnsi="Times New Roman" w:cs="Times New Roman"/>
          <w:b/>
          <w:bCs/>
          <w:noProof/>
          <w:lang w:eastAsia="lt-LT"/>
        </w:rPr>
        <w:t xml:space="preserve">NovaSeq X Plus garantinio aptarnavimo paslaugos </w:t>
      </w:r>
      <w:r w:rsidR="00996160" w:rsidRPr="00282531">
        <w:rPr>
          <w:rFonts w:ascii="Times New Roman" w:eastAsia="Times New Roman" w:hAnsi="Times New Roman" w:cs="Times New Roman"/>
          <w:b/>
          <w:bCs/>
          <w:noProof/>
          <w:lang w:eastAsia="lt-LT"/>
        </w:rPr>
        <w:t>techninė specifikacija</w:t>
      </w:r>
    </w:p>
    <w:p w14:paraId="3114D201" w14:textId="77777777" w:rsidR="00F871B1" w:rsidRPr="00282531" w:rsidRDefault="00F871B1" w:rsidP="00F871B1">
      <w:pPr>
        <w:spacing w:after="0" w:line="276" w:lineRule="auto"/>
        <w:jc w:val="center"/>
        <w:rPr>
          <w:rFonts w:ascii="Times New Roman" w:eastAsia="Times New Roman" w:hAnsi="Times New Roman" w:cs="Times New Roman"/>
          <w:b/>
          <w:bCs/>
          <w:noProof/>
          <w:lang w:eastAsia="lt-LT"/>
        </w:rPr>
      </w:pPr>
    </w:p>
    <w:tbl>
      <w:tblPr>
        <w:tblStyle w:val="Lentelstinklelis"/>
        <w:tblW w:w="10916" w:type="dxa"/>
        <w:tblInd w:w="-998" w:type="dxa"/>
        <w:tblLook w:val="04A0" w:firstRow="1" w:lastRow="0" w:firstColumn="1" w:lastColumn="0" w:noHBand="0" w:noVBand="1"/>
      </w:tblPr>
      <w:tblGrid>
        <w:gridCol w:w="988"/>
        <w:gridCol w:w="3118"/>
        <w:gridCol w:w="3691"/>
        <w:gridCol w:w="3119"/>
      </w:tblGrid>
      <w:tr w:rsidR="00FB6BB1" w:rsidRPr="00282531" w14:paraId="725AA2D6" w14:textId="77777777" w:rsidTr="00412BD4">
        <w:tc>
          <w:tcPr>
            <w:tcW w:w="988" w:type="dxa"/>
            <w:vAlign w:val="center"/>
          </w:tcPr>
          <w:p w14:paraId="06C94317" w14:textId="77777777" w:rsidR="00FB6BB1" w:rsidRPr="00282531" w:rsidRDefault="00F871B1" w:rsidP="00F871B1">
            <w:pPr>
              <w:jc w:val="center"/>
              <w:rPr>
                <w:rFonts w:ascii="Times New Roman" w:hAnsi="Times New Roman" w:cs="Times New Roman"/>
                <w:b/>
              </w:rPr>
            </w:pPr>
            <w:r w:rsidRPr="00282531">
              <w:rPr>
                <w:rFonts w:ascii="Times New Roman" w:hAnsi="Times New Roman" w:cs="Times New Roman"/>
                <w:b/>
              </w:rPr>
              <w:t xml:space="preserve">Eilės </w:t>
            </w:r>
            <w:r w:rsidR="00FB6BB1" w:rsidRPr="00282531">
              <w:rPr>
                <w:rFonts w:ascii="Times New Roman" w:hAnsi="Times New Roman" w:cs="Times New Roman"/>
                <w:b/>
              </w:rPr>
              <w:t>Nr.</w:t>
            </w:r>
          </w:p>
        </w:tc>
        <w:tc>
          <w:tcPr>
            <w:tcW w:w="3118" w:type="dxa"/>
            <w:vAlign w:val="center"/>
          </w:tcPr>
          <w:p w14:paraId="721F6AD8" w14:textId="77777777" w:rsidR="00FB6BB1" w:rsidRPr="00282531" w:rsidRDefault="00F871B1" w:rsidP="00F871B1">
            <w:pPr>
              <w:jc w:val="center"/>
              <w:rPr>
                <w:rFonts w:ascii="Times New Roman" w:hAnsi="Times New Roman" w:cs="Times New Roman"/>
                <w:b/>
              </w:rPr>
            </w:pPr>
            <w:r w:rsidRPr="00282531">
              <w:rPr>
                <w:rFonts w:ascii="Times New Roman" w:hAnsi="Times New Roman" w:cs="Times New Roman"/>
                <w:b/>
              </w:rPr>
              <w:t>Parametras (specifikacija)</w:t>
            </w:r>
          </w:p>
        </w:tc>
        <w:tc>
          <w:tcPr>
            <w:tcW w:w="3691" w:type="dxa"/>
            <w:vAlign w:val="center"/>
          </w:tcPr>
          <w:p w14:paraId="3A52E817" w14:textId="77777777" w:rsidR="00FB6BB1" w:rsidRPr="00282531" w:rsidRDefault="00F871B1" w:rsidP="00F871B1">
            <w:pPr>
              <w:jc w:val="center"/>
              <w:rPr>
                <w:rFonts w:ascii="Times New Roman" w:hAnsi="Times New Roman" w:cs="Times New Roman"/>
                <w:b/>
              </w:rPr>
            </w:pPr>
            <w:r w:rsidRPr="00282531">
              <w:rPr>
                <w:rFonts w:ascii="Times New Roman" w:hAnsi="Times New Roman" w:cs="Times New Roman"/>
                <w:b/>
              </w:rPr>
              <w:t>Reikalaujamos parametrų reikšmės</w:t>
            </w:r>
          </w:p>
        </w:tc>
        <w:tc>
          <w:tcPr>
            <w:tcW w:w="3119" w:type="dxa"/>
            <w:vAlign w:val="center"/>
          </w:tcPr>
          <w:p w14:paraId="199E8B81" w14:textId="77777777" w:rsidR="00FB6BB1" w:rsidRPr="00282531" w:rsidRDefault="00F871B1" w:rsidP="00F871B1">
            <w:pPr>
              <w:jc w:val="center"/>
              <w:rPr>
                <w:rFonts w:ascii="Times New Roman" w:hAnsi="Times New Roman" w:cs="Times New Roman"/>
                <w:b/>
              </w:rPr>
            </w:pPr>
            <w:r w:rsidRPr="00282531">
              <w:rPr>
                <w:rFonts w:ascii="Times New Roman" w:hAnsi="Times New Roman" w:cs="Times New Roman"/>
                <w:b/>
              </w:rPr>
              <w:t>Siūlomos parametrų reikšmės</w:t>
            </w:r>
          </w:p>
        </w:tc>
      </w:tr>
      <w:tr w:rsidR="00FB6BB1" w:rsidRPr="00282531" w14:paraId="29804A3B" w14:textId="77777777" w:rsidTr="00412BD4">
        <w:tc>
          <w:tcPr>
            <w:tcW w:w="988" w:type="dxa"/>
          </w:tcPr>
          <w:p w14:paraId="1A25D6D1" w14:textId="77777777" w:rsidR="00FB6BB1" w:rsidRPr="00282531" w:rsidRDefault="00FB6BB1" w:rsidP="00F871B1">
            <w:pPr>
              <w:jc w:val="center"/>
              <w:rPr>
                <w:rFonts w:ascii="Times New Roman" w:hAnsi="Times New Roman" w:cs="Times New Roman"/>
                <w:noProof/>
              </w:rPr>
            </w:pPr>
            <w:r w:rsidRPr="00282531">
              <w:rPr>
                <w:rFonts w:ascii="Times New Roman" w:hAnsi="Times New Roman" w:cs="Times New Roman"/>
                <w:noProof/>
              </w:rPr>
              <w:t>1.</w:t>
            </w:r>
          </w:p>
        </w:tc>
        <w:tc>
          <w:tcPr>
            <w:tcW w:w="3118" w:type="dxa"/>
          </w:tcPr>
          <w:p w14:paraId="38AED922" w14:textId="77777777" w:rsidR="00064EC7" w:rsidRPr="00282531" w:rsidRDefault="00D455A8" w:rsidP="008A2B44">
            <w:pPr>
              <w:rPr>
                <w:rFonts w:ascii="Times New Roman" w:hAnsi="Times New Roman" w:cs="Times New Roman"/>
                <w:noProof/>
              </w:rPr>
            </w:pPr>
            <w:r w:rsidRPr="00282531">
              <w:rPr>
                <w:rFonts w:ascii="Times New Roman" w:hAnsi="Times New Roman" w:cs="Times New Roman"/>
                <w:noProof/>
              </w:rPr>
              <w:t xml:space="preserve">Naujos kartos sekoskaitos įrenginio „NovaSeq X plus“ </w:t>
            </w:r>
          </w:p>
          <w:p w14:paraId="26CCB296" w14:textId="77777777" w:rsidR="0006448B" w:rsidRPr="00282531" w:rsidRDefault="00D455A8" w:rsidP="008A2B44">
            <w:pPr>
              <w:rPr>
                <w:rFonts w:ascii="Times New Roman" w:hAnsi="Times New Roman" w:cs="Times New Roman"/>
                <w:noProof/>
              </w:rPr>
            </w:pPr>
            <w:r w:rsidRPr="00282531">
              <w:rPr>
                <w:rFonts w:ascii="Times New Roman" w:hAnsi="Times New Roman" w:cs="Times New Roman"/>
                <w:noProof/>
              </w:rPr>
              <w:t xml:space="preserve">(1 vnt.) garantinis </w:t>
            </w:r>
            <w:r w:rsidR="004E5C00" w:rsidRPr="00282531">
              <w:rPr>
                <w:rFonts w:ascii="Times New Roman" w:hAnsi="Times New Roman" w:cs="Times New Roman"/>
                <w:noProof/>
              </w:rPr>
              <w:t xml:space="preserve">(techninis) </w:t>
            </w:r>
            <w:r w:rsidRPr="00282531">
              <w:rPr>
                <w:rFonts w:ascii="Times New Roman" w:hAnsi="Times New Roman" w:cs="Times New Roman"/>
                <w:noProof/>
              </w:rPr>
              <w:t xml:space="preserve">aptarnavimas </w:t>
            </w:r>
          </w:p>
          <w:p w14:paraId="15EBF80A" w14:textId="77777777" w:rsidR="00FB6BB1" w:rsidRPr="00282531" w:rsidRDefault="00D455A8" w:rsidP="008A2B44">
            <w:pPr>
              <w:rPr>
                <w:rFonts w:ascii="Times New Roman" w:hAnsi="Times New Roman" w:cs="Times New Roman"/>
                <w:noProof/>
              </w:rPr>
            </w:pPr>
            <w:r w:rsidRPr="00282531">
              <w:rPr>
                <w:rFonts w:ascii="Times New Roman" w:hAnsi="Times New Roman" w:cs="Times New Roman"/>
                <w:noProof/>
              </w:rPr>
              <w:t>(sidabrinis paketas)</w:t>
            </w:r>
          </w:p>
        </w:tc>
        <w:tc>
          <w:tcPr>
            <w:tcW w:w="3691" w:type="dxa"/>
          </w:tcPr>
          <w:p w14:paraId="18975F6B" w14:textId="77777777" w:rsidR="00FB6BB1" w:rsidRPr="00282531" w:rsidRDefault="00FB6BB1">
            <w:pPr>
              <w:rPr>
                <w:rFonts w:ascii="Times New Roman" w:hAnsi="Times New Roman" w:cs="Times New Roman"/>
                <w:noProof/>
              </w:rPr>
            </w:pPr>
            <w:r w:rsidRPr="00282531">
              <w:rPr>
                <w:rFonts w:ascii="Times New Roman" w:hAnsi="Times New Roman" w:cs="Times New Roman"/>
                <w:noProof/>
              </w:rPr>
              <w:t>Kiekis 1 vnt.</w:t>
            </w:r>
          </w:p>
        </w:tc>
        <w:tc>
          <w:tcPr>
            <w:tcW w:w="3119" w:type="dxa"/>
          </w:tcPr>
          <w:p w14:paraId="02343FCD" w14:textId="77777777" w:rsidR="00FB6BB1" w:rsidRPr="00282531" w:rsidRDefault="00FB6BB1">
            <w:pPr>
              <w:rPr>
                <w:rFonts w:ascii="Times New Roman" w:hAnsi="Times New Roman" w:cs="Times New Roman"/>
              </w:rPr>
            </w:pPr>
          </w:p>
        </w:tc>
      </w:tr>
      <w:tr w:rsidR="00FB6BB1" w:rsidRPr="00282531" w14:paraId="4A862A87" w14:textId="77777777" w:rsidTr="00412BD4">
        <w:tc>
          <w:tcPr>
            <w:tcW w:w="988" w:type="dxa"/>
          </w:tcPr>
          <w:p w14:paraId="39AC7A1A" w14:textId="77777777" w:rsidR="00FB6BB1" w:rsidRPr="00282531" w:rsidRDefault="00FB6BB1" w:rsidP="00F871B1">
            <w:pPr>
              <w:jc w:val="center"/>
              <w:rPr>
                <w:rFonts w:ascii="Times New Roman" w:hAnsi="Times New Roman" w:cs="Times New Roman"/>
                <w:noProof/>
              </w:rPr>
            </w:pPr>
            <w:r w:rsidRPr="00282531">
              <w:rPr>
                <w:rFonts w:ascii="Times New Roman" w:hAnsi="Times New Roman" w:cs="Times New Roman"/>
                <w:noProof/>
              </w:rPr>
              <w:t>1.1</w:t>
            </w:r>
          </w:p>
        </w:tc>
        <w:tc>
          <w:tcPr>
            <w:tcW w:w="3118" w:type="dxa"/>
          </w:tcPr>
          <w:p w14:paraId="28D4F88F" w14:textId="77777777" w:rsidR="00FB6BB1" w:rsidRPr="00282531" w:rsidRDefault="00FB6BB1">
            <w:pPr>
              <w:rPr>
                <w:rFonts w:ascii="Times New Roman" w:hAnsi="Times New Roman" w:cs="Times New Roman"/>
                <w:noProof/>
              </w:rPr>
            </w:pPr>
            <w:r w:rsidRPr="00282531">
              <w:rPr>
                <w:rFonts w:ascii="Times New Roman" w:hAnsi="Times New Roman" w:cs="Times New Roman"/>
                <w:noProof/>
              </w:rPr>
              <w:t>Pirkimo objektas</w:t>
            </w:r>
          </w:p>
        </w:tc>
        <w:tc>
          <w:tcPr>
            <w:tcW w:w="3691" w:type="dxa"/>
          </w:tcPr>
          <w:p w14:paraId="0D5059DF" w14:textId="77777777" w:rsidR="00F871B1" w:rsidRPr="00282531" w:rsidRDefault="00D455A8" w:rsidP="008A2B44">
            <w:pPr>
              <w:rPr>
                <w:rFonts w:ascii="Times New Roman" w:hAnsi="Times New Roman" w:cs="Times New Roman"/>
                <w:noProof/>
              </w:rPr>
            </w:pPr>
            <w:r w:rsidRPr="00282531">
              <w:rPr>
                <w:rFonts w:ascii="Times New Roman" w:hAnsi="Times New Roman" w:cs="Times New Roman"/>
                <w:noProof/>
              </w:rPr>
              <w:t xml:space="preserve">Naujos kartos sekoskaitos įrenginio „NovaSeq X plus“ </w:t>
            </w:r>
          </w:p>
          <w:p w14:paraId="5E948445" w14:textId="77777777" w:rsidR="00FB6BB1" w:rsidRPr="00282531" w:rsidRDefault="00F871B1" w:rsidP="00651FA4">
            <w:pPr>
              <w:rPr>
                <w:rFonts w:ascii="Times New Roman" w:hAnsi="Times New Roman" w:cs="Times New Roman"/>
                <w:noProof/>
              </w:rPr>
            </w:pPr>
            <w:r w:rsidRPr="00282531">
              <w:rPr>
                <w:rFonts w:ascii="Times New Roman" w:hAnsi="Times New Roman" w:cs="Times New Roman"/>
                <w:noProof/>
              </w:rPr>
              <w:t xml:space="preserve">(1 vnt.) </w:t>
            </w:r>
            <w:r w:rsidR="00D455A8" w:rsidRPr="00282531">
              <w:rPr>
                <w:rFonts w:ascii="Times New Roman" w:hAnsi="Times New Roman" w:cs="Times New Roman"/>
                <w:noProof/>
              </w:rPr>
              <w:t xml:space="preserve">garantinis </w:t>
            </w:r>
            <w:r w:rsidR="004E5C00" w:rsidRPr="00282531">
              <w:rPr>
                <w:rFonts w:ascii="Times New Roman" w:hAnsi="Times New Roman" w:cs="Times New Roman"/>
                <w:noProof/>
              </w:rPr>
              <w:t xml:space="preserve">(techninis) </w:t>
            </w:r>
            <w:r w:rsidR="00D455A8" w:rsidRPr="00282531">
              <w:rPr>
                <w:rFonts w:ascii="Times New Roman" w:hAnsi="Times New Roman" w:cs="Times New Roman"/>
                <w:noProof/>
              </w:rPr>
              <w:t>aptarnavimas</w:t>
            </w:r>
            <w:r w:rsidR="00CF3729" w:rsidRPr="00282531">
              <w:rPr>
                <w:rFonts w:ascii="Times New Roman" w:hAnsi="Times New Roman" w:cs="Times New Roman"/>
                <w:noProof/>
              </w:rPr>
              <w:t xml:space="preserve"> </w:t>
            </w:r>
          </w:p>
        </w:tc>
        <w:tc>
          <w:tcPr>
            <w:tcW w:w="3119" w:type="dxa"/>
          </w:tcPr>
          <w:p w14:paraId="02A3371E" w14:textId="77777777" w:rsidR="00FB6BB1" w:rsidRPr="00282531" w:rsidRDefault="00FB6BB1">
            <w:pPr>
              <w:rPr>
                <w:rFonts w:ascii="Times New Roman" w:hAnsi="Times New Roman" w:cs="Times New Roman"/>
              </w:rPr>
            </w:pPr>
          </w:p>
        </w:tc>
      </w:tr>
      <w:tr w:rsidR="00FB6BB1" w:rsidRPr="00282531" w14:paraId="01154D18" w14:textId="77777777" w:rsidTr="00412BD4">
        <w:tc>
          <w:tcPr>
            <w:tcW w:w="988" w:type="dxa"/>
          </w:tcPr>
          <w:p w14:paraId="181A5277" w14:textId="77777777" w:rsidR="00FB6BB1" w:rsidRPr="00282531" w:rsidRDefault="00FB6BB1" w:rsidP="00F871B1">
            <w:pPr>
              <w:jc w:val="center"/>
              <w:rPr>
                <w:rFonts w:ascii="Times New Roman" w:hAnsi="Times New Roman" w:cs="Times New Roman"/>
                <w:noProof/>
              </w:rPr>
            </w:pPr>
            <w:r w:rsidRPr="00282531">
              <w:rPr>
                <w:rFonts w:ascii="Times New Roman" w:hAnsi="Times New Roman" w:cs="Times New Roman"/>
                <w:noProof/>
              </w:rPr>
              <w:t>1.2</w:t>
            </w:r>
          </w:p>
        </w:tc>
        <w:tc>
          <w:tcPr>
            <w:tcW w:w="3118" w:type="dxa"/>
          </w:tcPr>
          <w:p w14:paraId="44DA6C68" w14:textId="77777777" w:rsidR="00FB6BB1" w:rsidRPr="00282531" w:rsidRDefault="00D455A8">
            <w:pPr>
              <w:rPr>
                <w:rFonts w:ascii="Times New Roman" w:hAnsi="Times New Roman" w:cs="Times New Roman"/>
                <w:noProof/>
              </w:rPr>
            </w:pPr>
            <w:r w:rsidRPr="00282531">
              <w:rPr>
                <w:rFonts w:ascii="Times New Roman" w:hAnsi="Times New Roman" w:cs="Times New Roman"/>
                <w:noProof/>
              </w:rPr>
              <w:t xml:space="preserve">Garantinio </w:t>
            </w:r>
            <w:r w:rsidR="004E5C00" w:rsidRPr="00282531">
              <w:rPr>
                <w:rFonts w:ascii="Times New Roman" w:hAnsi="Times New Roman" w:cs="Times New Roman"/>
                <w:noProof/>
              </w:rPr>
              <w:t xml:space="preserve">(techninio) </w:t>
            </w:r>
            <w:r w:rsidRPr="00282531">
              <w:rPr>
                <w:rFonts w:ascii="Times New Roman" w:hAnsi="Times New Roman" w:cs="Times New Roman"/>
                <w:noProof/>
              </w:rPr>
              <w:t>aptarnavimo apimtis:</w:t>
            </w:r>
          </w:p>
        </w:tc>
        <w:tc>
          <w:tcPr>
            <w:tcW w:w="3691" w:type="dxa"/>
          </w:tcPr>
          <w:p w14:paraId="0A7DAF12"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1.</w:t>
            </w:r>
            <w:r w:rsidR="00614785" w:rsidRPr="00282531">
              <w:rPr>
                <w:rFonts w:ascii="Times New Roman" w:hAnsi="Times New Roman" w:cs="Times New Roman"/>
                <w:noProof/>
              </w:rPr>
              <w:t xml:space="preserve"> Garantinio</w:t>
            </w:r>
            <w:r w:rsidRPr="00282531">
              <w:rPr>
                <w:rFonts w:ascii="Times New Roman" w:hAnsi="Times New Roman" w:cs="Times New Roman"/>
                <w:noProof/>
              </w:rPr>
              <w:t xml:space="preserve"> </w:t>
            </w:r>
            <w:r w:rsidR="004E5C00" w:rsidRPr="00282531">
              <w:rPr>
                <w:rFonts w:ascii="Times New Roman" w:hAnsi="Times New Roman" w:cs="Times New Roman"/>
                <w:noProof/>
              </w:rPr>
              <w:t xml:space="preserve">(techninio) </w:t>
            </w:r>
            <w:r w:rsidRPr="00282531">
              <w:rPr>
                <w:rFonts w:ascii="Times New Roman" w:hAnsi="Times New Roman" w:cs="Times New Roman"/>
                <w:noProof/>
              </w:rPr>
              <w:t>aptarnavimo paslaugos apima:</w:t>
            </w:r>
          </w:p>
          <w:p w14:paraId="12B1FE7D"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a) serviso specialisto (-ų) atvykimo į vietą išlaidas, reikalingas įrangos gedimų diagnostikai ir remontui;</w:t>
            </w:r>
          </w:p>
          <w:p w14:paraId="517CB6AF"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b) įrangos remonto darbus;</w:t>
            </w:r>
          </w:p>
          <w:p w14:paraId="38793709"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c) remonto metu naudojamas originalias gamintojo dalis;</w:t>
            </w:r>
          </w:p>
          <w:p w14:paraId="1D41177C"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d) reagentų pakeitimą, jei tyrimo eiga prarasta dėl įrangos techninio gedimo;</w:t>
            </w:r>
          </w:p>
          <w:p w14:paraId="652EA0E6"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e) nuotolinę techninę pagalbą telefonu, internetu ar per techninės pagalbos sistemą darbo dienomis;</w:t>
            </w:r>
          </w:p>
          <w:p w14:paraId="48DF81E1"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f) programinės ir aparatinės įrangos atnaujinimų (angl. update) diegimą, kai jie tampa prieinami;</w:t>
            </w:r>
          </w:p>
          <w:p w14:paraId="418664E9"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g) metinę prevencinę techninę priežiūrą, įskaitant sistemos patikrinimą, komponentų patikrą, sistemos kvalifikavimą ir prevencinės priežiūros ataskaitą;</w:t>
            </w:r>
          </w:p>
          <w:p w14:paraId="5BDA261E"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h) gamintojo „Field Application Scientist“ (FAS) specialisto pagalba vietoje, skirta „Illumina“ taikomųjų programų veikimo sutrikimų diagnostikai ir šalinimui.</w:t>
            </w:r>
          </w:p>
          <w:p w14:paraId="5AF5472E" w14:textId="77777777" w:rsidR="008A2B44" w:rsidRPr="00282531" w:rsidRDefault="008A2B44" w:rsidP="008A2B44">
            <w:pPr>
              <w:rPr>
                <w:rFonts w:ascii="Times New Roman" w:hAnsi="Times New Roman" w:cs="Times New Roman"/>
                <w:noProof/>
              </w:rPr>
            </w:pPr>
            <w:r w:rsidRPr="00282531">
              <w:rPr>
                <w:rFonts w:ascii="Times New Roman" w:hAnsi="Times New Roman" w:cs="Times New Roman"/>
                <w:noProof/>
              </w:rPr>
              <w:t>2.</w:t>
            </w:r>
            <w:r w:rsidR="00614785" w:rsidRPr="00282531">
              <w:rPr>
                <w:rFonts w:ascii="Times New Roman" w:hAnsi="Times New Roman" w:cs="Times New Roman"/>
                <w:noProof/>
              </w:rPr>
              <w:t xml:space="preserve"> Garantinio</w:t>
            </w:r>
            <w:r w:rsidRPr="00282531">
              <w:rPr>
                <w:rFonts w:ascii="Times New Roman" w:hAnsi="Times New Roman" w:cs="Times New Roman"/>
                <w:noProof/>
              </w:rPr>
              <w:t xml:space="preserve"> </w:t>
            </w:r>
            <w:r w:rsidR="004E5C00" w:rsidRPr="00282531">
              <w:rPr>
                <w:rFonts w:ascii="Times New Roman" w:hAnsi="Times New Roman" w:cs="Times New Roman"/>
                <w:noProof/>
              </w:rPr>
              <w:t xml:space="preserve">(techninio) </w:t>
            </w:r>
            <w:r w:rsidRPr="00282531">
              <w:rPr>
                <w:rFonts w:ascii="Times New Roman" w:hAnsi="Times New Roman" w:cs="Times New Roman"/>
                <w:noProof/>
              </w:rPr>
              <w:t>aptarnavimo laikotarpis – 12 mėn.</w:t>
            </w:r>
          </w:p>
          <w:p w14:paraId="0EB89A56" w14:textId="77777777" w:rsidR="00FB6BB1" w:rsidRPr="00282531" w:rsidRDefault="008A2B44" w:rsidP="008A2B44">
            <w:pPr>
              <w:rPr>
                <w:rFonts w:ascii="Times New Roman" w:hAnsi="Times New Roman" w:cs="Times New Roman"/>
                <w:noProof/>
              </w:rPr>
            </w:pPr>
            <w:r w:rsidRPr="00282531">
              <w:rPr>
                <w:rFonts w:ascii="Times New Roman" w:hAnsi="Times New Roman" w:cs="Times New Roman"/>
                <w:noProof/>
              </w:rPr>
              <w:t>3. Reagavimo laikas atvykstant į vietą – iki 2 darbo dienų, jei techninės pagalbos specialistai nustato, kad reikalingas aptarnavimas vietoje.</w:t>
            </w:r>
          </w:p>
        </w:tc>
        <w:tc>
          <w:tcPr>
            <w:tcW w:w="3119" w:type="dxa"/>
          </w:tcPr>
          <w:p w14:paraId="5B059AED" w14:textId="77777777" w:rsidR="00FB6BB1" w:rsidRPr="00282531" w:rsidRDefault="00FB6BB1">
            <w:pPr>
              <w:rPr>
                <w:rFonts w:ascii="Times New Roman" w:hAnsi="Times New Roman" w:cs="Times New Roman"/>
              </w:rPr>
            </w:pPr>
          </w:p>
        </w:tc>
      </w:tr>
      <w:tr w:rsidR="00FB6BB1" w:rsidRPr="00282531" w14:paraId="29F45608" w14:textId="77777777" w:rsidTr="00412BD4">
        <w:tc>
          <w:tcPr>
            <w:tcW w:w="988" w:type="dxa"/>
          </w:tcPr>
          <w:p w14:paraId="293B40C7" w14:textId="77777777" w:rsidR="00FB6BB1" w:rsidRPr="00282531" w:rsidRDefault="00FB6BB1" w:rsidP="00F871B1">
            <w:pPr>
              <w:jc w:val="center"/>
              <w:rPr>
                <w:rFonts w:ascii="Times New Roman" w:hAnsi="Times New Roman" w:cs="Times New Roman"/>
              </w:rPr>
            </w:pPr>
            <w:r w:rsidRPr="00282531">
              <w:rPr>
                <w:rFonts w:ascii="Times New Roman" w:hAnsi="Times New Roman" w:cs="Times New Roman"/>
              </w:rPr>
              <w:t>1.3</w:t>
            </w:r>
          </w:p>
        </w:tc>
        <w:tc>
          <w:tcPr>
            <w:tcW w:w="3118" w:type="dxa"/>
          </w:tcPr>
          <w:p w14:paraId="6130C877" w14:textId="77777777" w:rsidR="00FB6BB1" w:rsidRPr="00282531" w:rsidRDefault="00FB6BB1">
            <w:pPr>
              <w:rPr>
                <w:rFonts w:ascii="Times New Roman" w:hAnsi="Times New Roman" w:cs="Times New Roman"/>
              </w:rPr>
            </w:pPr>
            <w:r w:rsidRPr="00282531">
              <w:rPr>
                <w:rFonts w:ascii="Times New Roman" w:hAnsi="Times New Roman" w:cs="Times New Roman"/>
              </w:rPr>
              <w:t>Reikalavimai įrenginio remontui</w:t>
            </w:r>
          </w:p>
        </w:tc>
        <w:tc>
          <w:tcPr>
            <w:tcW w:w="3691" w:type="dxa"/>
          </w:tcPr>
          <w:p w14:paraId="27876F16" w14:textId="77777777" w:rsidR="00FB6BB1" w:rsidRPr="00282531" w:rsidRDefault="008A2B44">
            <w:pPr>
              <w:rPr>
                <w:rFonts w:ascii="Times New Roman" w:hAnsi="Times New Roman" w:cs="Times New Roman"/>
              </w:rPr>
            </w:pPr>
            <w:r w:rsidRPr="00282531">
              <w:rPr>
                <w:rFonts w:ascii="Times New Roman" w:hAnsi="Times New Roman" w:cs="Times New Roman"/>
              </w:rPr>
              <w:t>Remontas atliekamas pagal gamintojo nustatytus techninius reikalavimus ir naudojant originalias gamintojo dalis bei komponentus.</w:t>
            </w:r>
          </w:p>
        </w:tc>
        <w:tc>
          <w:tcPr>
            <w:tcW w:w="3119" w:type="dxa"/>
          </w:tcPr>
          <w:p w14:paraId="11BD65BA" w14:textId="77777777" w:rsidR="00FB6BB1" w:rsidRPr="00282531" w:rsidRDefault="00FB6BB1">
            <w:pPr>
              <w:rPr>
                <w:rFonts w:ascii="Times New Roman" w:hAnsi="Times New Roman" w:cs="Times New Roman"/>
              </w:rPr>
            </w:pPr>
          </w:p>
        </w:tc>
      </w:tr>
      <w:tr w:rsidR="00FB6BB1" w:rsidRPr="00282531" w14:paraId="427E7DA9" w14:textId="77777777" w:rsidTr="00412BD4">
        <w:tc>
          <w:tcPr>
            <w:tcW w:w="988" w:type="dxa"/>
          </w:tcPr>
          <w:p w14:paraId="1D9532FF" w14:textId="77777777" w:rsidR="00FB6BB1" w:rsidRPr="00282531" w:rsidRDefault="00FB6BB1" w:rsidP="00F871B1">
            <w:pPr>
              <w:jc w:val="center"/>
              <w:rPr>
                <w:rFonts w:ascii="Times New Roman" w:hAnsi="Times New Roman" w:cs="Times New Roman"/>
                <w:noProof/>
              </w:rPr>
            </w:pPr>
            <w:r w:rsidRPr="00282531">
              <w:rPr>
                <w:rFonts w:ascii="Times New Roman" w:hAnsi="Times New Roman" w:cs="Times New Roman"/>
                <w:noProof/>
              </w:rPr>
              <w:t>1.4</w:t>
            </w:r>
          </w:p>
        </w:tc>
        <w:tc>
          <w:tcPr>
            <w:tcW w:w="3118" w:type="dxa"/>
          </w:tcPr>
          <w:p w14:paraId="7FD21C0D" w14:textId="77777777" w:rsidR="00FB6BB1" w:rsidRPr="00282531" w:rsidRDefault="00FB6BB1">
            <w:pPr>
              <w:rPr>
                <w:rFonts w:ascii="Times New Roman" w:hAnsi="Times New Roman" w:cs="Times New Roman"/>
                <w:noProof/>
              </w:rPr>
            </w:pPr>
            <w:r w:rsidRPr="00282531">
              <w:rPr>
                <w:rFonts w:ascii="Times New Roman" w:hAnsi="Times New Roman" w:cs="Times New Roman"/>
                <w:noProof/>
              </w:rPr>
              <w:t>Pasiūlymo kaina</w:t>
            </w:r>
          </w:p>
        </w:tc>
        <w:tc>
          <w:tcPr>
            <w:tcW w:w="3691" w:type="dxa"/>
          </w:tcPr>
          <w:p w14:paraId="3A8B2080" w14:textId="77777777" w:rsidR="00FB6BB1" w:rsidRPr="00282531" w:rsidRDefault="00A518E2">
            <w:pPr>
              <w:rPr>
                <w:rFonts w:ascii="Times New Roman" w:hAnsi="Times New Roman" w:cs="Times New Roman"/>
                <w:noProof/>
              </w:rPr>
            </w:pPr>
            <w:r w:rsidRPr="00282531">
              <w:rPr>
                <w:rFonts w:ascii="Times New Roman" w:hAnsi="Times New Roman" w:cs="Times New Roman"/>
                <w:noProof/>
              </w:rPr>
              <w:t xml:space="preserve">Į pasiūlymo kainą įskaičiuotos visos su naujos kartos sekoskaitos įrenginio </w:t>
            </w:r>
            <w:r w:rsidR="00D455A8" w:rsidRPr="00282531">
              <w:rPr>
                <w:rFonts w:ascii="Times New Roman" w:hAnsi="Times New Roman" w:cs="Times New Roman"/>
                <w:noProof/>
              </w:rPr>
              <w:lastRenderedPageBreak/>
              <w:t xml:space="preserve">„NovaSeq X plus“  </w:t>
            </w:r>
            <w:r w:rsidR="00FF4A25" w:rsidRPr="00282531">
              <w:rPr>
                <w:rFonts w:ascii="Times New Roman" w:hAnsi="Times New Roman" w:cs="Times New Roman"/>
                <w:noProof/>
              </w:rPr>
              <w:t>garantiniu</w:t>
            </w:r>
            <w:r w:rsidR="0006448B" w:rsidRPr="00282531">
              <w:rPr>
                <w:rFonts w:ascii="Times New Roman" w:hAnsi="Times New Roman" w:cs="Times New Roman"/>
                <w:noProof/>
              </w:rPr>
              <w:t xml:space="preserve"> (techniniu)</w:t>
            </w:r>
            <w:r w:rsidRPr="00282531">
              <w:rPr>
                <w:rFonts w:ascii="Times New Roman" w:hAnsi="Times New Roman" w:cs="Times New Roman"/>
                <w:noProof/>
              </w:rPr>
              <w:t xml:space="preserve"> aptarnavimu (1.2 punktas) susijusios išlaidos, įskaitant darbą, dalis, kelionės išlaidas, programinės ir techninės įrangos atnaujinimus bei prevencinę priežiūrą.</w:t>
            </w:r>
          </w:p>
        </w:tc>
        <w:tc>
          <w:tcPr>
            <w:tcW w:w="3119" w:type="dxa"/>
          </w:tcPr>
          <w:p w14:paraId="066A990F" w14:textId="77777777" w:rsidR="00FB6BB1" w:rsidRPr="00282531" w:rsidRDefault="00FB6BB1">
            <w:pPr>
              <w:rPr>
                <w:rFonts w:ascii="Times New Roman" w:hAnsi="Times New Roman" w:cs="Times New Roman"/>
                <w:noProof/>
              </w:rPr>
            </w:pPr>
          </w:p>
        </w:tc>
      </w:tr>
    </w:tbl>
    <w:p w14:paraId="09A7927E" w14:textId="77777777" w:rsidR="00A85758" w:rsidRPr="00282531" w:rsidRDefault="00C123B2">
      <w:pPr>
        <w:rPr>
          <w:rFonts w:ascii="Times New Roman" w:hAnsi="Times New Roman" w:cs="Times New Roman"/>
          <w:noProof/>
        </w:rPr>
      </w:pPr>
    </w:p>
    <w:p w14:paraId="7CAB93EE" w14:textId="77777777" w:rsidR="007865CB" w:rsidRPr="00282531" w:rsidRDefault="007865CB" w:rsidP="00B42320">
      <w:pPr>
        <w:spacing w:after="0" w:line="240" w:lineRule="auto"/>
        <w:ind w:hanging="567"/>
        <w:jc w:val="both"/>
        <w:rPr>
          <w:rFonts w:ascii="Times New Roman" w:eastAsia="Times New Roman" w:hAnsi="Times New Roman" w:cs="Times New Roman"/>
          <w:b/>
        </w:rPr>
      </w:pPr>
      <w:r w:rsidRPr="00282531">
        <w:rPr>
          <w:rFonts w:ascii="Times New Roman" w:eastAsia="Times New Roman" w:hAnsi="Times New Roman" w:cs="Times New Roman"/>
          <w:b/>
        </w:rPr>
        <w:t>Pastabos, papildomi reikalavimai:</w:t>
      </w:r>
    </w:p>
    <w:p w14:paraId="5D571F73" w14:textId="77777777" w:rsidR="00A518E2" w:rsidRPr="00282531" w:rsidRDefault="00A518E2" w:rsidP="00A518E2">
      <w:pPr>
        <w:rPr>
          <w:rFonts w:ascii="Times New Roman" w:hAnsi="Times New Roman" w:cs="Times New Roman"/>
          <w:noProof/>
        </w:rPr>
      </w:pPr>
    </w:p>
    <w:p w14:paraId="725E60B5" w14:textId="77777777" w:rsidR="00A518E2" w:rsidRPr="00282531" w:rsidRDefault="00A518E2" w:rsidP="00B42320">
      <w:pPr>
        <w:pStyle w:val="Sraopastraipa"/>
        <w:numPr>
          <w:ilvl w:val="0"/>
          <w:numId w:val="3"/>
        </w:numPr>
        <w:ind w:left="-284"/>
        <w:jc w:val="both"/>
        <w:rPr>
          <w:rFonts w:ascii="Times New Roman" w:hAnsi="Times New Roman" w:cs="Times New Roman"/>
          <w:noProof/>
        </w:rPr>
      </w:pPr>
      <w:r w:rsidRPr="00282531">
        <w:rPr>
          <w:rFonts w:ascii="Times New Roman" w:hAnsi="Times New Roman" w:cs="Times New Roman"/>
          <w:noProof/>
        </w:rPr>
        <w:t>Tiekėjas įsipareigoja užtikrinti tikslinį reagavimo laiką aptarnavimui vietoje – ne vėliau kaip per dvi (2) darbo dienas iki 17:00 val. vietos laiku nuo momento, kai techninės pagalbos specialistai nustato, kad reikalingas aptarnavimas vietoje ir yra pateiktas „Field Service Engineer (FSE)“ iškvietimo pranešimas. Iškvietimo pranešimas turi būti pateiktas ne vėliau kaip iki 15:00 val. vietos laiku.</w:t>
      </w:r>
    </w:p>
    <w:p w14:paraId="29B0E91B" w14:textId="77777777" w:rsidR="00A518E2" w:rsidRPr="00282531" w:rsidRDefault="00A518E2" w:rsidP="00B42320">
      <w:pPr>
        <w:pStyle w:val="Sraopastraipa"/>
        <w:numPr>
          <w:ilvl w:val="0"/>
          <w:numId w:val="3"/>
        </w:numPr>
        <w:ind w:left="-284"/>
        <w:jc w:val="both"/>
        <w:rPr>
          <w:rFonts w:ascii="Times New Roman" w:hAnsi="Times New Roman" w:cs="Times New Roman"/>
          <w:noProof/>
        </w:rPr>
      </w:pPr>
      <w:r w:rsidRPr="00282531">
        <w:rPr>
          <w:rFonts w:ascii="Times New Roman" w:hAnsi="Times New Roman" w:cs="Times New Roman"/>
          <w:noProof/>
        </w:rPr>
        <w:t>Tiekėjas įsipareigoja užtikrinti prieigą prie „Illumina Technical Support“ techninės pagalbos paslaugų aštuoniolika (18) valandų per parą, penkias (5) darbo dienas per savaitę (standartinės darbo savaitės metu). Techninė pagalba teikiama telefonu, pateikiant užklausas per internetinę sistemą bei naudojantis kitais gamintojo teikiamais internetiniais techninės pagalbos įrankiais.</w:t>
      </w:r>
    </w:p>
    <w:p w14:paraId="02EB7346" w14:textId="77777777" w:rsidR="00A518E2" w:rsidRPr="00282531" w:rsidRDefault="00A518E2" w:rsidP="00B42320">
      <w:pPr>
        <w:pStyle w:val="Sraopastraipa"/>
        <w:numPr>
          <w:ilvl w:val="0"/>
          <w:numId w:val="3"/>
        </w:numPr>
        <w:spacing w:after="0"/>
        <w:ind w:left="-284"/>
        <w:jc w:val="both"/>
        <w:rPr>
          <w:rFonts w:ascii="Times New Roman" w:hAnsi="Times New Roman" w:cs="Times New Roman"/>
          <w:noProof/>
        </w:rPr>
      </w:pPr>
      <w:r w:rsidRPr="00282531">
        <w:rPr>
          <w:rFonts w:ascii="Times New Roman" w:hAnsi="Times New Roman" w:cs="Times New Roman"/>
          <w:noProof/>
        </w:rPr>
        <w:t xml:space="preserve">Tiekėjas įsipareigoja, pakeisti tyrimo metu naudotus „Illumina“ prekės ženklo reagentus, jei sekoskaitos metu, dėl įrenginio techninio gedimo, buvo prarasti ar sugadinti reagentai. Sprendimą dėl reagentų pakeitimo priima gamintojo techninės pagalbos specialistai, remdamiesi savo profesiniu vertinimu. </w:t>
      </w:r>
    </w:p>
    <w:p w14:paraId="1DB1FC54" w14:textId="77777777" w:rsidR="00A518E2" w:rsidRPr="00282531" w:rsidRDefault="00A518E2" w:rsidP="00B42320">
      <w:pPr>
        <w:pStyle w:val="prastasiniatinklio"/>
        <w:numPr>
          <w:ilvl w:val="0"/>
          <w:numId w:val="3"/>
        </w:numPr>
        <w:spacing w:before="0" w:beforeAutospacing="0"/>
        <w:ind w:left="-284"/>
        <w:jc w:val="both"/>
        <w:rPr>
          <w:noProof/>
          <w:sz w:val="22"/>
          <w:szCs w:val="22"/>
          <w:lang w:val="lt-LT"/>
        </w:rPr>
      </w:pPr>
      <w:r w:rsidRPr="00282531">
        <w:rPr>
          <w:noProof/>
          <w:sz w:val="22"/>
          <w:szCs w:val="22"/>
          <w:lang w:val="lt-LT"/>
        </w:rPr>
        <w:t>Tiekėjas įsipareigoja ne rečiau kaip kartą per metus atlikti įrenginio prevencinės priežiūros darbus. Prevencinės priežiūros paslaugos apima specialistų d</w:t>
      </w:r>
      <w:r w:rsidR="004438AD" w:rsidRPr="00282531">
        <w:rPr>
          <w:noProof/>
          <w:sz w:val="22"/>
          <w:szCs w:val="22"/>
          <w:lang w:val="lt-LT"/>
        </w:rPr>
        <w:t>arbą, atvykimo išlaidas, visų prevencinės priežiūros</w:t>
      </w:r>
      <w:r w:rsidRPr="00282531">
        <w:rPr>
          <w:noProof/>
          <w:sz w:val="22"/>
          <w:szCs w:val="22"/>
          <w:lang w:val="lt-LT"/>
        </w:rPr>
        <w:t xml:space="preserve"> rinkinyje numatytų dalių pakeitimą, įrenginio komponentų patikrą, posistemių priežiūrą, sistemos pakartotinį kvalifikavimą bei prevencinės priežiūros atlikimą patvirtinančio dokumento pateikimą. </w:t>
      </w:r>
    </w:p>
    <w:p w14:paraId="5029E953" w14:textId="77777777" w:rsidR="00A518E2" w:rsidRPr="00282531" w:rsidRDefault="00A518E2" w:rsidP="00B42320">
      <w:pPr>
        <w:pStyle w:val="prastasiniatinklio"/>
        <w:numPr>
          <w:ilvl w:val="0"/>
          <w:numId w:val="3"/>
        </w:numPr>
        <w:spacing w:before="0" w:beforeAutospacing="0"/>
        <w:ind w:left="-284"/>
        <w:jc w:val="both"/>
        <w:rPr>
          <w:noProof/>
          <w:sz w:val="22"/>
          <w:szCs w:val="22"/>
          <w:lang w:val="lt-LT"/>
        </w:rPr>
      </w:pPr>
      <w:r w:rsidRPr="00282531">
        <w:rPr>
          <w:noProof/>
          <w:sz w:val="22"/>
          <w:szCs w:val="22"/>
          <w:lang w:val="lt-LT"/>
        </w:rPr>
        <w:t xml:space="preserve">Tekėjas įsipareigoja atlikti visus programinės ir aparatinės įrangos atnaujinimus (angl. </w:t>
      </w:r>
      <w:r w:rsidRPr="00282531">
        <w:rPr>
          <w:i/>
          <w:iCs/>
          <w:noProof/>
          <w:sz w:val="22"/>
          <w:szCs w:val="22"/>
          <w:lang w:val="lt-LT"/>
        </w:rPr>
        <w:t>Hardware and Software Updates</w:t>
      </w:r>
      <w:r w:rsidRPr="00282531">
        <w:rPr>
          <w:noProof/>
          <w:sz w:val="22"/>
          <w:szCs w:val="22"/>
          <w:lang w:val="lt-LT"/>
        </w:rPr>
        <w:t>), kai tik tokie atnaujinimai tampa prieinami, per racionalų laikotarpį nuo jų prieinamumo momento ir iš anksto suderinus atnau</w:t>
      </w:r>
      <w:r w:rsidR="000108F7" w:rsidRPr="00282531">
        <w:rPr>
          <w:noProof/>
          <w:sz w:val="22"/>
          <w:szCs w:val="22"/>
          <w:lang w:val="lt-LT"/>
        </w:rPr>
        <w:t>jinimų atlikimo laiką su Užsakovu</w:t>
      </w:r>
      <w:r w:rsidR="004438AD" w:rsidRPr="00282531">
        <w:rPr>
          <w:noProof/>
          <w:sz w:val="22"/>
          <w:szCs w:val="22"/>
          <w:lang w:val="lt-LT"/>
        </w:rPr>
        <w:t>.</w:t>
      </w:r>
    </w:p>
    <w:p w14:paraId="72E8F894" w14:textId="77777777" w:rsidR="00A518E2" w:rsidRDefault="00A518E2">
      <w:pPr>
        <w:rPr>
          <w:rFonts w:ascii="Times New Roman" w:hAnsi="Times New Roman" w:cs="Times New Roman"/>
          <w:noProof/>
        </w:rPr>
      </w:pPr>
    </w:p>
    <w:p w14:paraId="70AC7088" w14:textId="77777777" w:rsidR="00282531" w:rsidRPr="008F3502" w:rsidRDefault="00282531" w:rsidP="00282531">
      <w:pPr>
        <w:rPr>
          <w:rFonts w:ascii="Times New Roman" w:hAnsi="Times New Roman" w:cs="Times New Roman"/>
        </w:rPr>
      </w:pPr>
      <w:bookmarkStart w:id="0" w:name="_GoBack"/>
      <w:bookmarkEnd w:id="0"/>
    </w:p>
    <w:p w14:paraId="22660459" w14:textId="77777777" w:rsidR="00282531" w:rsidRPr="00282531" w:rsidRDefault="00282531">
      <w:pPr>
        <w:rPr>
          <w:rFonts w:ascii="Times New Roman" w:hAnsi="Times New Roman" w:cs="Times New Roman"/>
          <w:noProof/>
        </w:rPr>
      </w:pPr>
    </w:p>
    <w:sectPr w:rsidR="00282531" w:rsidRPr="002825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F11"/>
    <w:multiLevelType w:val="hybridMultilevel"/>
    <w:tmpl w:val="601ECB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A7025A"/>
    <w:multiLevelType w:val="hybridMultilevel"/>
    <w:tmpl w:val="CF42AEF2"/>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D7D0A"/>
    <w:multiLevelType w:val="hybridMultilevel"/>
    <w:tmpl w:val="6C32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F8"/>
    <w:rsid w:val="000108F7"/>
    <w:rsid w:val="00012413"/>
    <w:rsid w:val="00041A5F"/>
    <w:rsid w:val="00064039"/>
    <w:rsid w:val="0006448B"/>
    <w:rsid w:val="00064EC7"/>
    <w:rsid w:val="00173A60"/>
    <w:rsid w:val="00282531"/>
    <w:rsid w:val="00402EFF"/>
    <w:rsid w:val="00412BD4"/>
    <w:rsid w:val="004438AD"/>
    <w:rsid w:val="004E5C00"/>
    <w:rsid w:val="00614785"/>
    <w:rsid w:val="00651FA4"/>
    <w:rsid w:val="00763E82"/>
    <w:rsid w:val="007865CB"/>
    <w:rsid w:val="008A2B44"/>
    <w:rsid w:val="008D3990"/>
    <w:rsid w:val="00951993"/>
    <w:rsid w:val="00996160"/>
    <w:rsid w:val="00A518E2"/>
    <w:rsid w:val="00AF78F0"/>
    <w:rsid w:val="00B42320"/>
    <w:rsid w:val="00C123B2"/>
    <w:rsid w:val="00CF3729"/>
    <w:rsid w:val="00D455A8"/>
    <w:rsid w:val="00DC2BF8"/>
    <w:rsid w:val="00E70D1D"/>
    <w:rsid w:val="00F22AC1"/>
    <w:rsid w:val="00F263B8"/>
    <w:rsid w:val="00F871B1"/>
    <w:rsid w:val="00FB63EF"/>
    <w:rsid w:val="00FB6BB1"/>
    <w:rsid w:val="00FF4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0D54"/>
  <w15:chartTrackingRefBased/>
  <w15:docId w15:val="{5CB956BF-B5D1-4804-BCD2-FC3FAE6C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BB1"/>
    <w:pPr>
      <w:ind w:left="720"/>
      <w:contextualSpacing/>
    </w:pPr>
  </w:style>
  <w:style w:type="paragraph" w:styleId="prastasiniatinklio">
    <w:name w:val="Normal (Web)"/>
    <w:basedOn w:val="prastasis"/>
    <w:uiPriority w:val="99"/>
    <w:unhideWhenUsed/>
    <w:rsid w:val="00A518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A518E2"/>
    <w:rPr>
      <w:i/>
      <w:iCs/>
    </w:rPr>
  </w:style>
  <w:style w:type="paragraph" w:styleId="Debesliotekstas">
    <w:name w:val="Balloon Text"/>
    <w:basedOn w:val="prastasis"/>
    <w:link w:val="DebesliotekstasDiagrama"/>
    <w:uiPriority w:val="99"/>
    <w:semiHidden/>
    <w:unhideWhenUsed/>
    <w:rsid w:val="00C123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73F6-1E1F-4C6C-8522-2FBDDA06883F}">
  <ds:schemaRefs>
    <ds:schemaRef ds:uri="http://schemas.microsoft.com/sharepoint/v3/contenttype/forms"/>
  </ds:schemaRefs>
</ds:datastoreItem>
</file>

<file path=customXml/itemProps2.xml><?xml version="1.0" encoding="utf-8"?>
<ds:datastoreItem xmlns:ds="http://schemas.openxmlformats.org/officeDocument/2006/customXml" ds:itemID="{D1CCD1B5-CE55-4A8F-930A-9934590B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2EAD95-DA36-4987-B5AE-FAB3E9F76973}">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s>
</ds:datastoreItem>
</file>

<file path=customXml/itemProps4.xml><?xml version="1.0" encoding="utf-8"?>
<ds:datastoreItem xmlns:ds="http://schemas.openxmlformats.org/officeDocument/2006/customXml" ds:itemID="{3382E84A-0B4F-456F-BC8E-85079B8B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2507</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Jakutytė</dc:creator>
  <cp:keywords/>
  <dc:description/>
  <cp:lastModifiedBy>Daiva Žvirblytė</cp:lastModifiedBy>
  <cp:revision>2</cp:revision>
  <cp:lastPrinted>2026-04-30T05:19:00Z</cp:lastPrinted>
  <dcterms:created xsi:type="dcterms:W3CDTF">2026-04-30T05:19:00Z</dcterms:created>
  <dcterms:modified xsi:type="dcterms:W3CDTF">2026-04-30T05:19:00Z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