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198D5220" w:rsidR="00F12BFE" w:rsidRPr="00730C28" w:rsidRDefault="00F12BFE">
      <w:pPr>
        <w:jc w:val="center"/>
        <w:rPr>
          <w:b/>
        </w:rPr>
      </w:pPr>
      <w:r w:rsidRPr="00730C28">
        <w:rPr>
          <w:rFonts w:eastAsia="Calibri"/>
          <w:b/>
        </w:rPr>
        <w:t>MAŽOS VERTĖS SKELBIAMOS APKLAUSOS PIRKIMO SĄLYGOS,</w:t>
      </w:r>
    </w:p>
    <w:p w14:paraId="3B1DEAD3" w14:textId="75F8B0D1" w:rsidR="009F7E9A" w:rsidRPr="008D5407" w:rsidRDefault="00F12BFE" w:rsidP="001B2B8B">
      <w:pPr>
        <w:pStyle w:val="BodyTextIndent"/>
        <w:jc w:val="center"/>
        <w:rPr>
          <w:b/>
          <w:bCs/>
          <w:caps/>
          <w:lang w:eastAsia="en-US"/>
        </w:rPr>
      </w:pPr>
      <w:r w:rsidRPr="00730C28">
        <w:rPr>
          <w:rFonts w:eastAsia="Calibri"/>
          <w:b/>
        </w:rPr>
        <w:t xml:space="preserve">VYKDANT </w:t>
      </w:r>
      <w:r w:rsidR="009F7E9A" w:rsidRPr="00730C28">
        <w:rPr>
          <w:rFonts w:eastAsia="Calibri"/>
          <w:b/>
        </w:rPr>
        <w:t xml:space="preserve">KARINIŲ ORO PAJĖGŲ ORO ERDVĖS STEBĖJIMO IR KONTROLĖS VALDYBOS </w:t>
      </w:r>
      <w:r w:rsidR="00E92764">
        <w:rPr>
          <w:rFonts w:eastAsia="Calibri"/>
          <w:b/>
        </w:rPr>
        <w:t>V</w:t>
      </w:r>
      <w:r w:rsidR="00A52DD6" w:rsidRPr="00A52DD6">
        <w:rPr>
          <w:b/>
          <w:lang w:eastAsia="en-US"/>
        </w:rPr>
        <w:t xml:space="preserve">I RADIOLOKACINIO POSTO </w:t>
      </w:r>
      <w:r w:rsidR="00E92764">
        <w:rPr>
          <w:b/>
          <w:lang w:eastAsia="en-US"/>
        </w:rPr>
        <w:t xml:space="preserve">10 </w:t>
      </w:r>
      <w:proofErr w:type="spellStart"/>
      <w:r w:rsidR="00E92764">
        <w:rPr>
          <w:b/>
          <w:lang w:eastAsia="en-US"/>
        </w:rPr>
        <w:t>kV</w:t>
      </w:r>
      <w:proofErr w:type="spellEnd"/>
      <w:r w:rsidR="00E92764">
        <w:rPr>
          <w:b/>
          <w:lang w:eastAsia="en-US"/>
        </w:rPr>
        <w:t xml:space="preserve"> ELEKTROS ĮRENGINIŲ</w:t>
      </w:r>
      <w:r w:rsidR="00A52DD6" w:rsidRPr="00A52DD6">
        <w:rPr>
          <w:b/>
          <w:lang w:eastAsia="en-US"/>
        </w:rPr>
        <w:t xml:space="preserve"> TECHNINĖS PRIEŽIŪROS</w:t>
      </w:r>
      <w:r w:rsidR="00F267A2">
        <w:rPr>
          <w:rFonts w:eastAsia="Calibri"/>
          <w:b/>
        </w:rPr>
        <w:t xml:space="preserve"> PASLAUGOS</w:t>
      </w:r>
      <w:r w:rsidR="00FA2B8E" w:rsidRPr="00730C28">
        <w:rPr>
          <w:rFonts w:eastAsia="Calibri"/>
          <w:b/>
        </w:rPr>
        <w:t xml:space="preserve"> </w:t>
      </w:r>
      <w:r w:rsidR="009F59E1" w:rsidRPr="00730C28">
        <w:rPr>
          <w:rFonts w:eastAsia="Calibri"/>
          <w:b/>
        </w:rPr>
        <w:t xml:space="preserve">PIRKIMĄ </w:t>
      </w:r>
      <w:r w:rsidR="009F7E9A" w:rsidRPr="00730C28">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1FB7CD91"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w:t>
      </w:r>
      <w:r w:rsidR="00F267A2">
        <w:rPr>
          <w:rFonts w:eastAsia="Arial Unicode MS"/>
          <w:bdr w:val="nil"/>
          <w:lang w:eastAsia="en-US"/>
        </w:rPr>
        <w:t xml:space="preserve"> </w:t>
      </w:r>
      <w:r w:rsidR="009A18AC" w:rsidRPr="008D5407">
        <w:rPr>
          <w:rFonts w:eastAsia="Arial Unicode MS"/>
          <w:bdr w:val="nil"/>
          <w:lang w:eastAsia="en-US"/>
        </w:rPr>
        <w:t>„Techninė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43ED7280"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74E7B1C" w14:textId="1EFF99D1" w:rsidR="00A22E0E" w:rsidRPr="00F552D7" w:rsidRDefault="00F552D7" w:rsidP="00F552D7">
      <w:pPr>
        <w:tabs>
          <w:tab w:val="left" w:pos="567"/>
          <w:tab w:val="left" w:pos="1276"/>
        </w:tabs>
        <w:jc w:val="both"/>
        <w:rPr>
          <w:lang w:val="en-US"/>
        </w:rPr>
      </w:pPr>
      <w:r>
        <w:tab/>
      </w:r>
      <w:r w:rsidR="00A22E0E">
        <w:t>1.9.1.</w:t>
      </w:r>
      <w:r>
        <w:t xml:space="preserve"> </w:t>
      </w:r>
      <w:r w:rsidR="00A22E0E">
        <w:t xml:space="preserve"> </w:t>
      </w:r>
      <w:r w:rsidRPr="005C6C06">
        <w:rPr>
          <w:rStyle w:val="Hyperlink"/>
          <w:color w:val="auto"/>
          <w:u w:val="none"/>
        </w:rPr>
        <w:t xml:space="preserve">Dėl techninės specifikacijos – </w:t>
      </w:r>
      <w:r w:rsidR="002D5FD4">
        <w:rPr>
          <w:rStyle w:val="Hyperlink"/>
          <w:color w:val="auto"/>
          <w:u w:val="none"/>
        </w:rPr>
        <w:t>Vidas Benokraitis</w:t>
      </w:r>
      <w:r w:rsidRPr="005C6C06">
        <w:rPr>
          <w:rStyle w:val="Hyperlink"/>
          <w:color w:val="auto"/>
          <w:u w:val="none"/>
        </w:rPr>
        <w:t xml:space="preserve">, </w:t>
      </w:r>
      <w:r w:rsidR="002D5FD4" w:rsidRPr="002D5FD4">
        <w:t>Energetikas</w:t>
      </w:r>
      <w:r w:rsidRPr="005C6C06">
        <w:rPr>
          <w:rStyle w:val="Hyperlink"/>
          <w:color w:val="auto"/>
          <w:u w:val="none"/>
        </w:rPr>
        <w:t xml:space="preserve">, </w:t>
      </w:r>
      <w:r w:rsidR="002D5FD4" w:rsidRPr="002D5FD4">
        <w:rPr>
          <w:rStyle w:val="Hyperlink"/>
          <w:color w:val="auto"/>
          <w:u w:val="none"/>
        </w:rPr>
        <w:tab/>
        <w:t>+370 37 30 77 95</w:t>
      </w:r>
      <w:r w:rsidRPr="005C6C06">
        <w:rPr>
          <w:rStyle w:val="Hyperlink"/>
          <w:color w:val="auto"/>
          <w:u w:val="none"/>
        </w:rPr>
        <w:t xml:space="preserve">, </w:t>
      </w:r>
      <w:hyperlink r:id="rId8" w:history="1">
        <w:r w:rsidR="002D5FD4" w:rsidRPr="00DB06F3">
          <w:rPr>
            <w:rStyle w:val="Hyperlink"/>
          </w:rPr>
          <w:t>vidas.benokraitis</w:t>
        </w:r>
        <w:r w:rsidR="002D5FD4" w:rsidRPr="00DB06F3">
          <w:rPr>
            <w:rStyle w:val="Hyperlink"/>
            <w:lang w:val="en-US"/>
          </w:rPr>
          <w:t>@mil.</w:t>
        </w:r>
        <w:r w:rsidR="002D5FD4" w:rsidRPr="00DB06F3">
          <w:rPr>
            <w:rStyle w:val="Hyperlink"/>
          </w:rPr>
          <w:t>lt</w:t>
        </w:r>
      </w:hyperlink>
      <w:r>
        <w:rPr>
          <w:rStyle w:val="Hyperlink"/>
          <w:color w:val="auto"/>
          <w:u w:val="none"/>
        </w:rPr>
        <w:t xml:space="preserve"> </w:t>
      </w:r>
    </w:p>
    <w:p w14:paraId="399E3CF8" w14:textId="5178733D" w:rsidR="00F12BFE" w:rsidRPr="008D5407" w:rsidRDefault="00AF1B68" w:rsidP="00A72FFB">
      <w:pPr>
        <w:tabs>
          <w:tab w:val="left" w:pos="709"/>
          <w:tab w:val="left" w:pos="993"/>
          <w:tab w:val="left" w:pos="1276"/>
        </w:tabs>
        <w:ind w:firstLine="567"/>
        <w:jc w:val="both"/>
      </w:pPr>
      <w:r w:rsidRPr="008D5407">
        <w:t>1.9</w:t>
      </w:r>
      <w:r w:rsidR="00B13E09">
        <w:t>.</w:t>
      </w:r>
      <w:r w:rsidR="00A22E0E">
        <w:t>2</w:t>
      </w:r>
      <w:r w:rsidR="00B13E09">
        <w:t>.</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4DBFF0A" w14:textId="11F291CD" w:rsidR="00734FDB" w:rsidRDefault="00F12BFE" w:rsidP="00E82239">
      <w:pPr>
        <w:ind w:firstLine="567"/>
        <w:jc w:val="both"/>
      </w:pPr>
      <w:r w:rsidRPr="008D5407">
        <w:t>2.1.</w:t>
      </w:r>
      <w:r w:rsidR="00813479" w:rsidRPr="008D5407">
        <w:t xml:space="preserve"> Pirkimo objektas –</w:t>
      </w:r>
      <w:r w:rsidR="006D79D8" w:rsidRPr="008D5407">
        <w:t xml:space="preserve"> </w:t>
      </w:r>
      <w:r w:rsidR="003E789E">
        <w:rPr>
          <w:lang w:eastAsia="en-US"/>
        </w:rPr>
        <w:t xml:space="preserve"> </w:t>
      </w:r>
      <w:r w:rsidR="002D5FD4">
        <w:rPr>
          <w:lang w:eastAsia="en-US"/>
        </w:rPr>
        <w:t>VI</w:t>
      </w:r>
      <w:r w:rsidR="002D5FD4" w:rsidRPr="002D5FD4">
        <w:rPr>
          <w:lang w:eastAsia="en-US"/>
        </w:rPr>
        <w:t xml:space="preserve"> </w:t>
      </w:r>
      <w:r w:rsidR="002D5FD4">
        <w:rPr>
          <w:lang w:eastAsia="en-US"/>
        </w:rPr>
        <w:t>R</w:t>
      </w:r>
      <w:r w:rsidR="002D5FD4" w:rsidRPr="002D5FD4">
        <w:rPr>
          <w:lang w:eastAsia="en-US"/>
        </w:rPr>
        <w:t xml:space="preserve">adiolokacinio posto 10 </w:t>
      </w:r>
      <w:proofErr w:type="spellStart"/>
      <w:r w:rsidR="002D5FD4" w:rsidRPr="002D5FD4">
        <w:rPr>
          <w:lang w:eastAsia="en-US"/>
        </w:rPr>
        <w:t>k</w:t>
      </w:r>
      <w:r w:rsidR="002D5FD4">
        <w:rPr>
          <w:lang w:eastAsia="en-US"/>
        </w:rPr>
        <w:t>V</w:t>
      </w:r>
      <w:proofErr w:type="spellEnd"/>
      <w:r w:rsidR="002D5FD4" w:rsidRPr="002D5FD4">
        <w:rPr>
          <w:lang w:eastAsia="en-US"/>
        </w:rPr>
        <w:t xml:space="preserve"> įtampos elektros įrenginių </w:t>
      </w:r>
      <w:r w:rsidR="003E789E" w:rsidRPr="003E789E">
        <w:rPr>
          <w:lang w:eastAsia="en-US"/>
        </w:rPr>
        <w:t>techninės priežiūros</w:t>
      </w:r>
      <w:r w:rsidR="00E82239">
        <w:t xml:space="preserve"> </w:t>
      </w:r>
      <w:r w:rsidR="00E82239" w:rsidRPr="00E82239">
        <w:t xml:space="preserve"> </w:t>
      </w:r>
      <w:r w:rsidR="003E789E">
        <w:t>paslauga.</w:t>
      </w:r>
    </w:p>
    <w:p w14:paraId="2AE3BDF1" w14:textId="77777777" w:rsidR="002D5FD4" w:rsidRDefault="00734FDB" w:rsidP="00E82239">
      <w:pPr>
        <w:ind w:firstLine="567"/>
        <w:jc w:val="both"/>
      </w:pPr>
      <w:r>
        <w:t xml:space="preserve">2.2. Paslaugų teikimo vieta - </w:t>
      </w:r>
      <w:r w:rsidR="003E789E">
        <w:t xml:space="preserve"> </w:t>
      </w:r>
      <w:r w:rsidR="002D5FD4" w:rsidRPr="002D5FD4">
        <w:t>Bambinių k. 5, Gražiškių sen., Vilkaviškio r. sav.</w:t>
      </w:r>
    </w:p>
    <w:p w14:paraId="3B7CAF31" w14:textId="31FBFB48" w:rsidR="005414C7" w:rsidRPr="00E82239" w:rsidRDefault="005414C7" w:rsidP="00E82239">
      <w:pPr>
        <w:ind w:firstLine="567"/>
        <w:jc w:val="both"/>
        <w:rPr>
          <w:lang w:eastAsia="lt-LT"/>
        </w:rPr>
      </w:pPr>
      <w:r w:rsidRPr="008D5407">
        <w:rPr>
          <w:lang w:eastAsia="lt-LT"/>
        </w:rPr>
        <w:t xml:space="preserve">2.2. </w:t>
      </w:r>
      <w:r w:rsidRPr="00E82239">
        <w:rPr>
          <w:lang w:eastAsia="lt-LT"/>
        </w:rPr>
        <w:t xml:space="preserve">Perkamų </w:t>
      </w:r>
      <w:r w:rsidR="00E82239" w:rsidRPr="00E82239">
        <w:rPr>
          <w:lang w:eastAsia="lt-LT"/>
        </w:rPr>
        <w:t>Paslaugų</w:t>
      </w:r>
      <w:r w:rsidRPr="00E82239">
        <w:rPr>
          <w:lang w:eastAsia="lt-LT"/>
        </w:rPr>
        <w:t xml:space="preserve"> savybės nustatytos Pirkimo sąlygų 2 priede </w:t>
      </w:r>
      <w:r w:rsidRPr="00E82239">
        <w:rPr>
          <w:iCs/>
          <w:lang w:eastAsia="lt-LT"/>
        </w:rPr>
        <w:t>„Techninė specifikacija“</w:t>
      </w:r>
      <w:r w:rsidR="003E789E">
        <w:rPr>
          <w:iCs/>
          <w:lang w:eastAsia="lt-LT"/>
        </w:rPr>
        <w:t xml:space="preserve">. </w:t>
      </w:r>
    </w:p>
    <w:p w14:paraId="7252B28B" w14:textId="081DAD8D" w:rsidR="005414C7" w:rsidRDefault="005414C7" w:rsidP="008B563C">
      <w:pPr>
        <w:suppressAutoHyphens w:val="0"/>
        <w:autoSpaceDE w:val="0"/>
        <w:autoSpaceDN w:val="0"/>
        <w:adjustRightInd w:val="0"/>
        <w:ind w:firstLine="567"/>
        <w:jc w:val="both"/>
        <w:rPr>
          <w:lang w:eastAsia="lt-LT"/>
        </w:rPr>
      </w:pPr>
      <w:r w:rsidRPr="008D5407">
        <w:rPr>
          <w:lang w:eastAsia="lt-LT"/>
        </w:rPr>
        <w:t>2.</w:t>
      </w:r>
      <w:r w:rsidR="006C32BB">
        <w:rPr>
          <w:lang w:eastAsia="lt-LT"/>
        </w:rPr>
        <w:t>3</w:t>
      </w:r>
      <w:r w:rsidRPr="008D5407">
        <w:rPr>
          <w:lang w:eastAsia="lt-LT"/>
        </w:rPr>
        <w:t>. Pirkimas į pirkimo objek</w:t>
      </w:r>
      <w:r w:rsidR="003E789E">
        <w:rPr>
          <w:lang w:eastAsia="lt-LT"/>
        </w:rPr>
        <w:t xml:space="preserve">to dalis neskaidomas. </w:t>
      </w:r>
    </w:p>
    <w:p w14:paraId="11723ED1" w14:textId="041D7259" w:rsidR="002D5FD4" w:rsidRPr="002D5FD4" w:rsidRDefault="002D5FD4" w:rsidP="002D5FD4">
      <w:pPr>
        <w:suppressAutoHyphens w:val="0"/>
        <w:autoSpaceDE w:val="0"/>
        <w:autoSpaceDN w:val="0"/>
        <w:adjustRightInd w:val="0"/>
        <w:ind w:firstLine="567"/>
        <w:jc w:val="both"/>
        <w:rPr>
          <w:b/>
          <w:bCs/>
          <w:lang w:eastAsia="lt-LT"/>
        </w:rPr>
      </w:pPr>
      <w:r w:rsidRPr="002D5FD4">
        <w:rPr>
          <w:b/>
          <w:bCs/>
          <w:lang w:eastAsia="lt-LT"/>
        </w:rPr>
        <w:t xml:space="preserve">2.4. Numatoma sudaryti sutarties vertė 12 000,00 Eur. </w:t>
      </w:r>
    </w:p>
    <w:p w14:paraId="3AD2739E" w14:textId="77777777" w:rsidR="00A52DD6" w:rsidRDefault="00A52DD6" w:rsidP="00A52DD6">
      <w:pPr>
        <w:suppressAutoHyphens w:val="0"/>
        <w:autoSpaceDE w:val="0"/>
        <w:autoSpaceDN w:val="0"/>
        <w:adjustRightInd w:val="0"/>
        <w:ind w:firstLine="567"/>
        <w:jc w:val="both"/>
        <w:rPr>
          <w:lang w:eastAsia="lt-LT"/>
        </w:rPr>
      </w:pPr>
    </w:p>
    <w:p w14:paraId="66A24534" w14:textId="62E65EDF" w:rsidR="001E593A" w:rsidRPr="008D5407" w:rsidRDefault="001E593A" w:rsidP="00A52DD6">
      <w:pPr>
        <w:suppressAutoHyphens w:val="0"/>
        <w:autoSpaceDE w:val="0"/>
        <w:autoSpaceDN w:val="0"/>
        <w:adjustRightInd w:val="0"/>
        <w:ind w:firstLine="567"/>
        <w:jc w:val="both"/>
        <w:rPr>
          <w:lang w:eastAsia="lt-LT"/>
        </w:rPr>
      </w:pPr>
      <w:r w:rsidRPr="008D5407">
        <w:rPr>
          <w:lang w:eastAsia="lt-LT"/>
        </w:rPr>
        <w:t xml:space="preserve"> </w:t>
      </w:r>
    </w:p>
    <w:p w14:paraId="7636C3DD" w14:textId="77777777" w:rsidR="00BA38C9" w:rsidRPr="008D5407" w:rsidRDefault="00BA38C9" w:rsidP="00BA38C9">
      <w:pPr>
        <w:ind w:firstLine="567"/>
        <w:jc w:val="both"/>
        <w:rPr>
          <w:lang w:eastAsia="lt-LT"/>
        </w:rPr>
      </w:pPr>
    </w:p>
    <w:p w14:paraId="50F3B147" w14:textId="77777777" w:rsidR="006C32BB" w:rsidRDefault="006C32BB" w:rsidP="00762B30">
      <w:pPr>
        <w:ind w:firstLine="567"/>
        <w:jc w:val="center"/>
        <w:rPr>
          <w:b/>
        </w:rPr>
      </w:pPr>
    </w:p>
    <w:p w14:paraId="79B6DE12" w14:textId="77777777" w:rsidR="006C32BB" w:rsidRDefault="006C32BB" w:rsidP="00762B30">
      <w:pPr>
        <w:ind w:firstLine="567"/>
        <w:jc w:val="center"/>
        <w:rPr>
          <w:b/>
        </w:rPr>
      </w:pPr>
    </w:p>
    <w:p w14:paraId="35E3295E" w14:textId="77777777" w:rsidR="006C32BB" w:rsidRDefault="006C32BB" w:rsidP="006C32BB">
      <w:pPr>
        <w:rPr>
          <w:b/>
        </w:rPr>
      </w:pPr>
    </w:p>
    <w:p w14:paraId="0C3E804E" w14:textId="77777777" w:rsidR="006C32BB" w:rsidRDefault="006C32BB" w:rsidP="006C32BB">
      <w:pPr>
        <w:rPr>
          <w:b/>
        </w:rPr>
      </w:pPr>
    </w:p>
    <w:p w14:paraId="06FB648A" w14:textId="4991E264" w:rsidR="00F12BFE" w:rsidRPr="00F552D7" w:rsidRDefault="00AF1B68" w:rsidP="00945E72">
      <w:pPr>
        <w:suppressAutoHyphens w:val="0"/>
        <w:jc w:val="center"/>
        <w:rPr>
          <w:b/>
        </w:rP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7B80DDDB" w14:textId="77777777" w:rsidR="003E789E" w:rsidRPr="00026B8C" w:rsidRDefault="003E789E" w:rsidP="003E789E">
      <w:pPr>
        <w:ind w:firstLine="567"/>
        <w:jc w:val="both"/>
      </w:pPr>
      <w:r w:rsidRPr="00026B8C">
        <w:rPr>
          <w:iCs/>
          <w:lang w:eastAsia="lt-LT"/>
        </w:rPr>
        <w:t xml:space="preserve">3.1. </w:t>
      </w:r>
      <w:r w:rsidRPr="00026B8C">
        <w:rPr>
          <w:lang w:eastAsia="lt-LT"/>
        </w:rPr>
        <w:t>Tiekėjas, pageidaujantis dalyvauti pirkime, turi atitikti šiuos minimalius kvalifikacijos reikalavimus:</w:t>
      </w:r>
    </w:p>
    <w:p w14:paraId="19CC1EE2" w14:textId="77777777" w:rsidR="003E789E" w:rsidRPr="00026B8C" w:rsidRDefault="003E789E" w:rsidP="003E789E">
      <w:pPr>
        <w:ind w:right="-149" w:firstLine="720"/>
        <w:jc w:val="both"/>
      </w:pPr>
      <w:r w:rsidRPr="00026B8C">
        <w:rPr>
          <w:b/>
        </w:rPr>
        <w:t>1 lentelė. Bendrieji reikalavimai tiekėjų kvalifikacijai</w:t>
      </w:r>
    </w:p>
    <w:tbl>
      <w:tblPr>
        <w:tblW w:w="9810" w:type="dxa"/>
        <w:tblInd w:w="-176" w:type="dxa"/>
        <w:tblLayout w:type="fixed"/>
        <w:tblLook w:val="0000" w:firstRow="0" w:lastRow="0" w:firstColumn="0" w:lastColumn="0" w:noHBand="0" w:noVBand="0"/>
      </w:tblPr>
      <w:tblGrid>
        <w:gridCol w:w="568"/>
        <w:gridCol w:w="4111"/>
        <w:gridCol w:w="5131"/>
      </w:tblGrid>
      <w:tr w:rsidR="003E789E" w:rsidRPr="00026B8C" w14:paraId="71BBFE1F" w14:textId="77777777" w:rsidTr="008C0026">
        <w:tc>
          <w:tcPr>
            <w:tcW w:w="568" w:type="dxa"/>
            <w:tcBorders>
              <w:top w:val="single" w:sz="4" w:space="0" w:color="000000"/>
              <w:left w:val="single" w:sz="4" w:space="0" w:color="000000"/>
              <w:bottom w:val="single" w:sz="4" w:space="0" w:color="000000"/>
            </w:tcBorders>
            <w:shd w:val="clear" w:color="auto" w:fill="auto"/>
          </w:tcPr>
          <w:p w14:paraId="46C9958C" w14:textId="77777777" w:rsidR="003E789E" w:rsidRPr="00026B8C" w:rsidRDefault="003E789E" w:rsidP="008C0026">
            <w:pPr>
              <w:pStyle w:val="Point1"/>
              <w:spacing w:before="0" w:after="0"/>
              <w:ind w:left="-288" w:right="-81" w:firstLine="0"/>
              <w:jc w:val="center"/>
              <w:rPr>
                <w:szCs w:val="24"/>
              </w:rPr>
            </w:pPr>
            <w:r w:rsidRPr="00026B8C">
              <w:rPr>
                <w:szCs w:val="24"/>
              </w:rPr>
              <w:t>Eil.</w:t>
            </w:r>
          </w:p>
          <w:p w14:paraId="3E7B06B5" w14:textId="77777777" w:rsidR="003E789E" w:rsidRPr="00026B8C" w:rsidRDefault="003E789E" w:rsidP="008C0026">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10BD2858" w14:textId="77777777" w:rsidR="003E789E" w:rsidRPr="00026B8C" w:rsidRDefault="003E789E" w:rsidP="008C0026">
            <w:pPr>
              <w:pStyle w:val="Point1"/>
              <w:spacing w:before="0" w:after="0"/>
              <w:ind w:left="0" w:firstLine="0"/>
              <w:jc w:val="center"/>
              <w:rPr>
                <w:szCs w:val="24"/>
              </w:rPr>
            </w:pPr>
            <w:r w:rsidRPr="00026B8C">
              <w:rPr>
                <w:szCs w:val="24"/>
              </w:rPr>
              <w:t>Kvalifikaciniai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43C18299" w14:textId="77777777" w:rsidR="003E789E" w:rsidRPr="00026B8C" w:rsidRDefault="003E789E" w:rsidP="008C0026">
            <w:pPr>
              <w:pStyle w:val="Point1"/>
              <w:spacing w:before="0" w:after="0"/>
              <w:ind w:left="0" w:firstLine="0"/>
              <w:jc w:val="center"/>
              <w:rPr>
                <w:szCs w:val="24"/>
              </w:rPr>
            </w:pPr>
            <w:r w:rsidRPr="00026B8C">
              <w:rPr>
                <w:szCs w:val="24"/>
              </w:rPr>
              <w:t>Kvalifikacinius reikalavimus įrodantys dokumentai</w:t>
            </w:r>
          </w:p>
        </w:tc>
      </w:tr>
      <w:tr w:rsidR="003E789E" w:rsidRPr="00026B8C" w14:paraId="31E1B683" w14:textId="77777777" w:rsidTr="008C0026">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410E398" w14:textId="77777777" w:rsidR="003E789E" w:rsidRPr="00026B8C" w:rsidRDefault="003E789E" w:rsidP="008C0026">
            <w:pPr>
              <w:pStyle w:val="Point1"/>
              <w:spacing w:before="0" w:after="0"/>
              <w:ind w:left="-361" w:right="-261" w:firstLine="346"/>
              <w:rPr>
                <w:szCs w:val="24"/>
              </w:rPr>
            </w:pPr>
            <w:r w:rsidRPr="00026B8C">
              <w:rPr>
                <w:szCs w:val="24"/>
              </w:rPr>
              <w:t>1.</w:t>
            </w:r>
          </w:p>
        </w:tc>
        <w:tc>
          <w:tcPr>
            <w:tcW w:w="4111" w:type="dxa"/>
            <w:tcBorders>
              <w:top w:val="single" w:sz="4" w:space="0" w:color="000000"/>
              <w:left w:val="single" w:sz="4" w:space="0" w:color="000000"/>
              <w:bottom w:val="single" w:sz="4" w:space="0" w:color="000000"/>
            </w:tcBorders>
            <w:shd w:val="clear" w:color="auto" w:fill="auto"/>
            <w:vAlign w:val="center"/>
          </w:tcPr>
          <w:p w14:paraId="26F833A2" w14:textId="2F3D76AF" w:rsidR="003E789E" w:rsidRPr="00026B8C" w:rsidRDefault="003E789E" w:rsidP="008C0026">
            <w:pPr>
              <w:ind w:firstLine="34"/>
              <w:jc w:val="both"/>
            </w:pPr>
            <w:r w:rsidRPr="00E23007">
              <w:t xml:space="preserve">Teikėjas turi turėti galiojančius dokumentus, leidžiančius teikėjui teikti sutartyje numatytas paslaugas (t. y. </w:t>
            </w:r>
            <w:r w:rsidR="002D5FD4" w:rsidRPr="002D5FD4">
              <w:rPr>
                <w:lang w:eastAsia="en-US"/>
              </w:rPr>
              <w:t xml:space="preserve">Valstybinės energetikos reguliavimo tarybos (VERT) (arba anksčiau išduotą Valstybinės energetikos inspekcijos) atestatą, suteikiantį teisę eksploatuoti elektros tinklus ir įrenginius (iki 10 </w:t>
            </w:r>
            <w:proofErr w:type="spellStart"/>
            <w:r w:rsidR="002D5FD4" w:rsidRPr="002D5FD4">
              <w:rPr>
                <w:lang w:eastAsia="en-US"/>
              </w:rPr>
              <w:t>kV</w:t>
            </w:r>
            <w:proofErr w:type="spellEnd"/>
            <w:r w:rsidR="002D5FD4" w:rsidRPr="002D5FD4">
              <w:rPr>
                <w:lang w:eastAsia="en-US"/>
              </w:rPr>
              <w:t xml:space="preserve"> įtampos).</w:t>
            </w:r>
            <w:r w:rsidRPr="00E23007">
              <w:t>ir t.t.).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AE19988" w14:textId="7BB86893" w:rsidR="003E789E" w:rsidRPr="003E789E" w:rsidRDefault="003E789E" w:rsidP="008C0026">
            <w:pPr>
              <w:jc w:val="both"/>
              <w:rPr>
                <w:b/>
              </w:rPr>
            </w:pPr>
            <w:r w:rsidRPr="003E789E">
              <w:rPr>
                <w:b/>
              </w:rPr>
              <w:t>Perkančioji organizacija prašo tiekėjų iš karto kartu su Pasiūlymu pateikti visus reikalingus dokumentus.</w:t>
            </w:r>
          </w:p>
          <w:p w14:paraId="5BCBBB6A" w14:textId="77777777" w:rsidR="003E789E" w:rsidRPr="00264805" w:rsidRDefault="003E789E" w:rsidP="008C0026">
            <w:pPr>
              <w:jc w:val="both"/>
              <w:rPr>
                <w:u w:val="single"/>
              </w:rPr>
            </w:pPr>
            <w:r w:rsidRPr="003E789E">
              <w:rPr>
                <w:b/>
                <w:color w:val="FF0000"/>
              </w:rPr>
              <w:t xml:space="preserve"> </w:t>
            </w:r>
            <w:r w:rsidRPr="00264805">
              <w:rPr>
                <w:b/>
                <w:u w:val="single"/>
              </w:rPr>
              <w:t>CVP IS priemonėmis pateikiama skaitmeninė dokumento kopija.</w:t>
            </w:r>
          </w:p>
        </w:tc>
      </w:tr>
    </w:tbl>
    <w:p w14:paraId="3B2393BC" w14:textId="77777777" w:rsidR="003E789E" w:rsidRPr="0015142E" w:rsidRDefault="003E789E" w:rsidP="003E789E">
      <w:pPr>
        <w:ind w:left="567"/>
        <w:jc w:val="both"/>
      </w:pPr>
      <w:r w:rsidRPr="00026B8C">
        <w:t>3.2. Tiekėjo, neatitinkančio 1 lentelėje nurodytų reikalavimų, pasiūlymas atmetamas.</w:t>
      </w:r>
    </w:p>
    <w:p w14:paraId="4DC08F0D" w14:textId="4FC815B5"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jpg,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 xml:space="preserve">subjektų </w:t>
      </w:r>
      <w:r w:rsidRPr="008D5407">
        <w:rPr>
          <w:color w:val="000000"/>
          <w:lang w:eastAsia="lt-LT"/>
        </w:rPr>
        <w:lastRenderedPageBreak/>
        <w:t>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įrodymus,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2C4C9B6E" w:rsidR="00242DFF"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11F3966B" w14:textId="07D6508D" w:rsidR="00264805" w:rsidRPr="00264805" w:rsidRDefault="00264805" w:rsidP="00876AD6">
      <w:pPr>
        <w:suppressAutoHyphens w:val="0"/>
        <w:autoSpaceDE w:val="0"/>
        <w:autoSpaceDN w:val="0"/>
        <w:adjustRightInd w:val="0"/>
        <w:ind w:firstLine="567"/>
        <w:jc w:val="both"/>
        <w:rPr>
          <w:iCs/>
          <w:lang w:eastAsia="lt-LT"/>
        </w:rPr>
      </w:pPr>
      <w:r>
        <w:rPr>
          <w:iCs/>
          <w:lang w:eastAsia="lt-LT"/>
        </w:rPr>
        <w:t xml:space="preserve">5.1.2. </w:t>
      </w:r>
      <w:r w:rsidR="00FB45DA" w:rsidRPr="00FB45DA">
        <w:rPr>
          <w:iCs/>
          <w:lang w:eastAsia="lt-LT"/>
        </w:rPr>
        <w:t xml:space="preserve">minimalius kvalifikacijos reikalavimus </w:t>
      </w:r>
      <w:r w:rsidRPr="00264805">
        <w:rPr>
          <w:iCs/>
          <w:lang w:eastAsia="lt-LT"/>
        </w:rPr>
        <w:t>įrodantys dokumentai</w:t>
      </w:r>
      <w:r>
        <w:rPr>
          <w:iCs/>
          <w:lang w:eastAsia="lt-LT"/>
        </w:rPr>
        <w:t>;</w:t>
      </w:r>
    </w:p>
    <w:p w14:paraId="41CD7CD9" w14:textId="4598727A" w:rsidR="00242DFF" w:rsidRPr="008D5407" w:rsidRDefault="00264805" w:rsidP="00876AD6">
      <w:pPr>
        <w:suppressAutoHyphens w:val="0"/>
        <w:autoSpaceDE w:val="0"/>
        <w:autoSpaceDN w:val="0"/>
        <w:adjustRightInd w:val="0"/>
        <w:ind w:firstLine="567"/>
        <w:jc w:val="both"/>
        <w:rPr>
          <w:lang w:eastAsia="lt-LT"/>
        </w:rPr>
      </w:pPr>
      <w:r>
        <w:rPr>
          <w:lang w:eastAsia="lt-LT"/>
        </w:rPr>
        <w:t>5.1.3</w:t>
      </w:r>
      <w:r w:rsidR="00242DFF" w:rsidRPr="008D5407">
        <w:rPr>
          <w:lang w:eastAsia="lt-LT"/>
        </w:rPr>
        <w:t>. įgaliojimas (jei pasiūlymą pasirašo ne įmonės (įstaigos) vadovas);</w:t>
      </w:r>
    </w:p>
    <w:p w14:paraId="170B3618" w14:textId="7BC42AE6" w:rsidR="00242DFF" w:rsidRPr="008D5407" w:rsidRDefault="00264805" w:rsidP="00876AD6">
      <w:pPr>
        <w:suppressAutoHyphens w:val="0"/>
        <w:autoSpaceDE w:val="0"/>
        <w:autoSpaceDN w:val="0"/>
        <w:adjustRightInd w:val="0"/>
        <w:ind w:firstLine="567"/>
        <w:jc w:val="both"/>
        <w:rPr>
          <w:lang w:eastAsia="lt-LT"/>
        </w:rPr>
      </w:pPr>
      <w:r>
        <w:rPr>
          <w:lang w:eastAsia="lt-LT"/>
        </w:rPr>
        <w:t>5.1.4</w:t>
      </w:r>
      <w:r w:rsidR="00242DFF" w:rsidRPr="008D5407">
        <w:rPr>
          <w:lang w:eastAsia="lt-LT"/>
        </w:rPr>
        <w:t>. jungtinės visų jungtinės veiklos partnerių pasirašyta jungtinės veiklos sutartis (jei pasiūlymą teikia ūkio subjektų grupė);</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7.5. Jei perkančioji organizacija paaiškinimų ar patikslinimų nepateikia per nurodytą terminą, pasiūlymų pateikimo terminas nukeliamas ne trumpesniam laikui nei tas, kiek vėluojama pateikti paaiškinimus ar patikslinimus.</w:t>
      </w:r>
    </w:p>
    <w:p w14:paraId="456A6311" w14:textId="77777777" w:rsidR="00BE12F2" w:rsidRPr="008D5407" w:rsidRDefault="00BE12F2" w:rsidP="00BE12F2">
      <w:pPr>
        <w:ind w:firstLine="567"/>
        <w:jc w:val="both"/>
        <w:rPr>
          <w:i/>
          <w:iCs/>
        </w:rPr>
      </w:pPr>
    </w:p>
    <w:p w14:paraId="0CF1A774" w14:textId="77777777" w:rsidR="00E82239" w:rsidRDefault="00E82239" w:rsidP="00A31FA8">
      <w:pPr>
        <w:jc w:val="center"/>
        <w:rPr>
          <w:b/>
        </w:rPr>
      </w:pPr>
    </w:p>
    <w:p w14:paraId="3732D347" w14:textId="007B156D"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2D411FF0"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xml:space="preserve">. Pranešime tiekėjams apie pasiūlymų eilę nurodomi </w:t>
      </w:r>
      <w:r w:rsidRPr="008D5407">
        <w:rPr>
          <w:rFonts w:eastAsia="Yu Mincho"/>
          <w:lang w:eastAsia="lt-LT"/>
        </w:rPr>
        <w:lastRenderedPageBreak/>
        <w:t>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E6632C0" w14:textId="424A1710" w:rsidR="002070F0" w:rsidRDefault="002070F0" w:rsidP="00D27696">
      <w:pPr>
        <w:pBdr>
          <w:top w:val="nil"/>
          <w:left w:val="nil"/>
          <w:bottom w:val="nil"/>
          <w:right w:val="nil"/>
          <w:between w:val="nil"/>
          <w:bar w:val="nil"/>
        </w:pBdr>
        <w:suppressAutoHyphens w:val="0"/>
        <w:ind w:firstLine="482"/>
        <w:jc w:val="both"/>
        <w:outlineLvl w:val="0"/>
        <w:rPr>
          <w:noProof/>
          <w:lang w:eastAsia="lt-LT"/>
        </w:rPr>
      </w:pPr>
      <w:r>
        <w:rPr>
          <w:lang w:eastAsia="lt-LT"/>
        </w:rPr>
        <w:t xml:space="preserve">9.1.3. </w:t>
      </w:r>
      <w:r w:rsidRPr="008D5407">
        <w:rPr>
          <w:lang w:eastAsia="lt-LT"/>
        </w:rPr>
        <w:t>pasiūlymą pateikęs tiekėjas neatitinka pirkimo sąlygų 3.1</w:t>
      </w:r>
      <w:r>
        <w:rPr>
          <w:lang w:eastAsia="lt-LT"/>
        </w:rPr>
        <w:t>.</w:t>
      </w:r>
      <w:r w:rsidR="00264805">
        <w:rPr>
          <w:lang w:eastAsia="lt-LT"/>
        </w:rPr>
        <w:t xml:space="preserve"> punkte</w:t>
      </w:r>
      <w:r w:rsidRPr="008D5407">
        <w:rPr>
          <w:lang w:eastAsia="lt-LT"/>
        </w:rPr>
        <w:t xml:space="preserve"> nustatytų reikalavimų;</w:t>
      </w:r>
    </w:p>
    <w:p w14:paraId="295D91EC" w14:textId="4A36554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98E4729"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51D67D2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29172808"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2070F0">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7102896"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7D4EC96"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070F0">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w:t>
      </w:r>
      <w:r w:rsidR="00D27696" w:rsidRPr="008D5407">
        <w:rPr>
          <w:lang w:eastAsia="lt-LT"/>
        </w:rPr>
        <w:lastRenderedPageBreak/>
        <w:t>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F131350" w:rsidR="007D30AA" w:rsidRPr="008D5407" w:rsidRDefault="007D30AA" w:rsidP="00464563">
      <w:pPr>
        <w:ind w:firstLine="426"/>
        <w:jc w:val="both"/>
      </w:pPr>
      <w:r w:rsidRPr="008D5407">
        <w:t>1</w:t>
      </w:r>
      <w:r w:rsidR="000446AE" w:rsidRPr="008D5407">
        <w:t>1</w:t>
      </w:r>
      <w:r w:rsidRPr="008D5407">
        <w:t xml:space="preserve">.4. Sutartis bus sudaroma </w:t>
      </w:r>
      <w:r w:rsidR="00E82239">
        <w:rPr>
          <w:b/>
        </w:rPr>
        <w:t xml:space="preserve">36 mėn. </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6C32BB" w:rsidRDefault="00464563" w:rsidP="00464563">
      <w:pPr>
        <w:ind w:firstLine="426"/>
        <w:jc w:val="both"/>
        <w:rPr>
          <w:lang w:val="en-US"/>
        </w:rPr>
      </w:pPr>
      <w:r w:rsidRPr="008D5407">
        <w:t>12.2. 2 priedas „Techninė specifikacija“;</w:t>
      </w:r>
    </w:p>
    <w:p w14:paraId="190E4D81" w14:textId="240323D6" w:rsidR="00464563" w:rsidRDefault="00464563" w:rsidP="00464563">
      <w:pPr>
        <w:ind w:firstLine="426"/>
        <w:jc w:val="both"/>
      </w:pPr>
      <w:r w:rsidRPr="008D5407">
        <w:t>12.</w:t>
      </w:r>
      <w:r w:rsidR="00264805">
        <w:t>3</w:t>
      </w:r>
      <w:r w:rsidRPr="008D5407">
        <w:t xml:space="preserve">. </w:t>
      </w:r>
      <w:r w:rsidR="00264805">
        <w:t>3</w:t>
      </w:r>
      <w:r w:rsidR="004E0691">
        <w:t xml:space="preserve"> priedas „Sutarties projektas“;</w:t>
      </w:r>
    </w:p>
    <w:p w14:paraId="27828B81" w14:textId="0DE1ED69" w:rsidR="004E0691" w:rsidRPr="008D5407" w:rsidRDefault="004E0691" w:rsidP="00464563">
      <w:pPr>
        <w:ind w:firstLine="426"/>
        <w:jc w:val="both"/>
      </w:pPr>
      <w:r>
        <w:t xml:space="preserve">12.4. </w:t>
      </w:r>
      <w:r w:rsidRPr="004E0691">
        <w:t xml:space="preserve">4 priedas </w:t>
      </w:r>
      <w:r>
        <w:t>„</w:t>
      </w:r>
      <w:r w:rsidRPr="004E0691">
        <w:t>Tiekėjo patekimo į Oro erdvės stebėjimo ir kontrolės valdybą tvarkos aprašas</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945E72">
      <w:headerReference w:type="even" r:id="rId13"/>
      <w:headerReference w:type="default" r:id="rId14"/>
      <w:pgSz w:w="11907" w:h="16840" w:code="9"/>
      <w:pgMar w:top="709"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1BE7" w14:textId="77777777" w:rsidR="004C2357" w:rsidRDefault="004C2357">
      <w:r>
        <w:separator/>
      </w:r>
    </w:p>
  </w:endnote>
  <w:endnote w:type="continuationSeparator" w:id="0">
    <w:p w14:paraId="7856765B" w14:textId="77777777" w:rsidR="004C2357" w:rsidRDefault="004C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9A11" w14:textId="77777777" w:rsidR="004C2357" w:rsidRDefault="004C2357">
      <w:r>
        <w:separator/>
      </w:r>
    </w:p>
  </w:footnote>
  <w:footnote w:type="continuationSeparator" w:id="0">
    <w:p w14:paraId="4818E0A7" w14:textId="77777777" w:rsidR="004C2357" w:rsidRDefault="004C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9578895">
    <w:abstractNumId w:val="1"/>
  </w:num>
  <w:num w:numId="2" w16cid:durableId="1557355113">
    <w:abstractNumId w:val="2"/>
  </w:num>
  <w:num w:numId="3" w16cid:durableId="157041310">
    <w:abstractNumId w:val="3"/>
  </w:num>
  <w:num w:numId="4" w16cid:durableId="978848563">
    <w:abstractNumId w:val="4"/>
  </w:num>
  <w:num w:numId="5" w16cid:durableId="1151292999">
    <w:abstractNumId w:val="5"/>
  </w:num>
  <w:num w:numId="6" w16cid:durableId="37973075">
    <w:abstractNumId w:val="16"/>
  </w:num>
  <w:num w:numId="7" w16cid:durableId="31541552">
    <w:abstractNumId w:val="21"/>
  </w:num>
  <w:num w:numId="8" w16cid:durableId="1160078747">
    <w:abstractNumId w:val="14"/>
  </w:num>
  <w:num w:numId="9" w16cid:durableId="1715423197">
    <w:abstractNumId w:val="0"/>
  </w:num>
  <w:num w:numId="10" w16cid:durableId="438960716">
    <w:abstractNumId w:val="18"/>
  </w:num>
  <w:num w:numId="11" w16cid:durableId="1335304692">
    <w:abstractNumId w:val="10"/>
  </w:num>
  <w:num w:numId="12" w16cid:durableId="1377968492">
    <w:abstractNumId w:val="15"/>
  </w:num>
  <w:num w:numId="13" w16cid:durableId="617374756">
    <w:abstractNumId w:val="17"/>
  </w:num>
  <w:num w:numId="14" w16cid:durableId="1415517035">
    <w:abstractNumId w:val="9"/>
  </w:num>
  <w:num w:numId="15" w16cid:durableId="1661929151">
    <w:abstractNumId w:val="13"/>
  </w:num>
  <w:num w:numId="16" w16cid:durableId="480655368">
    <w:abstractNumId w:val="8"/>
  </w:num>
  <w:num w:numId="17" w16cid:durableId="99647465">
    <w:abstractNumId w:val="12"/>
  </w:num>
  <w:num w:numId="18" w16cid:durableId="1544753455">
    <w:abstractNumId w:val="6"/>
  </w:num>
  <w:num w:numId="19" w16cid:durableId="670719272">
    <w:abstractNumId w:val="19"/>
  </w:num>
  <w:num w:numId="20" w16cid:durableId="1175723601">
    <w:abstractNumId w:val="11"/>
  </w:num>
  <w:num w:numId="21" w16cid:durableId="210728729">
    <w:abstractNumId w:val="20"/>
  </w:num>
  <w:num w:numId="22" w16cid:durableId="1875775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3D71"/>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674FA"/>
    <w:rsid w:val="0017266C"/>
    <w:rsid w:val="001768A8"/>
    <w:rsid w:val="00187DA3"/>
    <w:rsid w:val="0019452E"/>
    <w:rsid w:val="001A6877"/>
    <w:rsid w:val="001B2B8B"/>
    <w:rsid w:val="001B537D"/>
    <w:rsid w:val="001E1B5E"/>
    <w:rsid w:val="001E3C33"/>
    <w:rsid w:val="001E4958"/>
    <w:rsid w:val="001E593A"/>
    <w:rsid w:val="001E7586"/>
    <w:rsid w:val="001F1589"/>
    <w:rsid w:val="002070F0"/>
    <w:rsid w:val="00207CF7"/>
    <w:rsid w:val="002172E3"/>
    <w:rsid w:val="00233EEE"/>
    <w:rsid w:val="00242AF3"/>
    <w:rsid w:val="00242DFF"/>
    <w:rsid w:val="00255464"/>
    <w:rsid w:val="002609C2"/>
    <w:rsid w:val="002615D6"/>
    <w:rsid w:val="00264805"/>
    <w:rsid w:val="0027081A"/>
    <w:rsid w:val="0027090C"/>
    <w:rsid w:val="0027136C"/>
    <w:rsid w:val="00296C7C"/>
    <w:rsid w:val="002A2499"/>
    <w:rsid w:val="002A2CA7"/>
    <w:rsid w:val="002C1EC8"/>
    <w:rsid w:val="002D5EB6"/>
    <w:rsid w:val="002D5FD4"/>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141A"/>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E789E"/>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2357"/>
    <w:rsid w:val="004C34A6"/>
    <w:rsid w:val="004C6A44"/>
    <w:rsid w:val="004D05BF"/>
    <w:rsid w:val="004D7C3A"/>
    <w:rsid w:val="004E0691"/>
    <w:rsid w:val="004E1443"/>
    <w:rsid w:val="004E7575"/>
    <w:rsid w:val="004E7BDE"/>
    <w:rsid w:val="004F0725"/>
    <w:rsid w:val="005005D2"/>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6EFC"/>
    <w:rsid w:val="00677C0F"/>
    <w:rsid w:val="006818CC"/>
    <w:rsid w:val="0068279E"/>
    <w:rsid w:val="006A7ED7"/>
    <w:rsid w:val="006B03BA"/>
    <w:rsid w:val="006B0AA5"/>
    <w:rsid w:val="006B1A59"/>
    <w:rsid w:val="006B2A81"/>
    <w:rsid w:val="006B7313"/>
    <w:rsid w:val="006C32BB"/>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0C28"/>
    <w:rsid w:val="0073448A"/>
    <w:rsid w:val="00734FDB"/>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563C"/>
    <w:rsid w:val="008B65E1"/>
    <w:rsid w:val="008C536E"/>
    <w:rsid w:val="008C53DF"/>
    <w:rsid w:val="008D5407"/>
    <w:rsid w:val="008D6D40"/>
    <w:rsid w:val="00900C24"/>
    <w:rsid w:val="00907E86"/>
    <w:rsid w:val="00910C3C"/>
    <w:rsid w:val="00940C0A"/>
    <w:rsid w:val="009425A8"/>
    <w:rsid w:val="00945E04"/>
    <w:rsid w:val="00945E72"/>
    <w:rsid w:val="00962E57"/>
    <w:rsid w:val="009707B4"/>
    <w:rsid w:val="00974DE9"/>
    <w:rsid w:val="009911B7"/>
    <w:rsid w:val="00993FE7"/>
    <w:rsid w:val="009974D6"/>
    <w:rsid w:val="009A18AC"/>
    <w:rsid w:val="009B0C8B"/>
    <w:rsid w:val="009D1C84"/>
    <w:rsid w:val="009F501F"/>
    <w:rsid w:val="009F59E1"/>
    <w:rsid w:val="009F5CCC"/>
    <w:rsid w:val="009F6E5E"/>
    <w:rsid w:val="009F7E9A"/>
    <w:rsid w:val="00A20911"/>
    <w:rsid w:val="00A22E0E"/>
    <w:rsid w:val="00A26F1F"/>
    <w:rsid w:val="00A31FA8"/>
    <w:rsid w:val="00A430AD"/>
    <w:rsid w:val="00A469FA"/>
    <w:rsid w:val="00A5050A"/>
    <w:rsid w:val="00A52DD6"/>
    <w:rsid w:val="00A560DB"/>
    <w:rsid w:val="00A66F7A"/>
    <w:rsid w:val="00A72FFB"/>
    <w:rsid w:val="00A73A74"/>
    <w:rsid w:val="00A840CB"/>
    <w:rsid w:val="00A8739D"/>
    <w:rsid w:val="00A91063"/>
    <w:rsid w:val="00AA38BF"/>
    <w:rsid w:val="00AB3862"/>
    <w:rsid w:val="00AB4D29"/>
    <w:rsid w:val="00AC0F44"/>
    <w:rsid w:val="00AC61AF"/>
    <w:rsid w:val="00AD14F5"/>
    <w:rsid w:val="00AD1BCA"/>
    <w:rsid w:val="00AD29BE"/>
    <w:rsid w:val="00AD2A93"/>
    <w:rsid w:val="00AD692C"/>
    <w:rsid w:val="00AE260E"/>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0D2A"/>
    <w:rsid w:val="00BE12F2"/>
    <w:rsid w:val="00BE582F"/>
    <w:rsid w:val="00BF0598"/>
    <w:rsid w:val="00BF3D03"/>
    <w:rsid w:val="00C04939"/>
    <w:rsid w:val="00C1188A"/>
    <w:rsid w:val="00C233A7"/>
    <w:rsid w:val="00C23D14"/>
    <w:rsid w:val="00C23EF8"/>
    <w:rsid w:val="00C37773"/>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B14"/>
    <w:rsid w:val="00CD7605"/>
    <w:rsid w:val="00CF0D21"/>
    <w:rsid w:val="00D04F10"/>
    <w:rsid w:val="00D1151D"/>
    <w:rsid w:val="00D11906"/>
    <w:rsid w:val="00D2066A"/>
    <w:rsid w:val="00D21F2B"/>
    <w:rsid w:val="00D27696"/>
    <w:rsid w:val="00D30A73"/>
    <w:rsid w:val="00D344EA"/>
    <w:rsid w:val="00D44BD5"/>
    <w:rsid w:val="00D4754A"/>
    <w:rsid w:val="00D577AA"/>
    <w:rsid w:val="00D6139C"/>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2239"/>
    <w:rsid w:val="00E845F5"/>
    <w:rsid w:val="00E84A93"/>
    <w:rsid w:val="00E90976"/>
    <w:rsid w:val="00E92764"/>
    <w:rsid w:val="00EA1F3B"/>
    <w:rsid w:val="00EB7725"/>
    <w:rsid w:val="00EC0216"/>
    <w:rsid w:val="00EC02A9"/>
    <w:rsid w:val="00ED1434"/>
    <w:rsid w:val="00ED2D21"/>
    <w:rsid w:val="00ED5203"/>
    <w:rsid w:val="00EF32A9"/>
    <w:rsid w:val="00F04F01"/>
    <w:rsid w:val="00F07C44"/>
    <w:rsid w:val="00F12BFE"/>
    <w:rsid w:val="00F247BE"/>
    <w:rsid w:val="00F267A2"/>
    <w:rsid w:val="00F468EA"/>
    <w:rsid w:val="00F552D7"/>
    <w:rsid w:val="00F71886"/>
    <w:rsid w:val="00F73806"/>
    <w:rsid w:val="00F82836"/>
    <w:rsid w:val="00F84D7B"/>
    <w:rsid w:val="00F90EBC"/>
    <w:rsid w:val="00FA2B8E"/>
    <w:rsid w:val="00FA3B76"/>
    <w:rsid w:val="00FB1372"/>
    <w:rsid w:val="00FB45DA"/>
    <w:rsid w:val="00FC0153"/>
    <w:rsid w:val="00FC11E6"/>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2D5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1255">
      <w:bodyDiv w:val="1"/>
      <w:marLeft w:val="0"/>
      <w:marRight w:val="0"/>
      <w:marTop w:val="0"/>
      <w:marBottom w:val="0"/>
      <w:divBdr>
        <w:top w:val="none" w:sz="0" w:space="0" w:color="auto"/>
        <w:left w:val="none" w:sz="0" w:space="0" w:color="auto"/>
        <w:bottom w:val="none" w:sz="0" w:space="0" w:color="auto"/>
        <w:right w:val="none" w:sz="0" w:space="0" w:color="auto"/>
      </w:divBdr>
    </w:div>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benokrait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EB04-C24F-47AB-8163-46555C5A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1994</TotalTime>
  <Pages>1</Pages>
  <Words>3076</Words>
  <Characters>17537</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20572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123</cp:revision>
  <cp:lastPrinted>2012-04-12T08:21:00Z</cp:lastPrinted>
  <dcterms:created xsi:type="dcterms:W3CDTF">2023-10-19T08:05:00Z</dcterms:created>
  <dcterms:modified xsi:type="dcterms:W3CDTF">2026-06-19T10:59:00Z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