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AFF0" w14:textId="77777777" w:rsidR="00A77415" w:rsidRDefault="00A77415">
      <w:pPr>
        <w:rPr>
          <w:lang w:val="lt-LT"/>
        </w:rPr>
      </w:pPr>
    </w:p>
    <w:p w14:paraId="60E65383" w14:textId="25193D19" w:rsidR="00FD51D6" w:rsidRDefault="00FD51D6">
      <w:pPr>
        <w:rPr>
          <w:lang w:val="lt-LT"/>
        </w:rPr>
      </w:pPr>
      <w:r w:rsidRPr="00FD51D6">
        <w:rPr>
          <w:lang w:val="lt-LT"/>
        </w:rPr>
        <w:t>Techninėje specifikacijoje nurodyta, kad konstrukcija turi būti skirta įrangai „greitai, saugiai ir efektyviai“ iškelti. Prašome patikslinti, ką šiuo atveju reiškia „greitai“. Ar yra nustatytas maksimalus konstrukcijos surinkimo / išmontavimo laikas, pavyzdžiui, per 8 valandas, per 1 darbo dieną, per 24 valandas ar kitaip?</w:t>
      </w:r>
    </w:p>
    <w:p w14:paraId="2B329A1E" w14:textId="77777777" w:rsidR="00786C39" w:rsidRDefault="00FD51D6">
      <w:pPr>
        <w:rPr>
          <w:lang w:val="lt-LT"/>
        </w:rPr>
      </w:pPr>
      <w:r w:rsidRPr="00FD51D6">
        <w:rPr>
          <w:highlight w:val="green"/>
          <w:lang w:val="lt-LT"/>
        </w:rPr>
        <w:t>Atsakymas. Nėra nustatytas joks konkretus laikas. Pirminis konstrukcijos įrengimo terminas numatytas pirkimo dokumentų priede – sutarties projekte.</w:t>
      </w:r>
    </w:p>
    <w:p w14:paraId="2829B9FF" w14:textId="4DB4C691" w:rsidR="00FD51D6" w:rsidRDefault="00FD51D6">
      <w:pPr>
        <w:rPr>
          <w:lang w:val="lt-LT"/>
        </w:rPr>
      </w:pPr>
      <w:r w:rsidRPr="00FD51D6">
        <w:rPr>
          <w:lang w:val="lt-LT"/>
        </w:rPr>
        <w:br/>
        <w:t>Kiek darbuotojų turėtų būti laikoma priimtina konstrukcijos surinkimui ir išmontavimui? Pavyzdžiui, ar būtų priimtinas sprendimas, kai konstrukciją surenka 4 darbuotojai per 8 valandas, naudojant kraną ar kitą kėlimo techniką?</w:t>
      </w:r>
    </w:p>
    <w:p w14:paraId="2FF8C613" w14:textId="77777777" w:rsidR="00786C39" w:rsidRDefault="00FD51D6">
      <w:pPr>
        <w:rPr>
          <w:lang w:val="lt-LT"/>
        </w:rPr>
      </w:pPr>
      <w:r w:rsidRPr="00FD51D6">
        <w:rPr>
          <w:highlight w:val="green"/>
          <w:lang w:val="lt-LT"/>
        </w:rPr>
        <w:t>Atsakymas. Tokie konkretūs reikalavimai nenustatyti ir nekeliami.</w:t>
      </w:r>
    </w:p>
    <w:p w14:paraId="3E840206" w14:textId="4F4F4AE3" w:rsidR="00FD51D6" w:rsidRDefault="00FD51D6">
      <w:pPr>
        <w:rPr>
          <w:lang w:val="lt-LT"/>
        </w:rPr>
      </w:pPr>
      <w:r w:rsidRPr="00FD51D6">
        <w:rPr>
          <w:lang w:val="lt-LT"/>
        </w:rPr>
        <w:br/>
        <w:t xml:space="preserve">Prašome patikslinti, kokio tipo konstrukcijos tikimasi: ar tai turėtų būti klasikinio telekomunikacijų / elektros perdavimo bokšto tipo </w:t>
      </w:r>
      <w:proofErr w:type="spellStart"/>
      <w:r w:rsidRPr="00FD51D6">
        <w:rPr>
          <w:lang w:val="lt-LT"/>
        </w:rPr>
        <w:t>santvarinė</w:t>
      </w:r>
      <w:proofErr w:type="spellEnd"/>
      <w:r w:rsidRPr="00FD51D6">
        <w:rPr>
          <w:lang w:val="lt-LT"/>
        </w:rPr>
        <w:t xml:space="preserve"> konstrukcija, ar gali būti modulinė metalinė konstrukcija / bokštas ant gelžbetoninių blokų?</w:t>
      </w:r>
    </w:p>
    <w:p w14:paraId="517CF9B2" w14:textId="77777777" w:rsidR="00786C39" w:rsidRDefault="00FD51D6">
      <w:pPr>
        <w:rPr>
          <w:lang w:val="lt-LT"/>
        </w:rPr>
      </w:pPr>
      <w:r w:rsidRPr="00FD51D6">
        <w:rPr>
          <w:highlight w:val="green"/>
          <w:lang w:val="lt-LT"/>
        </w:rPr>
        <w:t>Atsakymas. Gali būti bet kokia konstrukcija, atitinkanti techninius reikalavimus.</w:t>
      </w:r>
    </w:p>
    <w:p w14:paraId="56B0B8D6" w14:textId="75D3980C" w:rsidR="00FD51D6" w:rsidRDefault="00FD51D6">
      <w:pPr>
        <w:rPr>
          <w:lang w:val="lt-LT"/>
        </w:rPr>
      </w:pPr>
      <w:r w:rsidRPr="00FD51D6">
        <w:rPr>
          <w:lang w:val="lt-LT"/>
        </w:rPr>
        <w:br/>
        <w:t>Ar perkančioji organizacija turi preliminarų konstrukcijos brėžinį, eskizą, vizualizaciją ar pavyzdinį analogą, kaip turėtų atrodyti konstrukcija?</w:t>
      </w:r>
    </w:p>
    <w:p w14:paraId="5EEF3788" w14:textId="77777777" w:rsidR="00786C39" w:rsidRDefault="00FD51D6">
      <w:pPr>
        <w:rPr>
          <w:lang w:val="lt-LT"/>
        </w:rPr>
      </w:pPr>
      <w:r w:rsidRPr="00FD51D6">
        <w:rPr>
          <w:highlight w:val="green"/>
          <w:lang w:val="lt-LT"/>
        </w:rPr>
        <w:t>Atsakymas. Ne, tiekėjas pats suprojektuoja reikalavimus atitinkančią konstrukciją.</w:t>
      </w:r>
    </w:p>
    <w:p w14:paraId="676645D7" w14:textId="42840CE3" w:rsidR="00FD51D6" w:rsidRDefault="00FD51D6">
      <w:pPr>
        <w:rPr>
          <w:lang w:val="lt-LT"/>
        </w:rPr>
      </w:pPr>
      <w:r w:rsidRPr="00FD51D6">
        <w:rPr>
          <w:lang w:val="lt-LT"/>
        </w:rPr>
        <w:br/>
        <w:t>Techninės specifikacijos 7 punkte nurodyta, kad laikančiosios metalinės konstrukcijos tipas gali būti trikampė arba kvadratinė santvara. Prašome patvirtinti, ar abu sprendiniai yra lygiaverčiai ir priimtini, jeigu konstrukcija atitinka visus apkrovų, stabilumo ir saugumo reikalavimus.</w:t>
      </w:r>
    </w:p>
    <w:p w14:paraId="13B99C2A" w14:textId="77777777" w:rsidR="00786C39" w:rsidRDefault="00FD51D6">
      <w:pPr>
        <w:rPr>
          <w:lang w:val="lt-LT"/>
        </w:rPr>
      </w:pPr>
      <w:r w:rsidRPr="00FD51D6">
        <w:rPr>
          <w:highlight w:val="green"/>
          <w:lang w:val="lt-LT"/>
        </w:rPr>
        <w:t>Atsakymas. Taip, abu sprendiniai priimtini.</w:t>
      </w:r>
    </w:p>
    <w:p w14:paraId="1CDB1DD9" w14:textId="1A3238CC" w:rsidR="00FD51D6" w:rsidRDefault="00FD51D6">
      <w:pPr>
        <w:rPr>
          <w:lang w:val="lt-LT"/>
        </w:rPr>
      </w:pPr>
      <w:r w:rsidRPr="00FD51D6">
        <w:rPr>
          <w:lang w:val="lt-LT"/>
        </w:rPr>
        <w:br/>
        <w:t>Techninės specifikacijos 3.3 punkte nurodyta, kad viršutinės eksploatacinės aikštelės maksimali leidžiama apkrova turi būti ne mažesnė kaip 1 000 kg. Prašome patikslinti, ar ši 1 000 kg apkrova yra bendra apkrova, į kurią turi būti įskaičiuojama įranga, aptarnaujantis personalas, įrankiai, kabeliai ir kitos galimos eksploatacinės apkrovos.</w:t>
      </w:r>
    </w:p>
    <w:p w14:paraId="2D9929BA" w14:textId="7E026FDD" w:rsidR="00786C39" w:rsidRDefault="00FD51D6">
      <w:pPr>
        <w:rPr>
          <w:lang w:val="lt-LT"/>
        </w:rPr>
      </w:pPr>
      <w:r w:rsidRPr="0009635D">
        <w:rPr>
          <w:highlight w:val="green"/>
          <w:lang w:val="lt-LT"/>
        </w:rPr>
        <w:t>Atsakymas. Taip</w:t>
      </w:r>
      <w:r w:rsidR="00786C39">
        <w:rPr>
          <w:highlight w:val="green"/>
          <w:lang w:val="lt-LT"/>
        </w:rPr>
        <w:t>, į 1000 kg apkrovą yra įtraukta ir įranga ir aptarnaujantis personalas bei kitos galimos eksploatacinės medžiagos</w:t>
      </w:r>
      <w:r w:rsidRPr="0009635D">
        <w:rPr>
          <w:highlight w:val="green"/>
          <w:lang w:val="lt-LT"/>
        </w:rPr>
        <w:t>.</w:t>
      </w:r>
      <w:r w:rsidR="0009635D" w:rsidRPr="0009635D">
        <w:rPr>
          <w:highlight w:val="green"/>
          <w:lang w:val="lt-LT"/>
        </w:rPr>
        <w:t xml:space="preserve"> </w:t>
      </w:r>
    </w:p>
    <w:p w14:paraId="2BF69443" w14:textId="52A8B79F" w:rsidR="00FD51D6" w:rsidRDefault="00FD51D6">
      <w:pPr>
        <w:rPr>
          <w:lang w:val="lt-LT"/>
        </w:rPr>
      </w:pPr>
      <w:r w:rsidRPr="00FD51D6">
        <w:rPr>
          <w:lang w:val="lt-LT"/>
        </w:rPr>
        <w:lastRenderedPageBreak/>
        <w:br/>
        <w:t>Prašome patikslinti, ar viršutinės eksploatacinės aikštelės skersmuo ne mažesnis kaip 2,6 m reiškia, kad aikštelė privalo būti apvali, ar priimtina kvadratinė / daugiakampė aikštelė, kurios naudingas plotas atitinka ne mažesnį kaip 2,6 m skersmens plotą.</w:t>
      </w:r>
    </w:p>
    <w:p w14:paraId="0D032BD2" w14:textId="3E8A7B27" w:rsidR="00786C39" w:rsidRDefault="00FD51D6">
      <w:pPr>
        <w:rPr>
          <w:strike/>
          <w:lang w:val="lt-LT"/>
        </w:rPr>
      </w:pPr>
      <w:r w:rsidRPr="00FD51D6">
        <w:rPr>
          <w:highlight w:val="green"/>
          <w:lang w:val="lt-LT"/>
        </w:rPr>
        <w:t xml:space="preserve">Atsakymas. Priimtina ir kvadratinė/daugiakampė, tačiau ne mažesnio skersmens nei nurodyta siauriausioje vietoje. </w:t>
      </w:r>
    </w:p>
    <w:p w14:paraId="7AC00A4D" w14:textId="74C036CC" w:rsidR="00FD51D6" w:rsidRDefault="00FD51D6">
      <w:pPr>
        <w:rPr>
          <w:lang w:val="lt-LT"/>
        </w:rPr>
      </w:pPr>
      <w:r w:rsidRPr="00786C39">
        <w:rPr>
          <w:strike/>
          <w:lang w:val="lt-LT"/>
        </w:rPr>
        <w:br/>
      </w:r>
      <w:r w:rsidRPr="00FD51D6">
        <w:rPr>
          <w:lang w:val="lt-LT"/>
        </w:rPr>
        <w:t>Prašome patikslinti, kaip turi būti matuojamas konstrukcijos aukštis 25 m (+/–1 m): iki viršutinės eksploatacinės aikštelės grindų lygio, iki konstrukcijos viršaus ar iki įrangos tvirtinimo taško.</w:t>
      </w:r>
    </w:p>
    <w:p w14:paraId="6125732C" w14:textId="77777777" w:rsidR="00786C39" w:rsidRDefault="00FD51D6">
      <w:pPr>
        <w:rPr>
          <w:lang w:val="lt-LT"/>
        </w:rPr>
      </w:pPr>
      <w:r w:rsidRPr="00FD51D6">
        <w:rPr>
          <w:highlight w:val="green"/>
          <w:lang w:val="lt-LT"/>
        </w:rPr>
        <w:t>Atsakymas.  Iki viršutinės eksploatacinės aikštelės grindų lygio.</w:t>
      </w:r>
    </w:p>
    <w:p w14:paraId="056ECD85" w14:textId="680D4BE5" w:rsidR="009754B5" w:rsidRDefault="00FD51D6">
      <w:pPr>
        <w:rPr>
          <w:lang w:val="lt-LT"/>
        </w:rPr>
      </w:pPr>
      <w:r w:rsidRPr="00FD51D6">
        <w:rPr>
          <w:lang w:val="lt-LT"/>
        </w:rPr>
        <w:br/>
        <w:t>Techninėje specifikacijoje nurodyta, kad konstrukcija turi būti surenkama–išrenkama, kilnojama, pritaikyta transportuoti ir pakartotinai sumontuoti kitoje vietoje. Prašome patikslinti, ar konstrukcija turi būti transportuojama standartiniu sunkvežimiu / puspriekabe, ar leidžiamas specialus transportas.</w:t>
      </w:r>
    </w:p>
    <w:p w14:paraId="7A71502E" w14:textId="77777777" w:rsidR="00786C39" w:rsidRDefault="009754B5">
      <w:pPr>
        <w:rPr>
          <w:lang w:val="lt-LT"/>
        </w:rPr>
      </w:pPr>
      <w:r w:rsidRPr="009754B5">
        <w:rPr>
          <w:highlight w:val="green"/>
          <w:lang w:val="lt-LT"/>
        </w:rPr>
        <w:t xml:space="preserve">Atsakymas. </w:t>
      </w:r>
      <w:r w:rsidRPr="00302AF2">
        <w:rPr>
          <w:highlight w:val="green"/>
          <w:lang w:val="lt-LT"/>
        </w:rPr>
        <w:t>Leidžiamas bet koks transportas</w:t>
      </w:r>
      <w:r w:rsidR="00786C39" w:rsidRPr="00302AF2">
        <w:rPr>
          <w:highlight w:val="green"/>
          <w:lang w:val="lt-LT"/>
        </w:rPr>
        <w:t>, kuris turi teisę dalyvauti Lietuvos Respublikos keliuose</w:t>
      </w:r>
      <w:r w:rsidRPr="00302AF2">
        <w:rPr>
          <w:highlight w:val="green"/>
          <w:lang w:val="lt-LT"/>
        </w:rPr>
        <w:t>.</w:t>
      </w:r>
    </w:p>
    <w:p w14:paraId="6BFCFCCE" w14:textId="1BC5483F" w:rsidR="009754B5" w:rsidRDefault="00FD51D6">
      <w:pPr>
        <w:rPr>
          <w:lang w:val="lt-LT"/>
        </w:rPr>
      </w:pPr>
      <w:r w:rsidRPr="00FD51D6">
        <w:rPr>
          <w:lang w:val="lt-LT"/>
        </w:rPr>
        <w:br/>
        <w:t>Ar yra nustatyti maksimalūs vieno konstrukcijos modulio matmenys ir svoris, kad būtų galima įvertinti transportavimą, krovimą ir montavimo techniką?</w:t>
      </w:r>
    </w:p>
    <w:p w14:paraId="60944364" w14:textId="77777777" w:rsidR="00786C39" w:rsidRDefault="009754B5">
      <w:pPr>
        <w:rPr>
          <w:lang w:val="lt-LT"/>
        </w:rPr>
      </w:pPr>
      <w:r w:rsidRPr="009754B5">
        <w:rPr>
          <w:highlight w:val="green"/>
          <w:lang w:val="lt-LT"/>
        </w:rPr>
        <w:t>Atsakymas. Nenustatyti.</w:t>
      </w:r>
    </w:p>
    <w:p w14:paraId="1DD021C7" w14:textId="681DF6DC" w:rsidR="009754B5" w:rsidRDefault="00FD51D6">
      <w:pPr>
        <w:rPr>
          <w:lang w:val="lt-LT"/>
        </w:rPr>
      </w:pPr>
      <w:r w:rsidRPr="00FD51D6">
        <w:rPr>
          <w:lang w:val="lt-LT"/>
        </w:rPr>
        <w:br/>
        <w:t xml:space="preserve">Ar konstrukcijos montavimui ir išmontavimui privaloma naudoti kraną, ar priimtinas sprendimas, kai naudojama kita kėlimo technika, pavyzdžiui, manipuliatorius, </w:t>
      </w:r>
      <w:proofErr w:type="spellStart"/>
      <w:r w:rsidRPr="00FD51D6">
        <w:rPr>
          <w:lang w:val="lt-LT"/>
        </w:rPr>
        <w:t>autokranas</w:t>
      </w:r>
      <w:proofErr w:type="spellEnd"/>
      <w:r w:rsidRPr="00FD51D6">
        <w:rPr>
          <w:lang w:val="lt-LT"/>
        </w:rPr>
        <w:t xml:space="preserve"> ar teleskopinis krautuvas?</w:t>
      </w:r>
    </w:p>
    <w:p w14:paraId="5EFE6355" w14:textId="77777777" w:rsidR="00786C39" w:rsidRDefault="009754B5">
      <w:pPr>
        <w:rPr>
          <w:lang w:val="lt-LT"/>
        </w:rPr>
      </w:pPr>
      <w:r w:rsidRPr="009754B5">
        <w:rPr>
          <w:highlight w:val="green"/>
          <w:lang w:val="lt-LT"/>
        </w:rPr>
        <w:t>Atsakymas. Priimtini bet kokie sprendimai.</w:t>
      </w:r>
    </w:p>
    <w:p w14:paraId="67156A74" w14:textId="32EA3BA1" w:rsidR="009754B5" w:rsidRDefault="00FD51D6">
      <w:pPr>
        <w:rPr>
          <w:lang w:val="lt-LT"/>
        </w:rPr>
      </w:pPr>
      <w:r w:rsidRPr="00FD51D6">
        <w:rPr>
          <w:lang w:val="lt-LT"/>
        </w:rPr>
        <w:br/>
        <w:t>Techninės specifikacijos 5 punkte nurodyta, kad konstrukcija montuojama ant mobilių gelžbetonio blokų be stacionarių pamatų. Prašome patikslinti:</w:t>
      </w:r>
      <w:r w:rsidRPr="00FD51D6">
        <w:rPr>
          <w:lang w:val="lt-LT"/>
        </w:rPr>
        <w:br/>
        <w:t>ar gelžbetonio blokai turi būti tiekėjo komplektacijos dalis;</w:t>
      </w:r>
      <w:r w:rsidRPr="00FD51D6">
        <w:rPr>
          <w:lang w:val="lt-LT"/>
        </w:rPr>
        <w:br/>
        <w:t>ar blokai turi būti suprojektuoti tiekėjo;</w:t>
      </w:r>
      <w:r w:rsidRPr="00FD51D6">
        <w:rPr>
          <w:lang w:val="lt-LT"/>
        </w:rPr>
        <w:br/>
        <w:t>ar yra numatyti konkretūs blokų matmenys ir svoris;</w:t>
      </w:r>
      <w:r w:rsidRPr="00FD51D6">
        <w:rPr>
          <w:lang w:val="lt-LT"/>
        </w:rPr>
        <w:br/>
        <w:t>ar blokai turi būti pritaikyti pakartotiniam transportavimui ir naudojimui kitoje vietoje.</w:t>
      </w:r>
    </w:p>
    <w:p w14:paraId="03032C94" w14:textId="77777777" w:rsidR="00786C39" w:rsidRDefault="009754B5">
      <w:pPr>
        <w:rPr>
          <w:lang w:val="lt-LT"/>
        </w:rPr>
      </w:pPr>
      <w:r w:rsidRPr="009754B5">
        <w:rPr>
          <w:highlight w:val="green"/>
          <w:lang w:val="lt-LT"/>
        </w:rPr>
        <w:t xml:space="preserve">Atsakymas. Blokai yra komplektacijos dalis, kuri turi būti suprojektuota ir pristatyta tiekėjo. Konkretūs matmenys ir svoriai nėra numatyti, tai turi būti numatyta projekte. Blokai turi būti </w:t>
      </w:r>
      <w:r w:rsidRPr="009754B5">
        <w:rPr>
          <w:highlight w:val="green"/>
          <w:lang w:val="lt-LT"/>
        </w:rPr>
        <w:lastRenderedPageBreak/>
        <w:t>pritaikyti pakartotiniam transportavimui nes pati bokšto konstrukcija (tame tarpe ir blokai) turi būti perdislokuojama.</w:t>
      </w:r>
    </w:p>
    <w:p w14:paraId="312261A0" w14:textId="60359788" w:rsidR="009754B5" w:rsidRDefault="00FD51D6">
      <w:pPr>
        <w:rPr>
          <w:lang w:val="lt-LT"/>
        </w:rPr>
      </w:pPr>
      <w:r w:rsidRPr="00FD51D6">
        <w:rPr>
          <w:lang w:val="lt-LT"/>
        </w:rPr>
        <w:br/>
        <w:t>Ar montavimo vietoje bus paruošta lygi ir sutankinta aikštelė, tinkama gelžbetonio blokų pastatymui, ar aikštelės paruošimo darbai taip pat turi būti įskaičiuoti į tiekėjo pasiūlymą?</w:t>
      </w:r>
    </w:p>
    <w:p w14:paraId="2CA5CAC3" w14:textId="77777777" w:rsidR="00786C39" w:rsidRDefault="009754B5">
      <w:pPr>
        <w:rPr>
          <w:lang w:val="lt-LT"/>
        </w:rPr>
      </w:pPr>
      <w:r w:rsidRPr="009754B5">
        <w:rPr>
          <w:highlight w:val="green"/>
          <w:lang w:val="lt-LT"/>
        </w:rPr>
        <w:t>Atsakymas. Montavimo vieta – augalinis gruntas (pieva), todėl esant poreikiui įrengti aikštelę tiekėjas turi įsivertinti šiuos papildomus kaštus.</w:t>
      </w:r>
    </w:p>
    <w:p w14:paraId="2379141E" w14:textId="2BD1DA05" w:rsidR="009754B5" w:rsidRDefault="00FD51D6">
      <w:pPr>
        <w:rPr>
          <w:lang w:val="lt-LT"/>
        </w:rPr>
      </w:pPr>
      <w:r w:rsidRPr="00FD51D6">
        <w:rPr>
          <w:lang w:val="lt-LT"/>
        </w:rPr>
        <w:br/>
        <w:t>Techninės specifikacijos 6.2 punkte nurodyta, kad turi būti įrengta ne mažiau kaip 3 vnt. poilsio ir įrangos aikštelių. Prašome patikslinti, kokiame aukštyje jos turi būti įrengtos ir kokio minimalaus dydžio jos turi būti.</w:t>
      </w:r>
    </w:p>
    <w:p w14:paraId="5DD9FD63" w14:textId="77777777" w:rsidR="00786C39" w:rsidRDefault="009754B5">
      <w:r w:rsidRPr="000478FC">
        <w:rPr>
          <w:highlight w:val="green"/>
          <w:lang w:val="lt-LT"/>
        </w:rPr>
        <w:t>Atsakymas. Aikštelių įrengimas</w:t>
      </w:r>
      <w:r w:rsidR="000478FC" w:rsidRPr="000478FC">
        <w:rPr>
          <w:highlight w:val="green"/>
          <w:lang w:val="lt-LT"/>
        </w:rPr>
        <w:t xml:space="preserve"> privalomas vadovaujantis teisės aktais (standartais), esant lipimo aukščiui didesniam kaip 6 m. Konkretūs reikalavimai joms</w:t>
      </w:r>
      <w:r w:rsidRPr="000478FC">
        <w:rPr>
          <w:highlight w:val="green"/>
          <w:lang w:val="lt-LT"/>
        </w:rPr>
        <w:t xml:space="preserve"> </w:t>
      </w:r>
      <w:r w:rsidR="000478FC" w:rsidRPr="000478FC">
        <w:rPr>
          <w:highlight w:val="green"/>
          <w:lang w:val="lt-LT"/>
        </w:rPr>
        <w:t xml:space="preserve">nurodyti atitinkamuose dokumentuose (tokiuose kaip </w:t>
      </w:r>
      <w:r w:rsidR="000478FC" w:rsidRPr="000478FC">
        <w:rPr>
          <w:highlight w:val="green"/>
        </w:rPr>
        <w:t>EN ISO 14122).</w:t>
      </w:r>
    </w:p>
    <w:p w14:paraId="6D8C22FC" w14:textId="6F605641" w:rsidR="000478FC" w:rsidRDefault="00FD51D6">
      <w:pPr>
        <w:rPr>
          <w:lang w:val="lt-LT"/>
        </w:rPr>
      </w:pPr>
      <w:r w:rsidRPr="00FD51D6">
        <w:rPr>
          <w:lang w:val="lt-LT"/>
        </w:rPr>
        <w:br/>
        <w:t>Prašome patikslinti, kokie elektros, signalinių ir optinių kabelių kiekiai bei diametrai turi būti numatyti kabelių loviams / kopėtėlėms. Taip pat prašome nurodyti, ar reikalingas atsarginis kabelių lovių užpildymo rezervas.</w:t>
      </w:r>
    </w:p>
    <w:p w14:paraId="769A40AC" w14:textId="48D17CCF" w:rsidR="00786C39" w:rsidRDefault="000478FC">
      <w:pPr>
        <w:rPr>
          <w:lang w:val="lt-LT"/>
        </w:rPr>
      </w:pPr>
      <w:r w:rsidRPr="00257273">
        <w:rPr>
          <w:highlight w:val="green"/>
          <w:lang w:val="lt-LT"/>
        </w:rPr>
        <w:t xml:space="preserve">Atsakymas. </w:t>
      </w:r>
      <w:r w:rsidR="00786C39">
        <w:rPr>
          <w:highlight w:val="green"/>
          <w:lang w:val="lt-LT"/>
        </w:rPr>
        <w:t>Konkretūs reikalavimai nėra nurodyti, tačiau e</w:t>
      </w:r>
      <w:r w:rsidR="00257273" w:rsidRPr="00257273">
        <w:rPr>
          <w:highlight w:val="green"/>
          <w:lang w:val="lt-LT"/>
        </w:rPr>
        <w:t xml:space="preserve">lektros bei ryšių instaliacijos įrengimui </w:t>
      </w:r>
      <w:r w:rsidR="00257273">
        <w:rPr>
          <w:highlight w:val="green"/>
          <w:lang w:val="lt-LT"/>
        </w:rPr>
        <w:t xml:space="preserve">(su rezervu) </w:t>
      </w:r>
      <w:r w:rsidR="00257273" w:rsidRPr="00257273">
        <w:rPr>
          <w:highlight w:val="green"/>
          <w:lang w:val="lt-LT"/>
        </w:rPr>
        <w:t>pakankamas standartinis 60x100 mm lovelis su gamykline pertvara, arba 2 atskiri 60x50 mm loveliai.</w:t>
      </w:r>
      <w:r w:rsidR="00257273">
        <w:rPr>
          <w:lang w:val="lt-LT"/>
        </w:rPr>
        <w:t xml:space="preserve"> </w:t>
      </w:r>
    </w:p>
    <w:p w14:paraId="169995EC" w14:textId="0EDAAFE3" w:rsidR="00257273" w:rsidRDefault="00FD51D6">
      <w:pPr>
        <w:rPr>
          <w:lang w:val="lt-LT"/>
        </w:rPr>
      </w:pPr>
      <w:r w:rsidRPr="00FD51D6">
        <w:rPr>
          <w:lang w:val="lt-LT"/>
        </w:rPr>
        <w:br/>
        <w:t>Prašome patikslinti, kokie dokumentai turi būti pateikti kartu su konstrukcija: techninis projektas, darbo brėžiniai, statiniai skaičiavimai, medžiagų sertifikatai, montavimo ir išmontavimo instrukcija, eksploatavimo ir priežiūros instrukcija ar kiti dokumentai.</w:t>
      </w:r>
    </w:p>
    <w:p w14:paraId="68A718FE" w14:textId="73CAF987" w:rsidR="00E24536" w:rsidRPr="00302AF2" w:rsidRDefault="00257273">
      <w:pPr>
        <w:rPr>
          <w:highlight w:val="green"/>
          <w:lang w:val="lt-LT"/>
        </w:rPr>
      </w:pPr>
      <w:r w:rsidRPr="00302AF2">
        <w:rPr>
          <w:highlight w:val="green"/>
          <w:lang w:val="lt-LT"/>
        </w:rPr>
        <w:t xml:space="preserve">Atsakymas. </w:t>
      </w:r>
      <w:r w:rsidR="00E24536" w:rsidRPr="00302AF2">
        <w:rPr>
          <w:highlight w:val="green"/>
          <w:lang w:val="lt-LT"/>
        </w:rPr>
        <w:t xml:space="preserve">Pateikiami visi </w:t>
      </w:r>
      <w:r w:rsidR="0009635D" w:rsidRPr="00302AF2">
        <w:rPr>
          <w:highlight w:val="green"/>
          <w:lang w:val="lt-LT"/>
        </w:rPr>
        <w:t>išvardinti</w:t>
      </w:r>
      <w:r w:rsidR="00E24536" w:rsidRPr="00302AF2">
        <w:rPr>
          <w:highlight w:val="green"/>
          <w:lang w:val="lt-LT"/>
        </w:rPr>
        <w:t xml:space="preserve"> dokumentai</w:t>
      </w:r>
      <w:r w:rsidR="00786C39" w:rsidRPr="00302AF2">
        <w:rPr>
          <w:highlight w:val="green"/>
          <w:lang w:val="lt-LT"/>
        </w:rPr>
        <w:t xml:space="preserve"> ir/ar kiti dokumentai, kurie reikalingi saugiam bokšto eksploatavimui</w:t>
      </w:r>
      <w:r w:rsidR="000F6C05" w:rsidRPr="00302AF2">
        <w:rPr>
          <w:highlight w:val="green"/>
          <w:lang w:val="lt-LT"/>
        </w:rPr>
        <w:t xml:space="preserve"> pagal Lietuvos teisės aktų reikalavimus. </w:t>
      </w:r>
      <w:r w:rsidR="00786C39" w:rsidRPr="00302AF2">
        <w:rPr>
          <w:highlight w:val="green"/>
          <w:lang w:val="lt-LT"/>
        </w:rPr>
        <w:t xml:space="preserve"> </w:t>
      </w:r>
      <w:r w:rsidR="00E24536" w:rsidRPr="00302AF2">
        <w:rPr>
          <w:highlight w:val="green"/>
          <w:lang w:val="lt-LT"/>
        </w:rPr>
        <w:t xml:space="preserve"> </w:t>
      </w:r>
    </w:p>
    <w:p w14:paraId="5589C1C6" w14:textId="09045C55" w:rsidR="00E24536" w:rsidRDefault="00FD51D6">
      <w:pPr>
        <w:rPr>
          <w:lang w:val="lt-LT"/>
        </w:rPr>
      </w:pPr>
      <w:r w:rsidRPr="00FD51D6">
        <w:rPr>
          <w:lang w:val="lt-LT"/>
        </w:rPr>
        <w:br/>
        <w:t>Ar tiekėjas turi į pasiūlymą įtraukti darbuotojų apmokymą dėl konstrukcijos surinkimo, išmontavimo, transportavimo ir saugaus eksploatavimo?</w:t>
      </w:r>
    </w:p>
    <w:p w14:paraId="286F80F8" w14:textId="77777777" w:rsidR="000F6C05" w:rsidRDefault="00E24536">
      <w:pPr>
        <w:rPr>
          <w:lang w:val="lt-LT"/>
        </w:rPr>
      </w:pPr>
      <w:r w:rsidRPr="00E24536">
        <w:rPr>
          <w:highlight w:val="green"/>
          <w:lang w:val="lt-LT"/>
        </w:rPr>
        <w:t>Atsakymas. Ne, užsakovas neplanuoja savo pajėgumais vykdyti konstrukcijos montavimo darbų.</w:t>
      </w:r>
    </w:p>
    <w:p w14:paraId="611F9149" w14:textId="1DA04478" w:rsidR="00FD51D6" w:rsidRDefault="00FD51D6">
      <w:pPr>
        <w:rPr>
          <w:lang w:val="lt-LT"/>
        </w:rPr>
      </w:pPr>
      <w:r w:rsidRPr="00FD51D6">
        <w:rPr>
          <w:lang w:val="lt-LT"/>
        </w:rPr>
        <w:br/>
        <w:t>Ar konstrukcija turi būti pritaikyta pakartotiniam surinkimui neribotą skaičių kartų, ar numatomas konkretus surinkimo / išmontavimo ciklų skaičius?</w:t>
      </w:r>
    </w:p>
    <w:p w14:paraId="13AB71B9" w14:textId="7B58F18F" w:rsidR="00E24536" w:rsidRPr="00FD51D6" w:rsidRDefault="00E24536">
      <w:pPr>
        <w:rPr>
          <w:lang w:val="lt-LT"/>
        </w:rPr>
      </w:pPr>
      <w:r w:rsidRPr="00E24536">
        <w:rPr>
          <w:highlight w:val="green"/>
          <w:lang w:val="lt-LT"/>
        </w:rPr>
        <w:lastRenderedPageBreak/>
        <w:t>Atsakymas. Konkretus ciklų skaičius nėra numatytas, bet konstrukcija iš principo privalo būti su galimybe išrinkti ir sumontuoti, esant poreikiui, kitoje vietoje.</w:t>
      </w:r>
    </w:p>
    <w:sectPr w:rsidR="00E24536" w:rsidRPr="00FD51D6">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93E93"/>
    <w:multiLevelType w:val="multilevel"/>
    <w:tmpl w:val="8B64E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1914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D6"/>
    <w:rsid w:val="000478FC"/>
    <w:rsid w:val="0009635D"/>
    <w:rsid w:val="000F6C05"/>
    <w:rsid w:val="00257273"/>
    <w:rsid w:val="00302AF2"/>
    <w:rsid w:val="00436859"/>
    <w:rsid w:val="006F7CAF"/>
    <w:rsid w:val="00786C39"/>
    <w:rsid w:val="00844FA1"/>
    <w:rsid w:val="009168BE"/>
    <w:rsid w:val="009754B5"/>
    <w:rsid w:val="00A77415"/>
    <w:rsid w:val="00E24536"/>
    <w:rsid w:val="00F12064"/>
    <w:rsid w:val="00FD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CAD8"/>
  <w15:chartTrackingRefBased/>
  <w15:docId w15:val="{7558531A-440B-47A4-9F81-1218CB83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1D6"/>
    <w:rPr>
      <w:rFonts w:eastAsiaTheme="majorEastAsia" w:cstheme="majorBidi"/>
      <w:color w:val="272727" w:themeColor="text1" w:themeTint="D8"/>
    </w:rPr>
  </w:style>
  <w:style w:type="paragraph" w:styleId="Title">
    <w:name w:val="Title"/>
    <w:basedOn w:val="Normal"/>
    <w:next w:val="Normal"/>
    <w:link w:val="TitleChar"/>
    <w:uiPriority w:val="10"/>
    <w:qFormat/>
    <w:rsid w:val="00FD5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1D6"/>
    <w:pPr>
      <w:spacing w:before="160"/>
      <w:jc w:val="center"/>
    </w:pPr>
    <w:rPr>
      <w:i/>
      <w:iCs/>
      <w:color w:val="404040" w:themeColor="text1" w:themeTint="BF"/>
    </w:rPr>
  </w:style>
  <w:style w:type="character" w:customStyle="1" w:styleId="QuoteChar">
    <w:name w:val="Quote Char"/>
    <w:basedOn w:val="DefaultParagraphFont"/>
    <w:link w:val="Quote"/>
    <w:uiPriority w:val="29"/>
    <w:rsid w:val="00FD51D6"/>
    <w:rPr>
      <w:i/>
      <w:iCs/>
      <w:color w:val="404040" w:themeColor="text1" w:themeTint="BF"/>
    </w:rPr>
  </w:style>
  <w:style w:type="paragraph" w:styleId="ListParagraph">
    <w:name w:val="List Paragraph"/>
    <w:basedOn w:val="Normal"/>
    <w:uiPriority w:val="34"/>
    <w:qFormat/>
    <w:rsid w:val="00FD51D6"/>
    <w:pPr>
      <w:ind w:left="720"/>
      <w:contextualSpacing/>
    </w:pPr>
  </w:style>
  <w:style w:type="character" w:styleId="IntenseEmphasis">
    <w:name w:val="Intense Emphasis"/>
    <w:basedOn w:val="DefaultParagraphFont"/>
    <w:uiPriority w:val="21"/>
    <w:qFormat/>
    <w:rsid w:val="00FD51D6"/>
    <w:rPr>
      <w:i/>
      <w:iCs/>
      <w:color w:val="0F4761" w:themeColor="accent1" w:themeShade="BF"/>
    </w:rPr>
  </w:style>
  <w:style w:type="paragraph" w:styleId="IntenseQuote">
    <w:name w:val="Intense Quote"/>
    <w:basedOn w:val="Normal"/>
    <w:next w:val="Normal"/>
    <w:link w:val="IntenseQuoteChar"/>
    <w:uiPriority w:val="30"/>
    <w:qFormat/>
    <w:rsid w:val="00FD5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1D6"/>
    <w:rPr>
      <w:i/>
      <w:iCs/>
      <w:color w:val="0F4761" w:themeColor="accent1" w:themeShade="BF"/>
    </w:rPr>
  </w:style>
  <w:style w:type="character" w:styleId="IntenseReference">
    <w:name w:val="Intense Reference"/>
    <w:basedOn w:val="DefaultParagraphFont"/>
    <w:uiPriority w:val="32"/>
    <w:qFormat/>
    <w:rsid w:val="00FD51D6"/>
    <w:rPr>
      <w:b/>
      <w:bCs/>
      <w:smallCaps/>
      <w:color w:val="0F4761" w:themeColor="accent1" w:themeShade="BF"/>
      <w:spacing w:val="5"/>
    </w:rPr>
  </w:style>
  <w:style w:type="character" w:styleId="CommentReference">
    <w:name w:val="annotation reference"/>
    <w:basedOn w:val="DefaultParagraphFont"/>
    <w:uiPriority w:val="99"/>
    <w:semiHidden/>
    <w:unhideWhenUsed/>
    <w:rsid w:val="000F6C05"/>
    <w:rPr>
      <w:sz w:val="16"/>
      <w:szCs w:val="16"/>
    </w:rPr>
  </w:style>
  <w:style w:type="paragraph" w:styleId="CommentText">
    <w:name w:val="annotation text"/>
    <w:basedOn w:val="Normal"/>
    <w:link w:val="CommentTextChar"/>
    <w:uiPriority w:val="99"/>
    <w:semiHidden/>
    <w:unhideWhenUsed/>
    <w:rsid w:val="000F6C05"/>
    <w:pPr>
      <w:spacing w:line="240" w:lineRule="auto"/>
    </w:pPr>
    <w:rPr>
      <w:sz w:val="20"/>
      <w:szCs w:val="20"/>
    </w:rPr>
  </w:style>
  <w:style w:type="character" w:customStyle="1" w:styleId="CommentTextChar">
    <w:name w:val="Comment Text Char"/>
    <w:basedOn w:val="DefaultParagraphFont"/>
    <w:link w:val="CommentText"/>
    <w:uiPriority w:val="99"/>
    <w:semiHidden/>
    <w:rsid w:val="000F6C05"/>
    <w:rPr>
      <w:sz w:val="20"/>
      <w:szCs w:val="20"/>
    </w:rPr>
  </w:style>
  <w:style w:type="paragraph" w:styleId="CommentSubject">
    <w:name w:val="annotation subject"/>
    <w:basedOn w:val="CommentText"/>
    <w:next w:val="CommentText"/>
    <w:link w:val="CommentSubjectChar"/>
    <w:uiPriority w:val="99"/>
    <w:semiHidden/>
    <w:unhideWhenUsed/>
    <w:rsid w:val="000F6C05"/>
    <w:rPr>
      <w:b/>
      <w:bCs/>
    </w:rPr>
  </w:style>
  <w:style w:type="character" w:customStyle="1" w:styleId="CommentSubjectChar">
    <w:name w:val="Comment Subject Char"/>
    <w:basedOn w:val="CommentTextChar"/>
    <w:link w:val="CommentSubject"/>
    <w:uiPriority w:val="99"/>
    <w:semiHidden/>
    <w:rsid w:val="000F6C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4494">
      <w:bodyDiv w:val="1"/>
      <w:marLeft w:val="0"/>
      <w:marRight w:val="0"/>
      <w:marTop w:val="0"/>
      <w:marBottom w:val="0"/>
      <w:divBdr>
        <w:top w:val="none" w:sz="0" w:space="0" w:color="auto"/>
        <w:left w:val="none" w:sz="0" w:space="0" w:color="auto"/>
        <w:bottom w:val="none" w:sz="0" w:space="0" w:color="auto"/>
        <w:right w:val="none" w:sz="0" w:space="0" w:color="auto"/>
      </w:divBdr>
    </w:div>
    <w:div w:id="1287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Blandis</dc:creator>
  <cp:keywords/>
  <dc:description/>
  <cp:lastModifiedBy>Karolis Bidlauskas</cp:lastModifiedBy>
  <cp:revision>4</cp:revision>
  <dcterms:created xsi:type="dcterms:W3CDTF">2026-06-25T10:18:00Z</dcterms:created>
  <dcterms:modified xsi:type="dcterms:W3CDTF">2026-06-25T10:21:00Z</dcterms:modified>
</cp:coreProperties>
</file>