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09DD9" w14:textId="200F2782" w:rsidR="00FF05B5" w:rsidRDefault="00FF05B5" w:rsidP="00FF05B5">
      <w:pPr>
        <w:jc w:val="right"/>
      </w:pPr>
      <w:r w:rsidRPr="00397480">
        <w:t xml:space="preserve">Pirkimo sąlygų </w:t>
      </w:r>
      <w:r w:rsidR="00891C09">
        <w:t>3</w:t>
      </w:r>
      <w:r w:rsidRPr="00397480">
        <w:t xml:space="preserve"> priedas</w:t>
      </w:r>
    </w:p>
    <w:p w14:paraId="1A5462F4" w14:textId="77777777" w:rsidR="00FF05B5" w:rsidRDefault="00FF05B5" w:rsidP="00FF05B5">
      <w:pPr>
        <w:jc w:val="right"/>
      </w:pPr>
    </w:p>
    <w:p w14:paraId="3264EB4E" w14:textId="77777777" w:rsidR="00FF05B5" w:rsidRPr="001E6A6C" w:rsidRDefault="00FF05B5" w:rsidP="00FF05B5">
      <w:pPr>
        <w:jc w:val="right"/>
        <w:rPr>
          <w:rFonts w:eastAsia="Calibri"/>
        </w:rPr>
      </w:pPr>
    </w:p>
    <w:p w14:paraId="6EC9F55D" w14:textId="2758955A" w:rsidR="005D1255" w:rsidRPr="00DC18FB" w:rsidRDefault="005D1255" w:rsidP="00DF6209">
      <w:pPr>
        <w:contextualSpacing/>
        <w:jc w:val="center"/>
        <w:rPr>
          <w:b/>
        </w:rPr>
      </w:pPr>
      <w:r w:rsidRPr="00DC18FB">
        <w:rPr>
          <w:b/>
        </w:rPr>
        <w:t>PASLAUGŲ TEIKIMO SUTARTIS</w:t>
      </w:r>
    </w:p>
    <w:p w14:paraId="54D6DB08" w14:textId="7834ADDF" w:rsidR="005D1255" w:rsidRPr="00DC18FB" w:rsidRDefault="005D1255" w:rsidP="00DC18FB">
      <w:pPr>
        <w:contextualSpacing/>
        <w:jc w:val="center"/>
        <w:rPr>
          <w:b/>
        </w:rPr>
      </w:pPr>
    </w:p>
    <w:p w14:paraId="519DB1A0" w14:textId="642B70F2" w:rsidR="005D1255" w:rsidRPr="00DC18FB" w:rsidRDefault="005D1255" w:rsidP="00DC18FB">
      <w:pPr>
        <w:contextualSpacing/>
        <w:jc w:val="center"/>
      </w:pPr>
      <w:r w:rsidRPr="00DC18FB">
        <w:t>202</w:t>
      </w:r>
      <w:r w:rsidR="00B81092" w:rsidRPr="00DC18FB">
        <w:t>6</w:t>
      </w:r>
      <w:r w:rsidRPr="00DC18FB">
        <w:t xml:space="preserve"> m.                          d.</w:t>
      </w:r>
      <w:r w:rsidR="00B81092" w:rsidRPr="00DC18FB">
        <w:t xml:space="preserve"> Nr.</w:t>
      </w:r>
      <w:r w:rsidR="00891C09">
        <w:t xml:space="preserve"> </w:t>
      </w:r>
    </w:p>
    <w:p w14:paraId="29B41A4C" w14:textId="77777777" w:rsidR="005D1255" w:rsidRPr="00DC18FB" w:rsidRDefault="005D1255" w:rsidP="00DC18FB">
      <w:pPr>
        <w:contextualSpacing/>
        <w:jc w:val="center"/>
      </w:pPr>
      <w:r w:rsidRPr="00DC18FB">
        <w:t>Trakai</w:t>
      </w:r>
    </w:p>
    <w:p w14:paraId="7A7FF660" w14:textId="77777777" w:rsidR="005D1255" w:rsidRPr="00DC18FB" w:rsidRDefault="005D1255" w:rsidP="00DC18FB">
      <w:pPr>
        <w:suppressAutoHyphens/>
        <w:ind w:right="345"/>
        <w:contextualSpacing/>
        <w:jc w:val="both"/>
        <w:rPr>
          <w:lang w:eastAsia="ar-SA"/>
        </w:rPr>
      </w:pPr>
    </w:p>
    <w:p w14:paraId="1A1BB983" w14:textId="1DA3E327" w:rsidR="005D1255" w:rsidRPr="00DC18FB" w:rsidRDefault="005D1255" w:rsidP="00DC18FB">
      <w:pPr>
        <w:suppressAutoHyphens/>
        <w:ind w:right="-83"/>
        <w:contextualSpacing/>
        <w:jc w:val="both"/>
        <w:rPr>
          <w:iCs/>
          <w:lang w:eastAsia="ar-SA"/>
        </w:rPr>
      </w:pPr>
      <w:r w:rsidRPr="00DC18FB">
        <w:rPr>
          <w:b/>
          <w:iCs/>
          <w:lang w:eastAsia="ar-SA"/>
        </w:rPr>
        <w:t xml:space="preserve">          Trakų istorinio nacionalinio parko direkcija</w:t>
      </w:r>
      <w:r w:rsidRPr="00DC18FB">
        <w:rPr>
          <w:iCs/>
          <w:lang w:eastAsia="ar-SA"/>
        </w:rPr>
        <w:t>, juridinio asmens kodas 191835395, atstovaujama direktoriaus Dariaus Kvedaravičiaus, veikiančio pagal Trakų istorinio nacionalinio parko direkcijos nuostatus, patvirtintus Lietuvos Respublikos kultūros ministro 2005-06-22 įsakymu Nr. ĮV-260</w:t>
      </w:r>
      <w:r w:rsidRPr="00DC18FB">
        <w:rPr>
          <w:lang w:eastAsia="ar-SA"/>
        </w:rPr>
        <w:t>,</w:t>
      </w:r>
      <w:r w:rsidR="00831767" w:rsidRPr="00DC18FB">
        <w:rPr>
          <w:lang w:eastAsia="ar-SA"/>
        </w:rPr>
        <w:t xml:space="preserve"> </w:t>
      </w:r>
      <w:r w:rsidRPr="00DC18FB">
        <w:rPr>
          <w:iCs/>
          <w:lang w:eastAsia="ar-SA"/>
        </w:rPr>
        <w:t>toliau šioje sutartyje</w:t>
      </w:r>
      <w:r w:rsidR="00831767" w:rsidRPr="00DC18FB">
        <w:rPr>
          <w:iCs/>
          <w:lang w:eastAsia="ar-SA"/>
        </w:rPr>
        <w:t xml:space="preserve"> </w:t>
      </w:r>
      <w:r w:rsidRPr="00DC18FB">
        <w:rPr>
          <w:iCs/>
          <w:lang w:eastAsia="ar-SA"/>
        </w:rPr>
        <w:t xml:space="preserve">– </w:t>
      </w:r>
      <w:r w:rsidRPr="00DC18FB">
        <w:rPr>
          <w:b/>
          <w:bCs/>
          <w:lang w:eastAsia="ar-SA"/>
        </w:rPr>
        <w:t>Gavėjas</w:t>
      </w:r>
      <w:r w:rsidRPr="00DC18FB">
        <w:rPr>
          <w:b/>
          <w:bCs/>
          <w:iCs/>
          <w:lang w:eastAsia="ar-SA"/>
        </w:rPr>
        <w:t xml:space="preserve">, </w:t>
      </w:r>
    </w:p>
    <w:p w14:paraId="34A89B26" w14:textId="77777777" w:rsidR="005D1255" w:rsidRPr="00DC18FB" w:rsidRDefault="005D1255" w:rsidP="00DC18FB">
      <w:pPr>
        <w:suppressAutoHyphens/>
        <w:ind w:right="-83"/>
        <w:contextualSpacing/>
        <w:jc w:val="both"/>
        <w:rPr>
          <w:b/>
          <w:bCs/>
          <w:iCs/>
          <w:lang w:eastAsia="ar-SA"/>
        </w:rPr>
      </w:pPr>
    </w:p>
    <w:p w14:paraId="4354E25D" w14:textId="77777777" w:rsidR="005D1255" w:rsidRPr="00DC18FB" w:rsidRDefault="005D1255" w:rsidP="00DC18FB">
      <w:pPr>
        <w:suppressAutoHyphens/>
        <w:ind w:right="-83"/>
        <w:contextualSpacing/>
        <w:jc w:val="both"/>
        <w:rPr>
          <w:iCs/>
          <w:lang w:eastAsia="ar-SA"/>
        </w:rPr>
      </w:pPr>
      <w:r w:rsidRPr="00DC18FB">
        <w:rPr>
          <w:iCs/>
          <w:lang w:eastAsia="ar-SA"/>
        </w:rPr>
        <w:t>ir</w:t>
      </w:r>
    </w:p>
    <w:p w14:paraId="2A7CD04B" w14:textId="77777777" w:rsidR="005D1255" w:rsidRPr="00DC18FB" w:rsidRDefault="005D1255" w:rsidP="00DC18FB">
      <w:pPr>
        <w:suppressAutoHyphens/>
        <w:ind w:right="-83"/>
        <w:contextualSpacing/>
        <w:jc w:val="both"/>
        <w:rPr>
          <w:iCs/>
          <w:lang w:eastAsia="ar-SA"/>
        </w:rPr>
      </w:pPr>
    </w:p>
    <w:p w14:paraId="114FA42B" w14:textId="482164C1" w:rsidR="005D1255" w:rsidRPr="00DC18FB" w:rsidRDefault="005D1255" w:rsidP="00DC18FB">
      <w:pPr>
        <w:suppressAutoHyphens/>
        <w:ind w:right="-83"/>
        <w:contextualSpacing/>
        <w:jc w:val="both"/>
        <w:rPr>
          <w:iCs/>
          <w:lang w:eastAsia="ar-SA"/>
        </w:rPr>
      </w:pPr>
      <w:r w:rsidRPr="00DC18FB">
        <w:rPr>
          <w:b/>
          <w:bCs/>
          <w:iCs/>
          <w:lang w:eastAsia="ar-SA"/>
        </w:rPr>
        <w:t xml:space="preserve">         </w:t>
      </w:r>
      <w:r w:rsidRPr="00DC18FB">
        <w:rPr>
          <w:iCs/>
          <w:lang w:eastAsia="ar-SA"/>
        </w:rPr>
        <w:t xml:space="preserve"> </w:t>
      </w:r>
      <w:r w:rsidR="000115A1" w:rsidRPr="00592B74">
        <w:rPr>
          <w:iCs/>
          <w:lang w:eastAsia="ar-SA"/>
        </w:rPr>
        <w:t>....................</w:t>
      </w:r>
      <w:r w:rsidRPr="00592B74">
        <w:rPr>
          <w:iCs/>
          <w:lang w:eastAsia="ar-SA"/>
        </w:rPr>
        <w:t>,</w:t>
      </w:r>
      <w:r w:rsidRPr="00DC18FB">
        <w:rPr>
          <w:iCs/>
          <w:lang w:eastAsia="ar-SA"/>
        </w:rPr>
        <w:t xml:space="preserve"> toliau šioje sutartyje</w:t>
      </w:r>
      <w:r w:rsidR="00831767" w:rsidRPr="00DC18FB">
        <w:rPr>
          <w:iCs/>
          <w:lang w:eastAsia="ar-SA"/>
        </w:rPr>
        <w:t xml:space="preserve"> </w:t>
      </w:r>
      <w:r w:rsidRPr="00DC18FB">
        <w:rPr>
          <w:iCs/>
          <w:lang w:eastAsia="ar-SA"/>
        </w:rPr>
        <w:t xml:space="preserve">– </w:t>
      </w:r>
      <w:r w:rsidRPr="00DC18FB">
        <w:rPr>
          <w:b/>
          <w:bCs/>
          <w:iCs/>
          <w:lang w:eastAsia="ar-SA"/>
        </w:rPr>
        <w:t>Teikėjas</w:t>
      </w:r>
    </w:p>
    <w:p w14:paraId="3759ADB5" w14:textId="77777777" w:rsidR="005D1255" w:rsidRPr="00DC18FB" w:rsidRDefault="005D1255" w:rsidP="00DC18FB">
      <w:pPr>
        <w:suppressAutoHyphens/>
        <w:ind w:right="-83"/>
        <w:contextualSpacing/>
        <w:jc w:val="both"/>
        <w:rPr>
          <w:bCs/>
          <w:lang w:eastAsia="ar-SA"/>
        </w:rPr>
      </w:pPr>
    </w:p>
    <w:p w14:paraId="0669D96A" w14:textId="44231622" w:rsidR="005D1255" w:rsidRPr="00DC18FB" w:rsidRDefault="005D1255" w:rsidP="00DC18FB">
      <w:pPr>
        <w:tabs>
          <w:tab w:val="left" w:pos="720"/>
        </w:tabs>
        <w:suppressAutoHyphens/>
        <w:ind w:right="-83"/>
        <w:contextualSpacing/>
        <w:rPr>
          <w:lang w:eastAsia="ar-SA"/>
        </w:rPr>
      </w:pPr>
      <w:r w:rsidRPr="00DC18FB">
        <w:rPr>
          <w:lang w:eastAsia="ar-SA"/>
        </w:rPr>
        <w:t xml:space="preserve">ir abi kartu vadinamos </w:t>
      </w:r>
      <w:r w:rsidRPr="00DC18FB">
        <w:rPr>
          <w:b/>
          <w:bCs/>
          <w:lang w:eastAsia="ar-SA"/>
        </w:rPr>
        <w:t xml:space="preserve">Šalimis </w:t>
      </w:r>
      <w:r w:rsidRPr="00DC18FB">
        <w:rPr>
          <w:lang w:eastAsia="ar-SA"/>
        </w:rPr>
        <w:t>sudarė šią paslaugų teikimo sutartį (toliau</w:t>
      </w:r>
      <w:r w:rsidR="0019378B" w:rsidRPr="00DC18FB">
        <w:rPr>
          <w:lang w:eastAsia="ar-SA"/>
        </w:rPr>
        <w:t xml:space="preserve"> – </w:t>
      </w:r>
      <w:r w:rsidRPr="00DC18FB">
        <w:rPr>
          <w:lang w:eastAsia="ar-SA"/>
        </w:rPr>
        <w:t>Sutartis):</w:t>
      </w:r>
    </w:p>
    <w:p w14:paraId="25C67720" w14:textId="77777777" w:rsidR="005D1255" w:rsidRPr="00DC18FB" w:rsidRDefault="005D1255" w:rsidP="00DC18FB">
      <w:pPr>
        <w:tabs>
          <w:tab w:val="left" w:pos="720"/>
        </w:tabs>
        <w:suppressAutoHyphens/>
        <w:ind w:right="-83"/>
        <w:contextualSpacing/>
        <w:rPr>
          <w:lang w:eastAsia="ar-SA"/>
        </w:rPr>
      </w:pPr>
    </w:p>
    <w:p w14:paraId="022D9B06" w14:textId="77777777" w:rsidR="005D1255" w:rsidRPr="00DC18FB" w:rsidRDefault="005D1255" w:rsidP="00DF6209">
      <w:pPr>
        <w:contextualSpacing/>
        <w:jc w:val="center"/>
        <w:rPr>
          <w:b/>
        </w:rPr>
      </w:pPr>
      <w:r w:rsidRPr="00DC18FB">
        <w:rPr>
          <w:b/>
        </w:rPr>
        <w:t>I SKYRIUS</w:t>
      </w:r>
    </w:p>
    <w:p w14:paraId="2AA0F35F" w14:textId="77777777" w:rsidR="005D1255" w:rsidRPr="00DC18FB" w:rsidRDefault="005D1255" w:rsidP="00DF6209">
      <w:pPr>
        <w:contextualSpacing/>
        <w:jc w:val="center"/>
        <w:rPr>
          <w:b/>
        </w:rPr>
      </w:pPr>
      <w:r w:rsidRPr="00DC18FB">
        <w:rPr>
          <w:b/>
        </w:rPr>
        <w:t>SUTARTIES OBJEKTAS</w:t>
      </w:r>
    </w:p>
    <w:p w14:paraId="0C15FAC7" w14:textId="77777777" w:rsidR="008B5C1F" w:rsidRPr="00DC18FB" w:rsidRDefault="008B5C1F" w:rsidP="00DC18FB">
      <w:pPr>
        <w:ind w:left="720"/>
        <w:contextualSpacing/>
        <w:jc w:val="center"/>
        <w:rPr>
          <w:b/>
        </w:rPr>
      </w:pPr>
    </w:p>
    <w:p w14:paraId="59322107" w14:textId="2618900D" w:rsidR="008B5C1F" w:rsidRPr="00DC18FB" w:rsidRDefault="000115A1"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Pirkimo objektas </w:t>
      </w:r>
      <w:r w:rsidR="0019378B" w:rsidRPr="00DC18FB">
        <w:rPr>
          <w:rFonts w:ascii="Times New Roman" w:hAnsi="Times New Roman" w:cs="Times New Roman"/>
          <w:lang w:eastAsia="ar-SA"/>
        </w:rPr>
        <w:t>–</w:t>
      </w:r>
      <w:r w:rsidRPr="00DC18FB">
        <w:rPr>
          <w:rFonts w:ascii="Times New Roman" w:hAnsi="Times New Roman" w:cs="Times New Roman"/>
        </w:rPr>
        <w:t xml:space="preserve"> Kibernetinio saugumo vadovo ir saugos įgaliotinio funkcijų vykdymo paslaugos (toliau – </w:t>
      </w:r>
      <w:r w:rsidR="00724982" w:rsidRPr="00DC18FB">
        <w:rPr>
          <w:rFonts w:ascii="Times New Roman" w:hAnsi="Times New Roman" w:cs="Times New Roman"/>
        </w:rPr>
        <w:t>p</w:t>
      </w:r>
      <w:r w:rsidRPr="00DC18FB">
        <w:rPr>
          <w:rFonts w:ascii="Times New Roman" w:hAnsi="Times New Roman" w:cs="Times New Roman"/>
        </w:rPr>
        <w:t>aslaug</w:t>
      </w:r>
      <w:r w:rsidR="00D872F4" w:rsidRPr="00DC18FB">
        <w:rPr>
          <w:rFonts w:ascii="Times New Roman" w:hAnsi="Times New Roman" w:cs="Times New Roman"/>
        </w:rPr>
        <w:t>os</w:t>
      </w:r>
      <w:r w:rsidRPr="00DC18FB">
        <w:rPr>
          <w:rFonts w:ascii="Times New Roman" w:hAnsi="Times New Roman" w:cs="Times New Roman"/>
        </w:rPr>
        <w:t>), atitinkan</w:t>
      </w:r>
      <w:r w:rsidR="00D872F4" w:rsidRPr="00DC18FB">
        <w:rPr>
          <w:rFonts w:ascii="Times New Roman" w:hAnsi="Times New Roman" w:cs="Times New Roman"/>
        </w:rPr>
        <w:t>čios</w:t>
      </w:r>
      <w:r w:rsidRPr="00DC18FB">
        <w:rPr>
          <w:rFonts w:ascii="Times New Roman" w:hAnsi="Times New Roman" w:cs="Times New Roman"/>
        </w:rPr>
        <w:t xml:space="preserve"> šios Sutarties 1 priede išdėstytus reikalavimus.</w:t>
      </w:r>
    </w:p>
    <w:p w14:paraId="12F3AE40" w14:textId="3BF32699" w:rsidR="008B5C1F" w:rsidRPr="00DC18FB" w:rsidRDefault="005D1255"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Šia </w:t>
      </w:r>
      <w:r w:rsidR="0019378B" w:rsidRPr="00DC18FB">
        <w:rPr>
          <w:rFonts w:ascii="Times New Roman" w:hAnsi="Times New Roman" w:cs="Times New Roman"/>
        </w:rPr>
        <w:t>S</w:t>
      </w:r>
      <w:r w:rsidRPr="00DC18FB">
        <w:rPr>
          <w:rFonts w:ascii="Times New Roman" w:hAnsi="Times New Roman" w:cs="Times New Roman"/>
        </w:rPr>
        <w:t>utartimi Teikėjas suteikia Gavėjui</w:t>
      </w:r>
      <w:r w:rsidR="00B26E2A" w:rsidRPr="00DC18FB">
        <w:rPr>
          <w:rFonts w:ascii="Times New Roman" w:hAnsi="Times New Roman" w:cs="Times New Roman"/>
        </w:rPr>
        <w:t xml:space="preserve"> </w:t>
      </w:r>
      <w:r w:rsidR="00724982" w:rsidRPr="00DC18FB">
        <w:rPr>
          <w:rFonts w:ascii="Times New Roman" w:hAnsi="Times New Roman" w:cs="Times New Roman"/>
        </w:rPr>
        <w:t>p</w:t>
      </w:r>
      <w:r w:rsidR="00B26E2A" w:rsidRPr="00DC18FB">
        <w:rPr>
          <w:rFonts w:ascii="Times New Roman" w:hAnsi="Times New Roman" w:cs="Times New Roman"/>
        </w:rPr>
        <w:t>aslaugas</w:t>
      </w:r>
      <w:r w:rsidRPr="00DC18FB">
        <w:rPr>
          <w:rFonts w:ascii="Times New Roman" w:hAnsi="Times New Roman" w:cs="Times New Roman"/>
        </w:rPr>
        <w:t xml:space="preserve">, o Gavėjas įsipareigoja mokėti Sutarties </w:t>
      </w:r>
      <w:r w:rsidR="001452A2" w:rsidRPr="00DC18FB">
        <w:rPr>
          <w:rFonts w:ascii="Times New Roman" w:hAnsi="Times New Roman" w:cs="Times New Roman"/>
        </w:rPr>
        <w:t>5</w:t>
      </w:r>
      <w:r w:rsidR="00B26E2A" w:rsidRPr="00DC18FB">
        <w:rPr>
          <w:rFonts w:ascii="Times New Roman" w:hAnsi="Times New Roman" w:cs="Times New Roman"/>
        </w:rPr>
        <w:t xml:space="preserve"> </w:t>
      </w:r>
      <w:r w:rsidR="00724982" w:rsidRPr="00DC18FB">
        <w:rPr>
          <w:rFonts w:ascii="Times New Roman" w:hAnsi="Times New Roman" w:cs="Times New Roman"/>
        </w:rPr>
        <w:t>punkte</w:t>
      </w:r>
      <w:r w:rsidRPr="00DC18FB">
        <w:rPr>
          <w:rFonts w:ascii="Times New Roman" w:hAnsi="Times New Roman" w:cs="Times New Roman"/>
        </w:rPr>
        <w:t xml:space="preserve"> nurodytą paslaugų teikimo mokestį Sutartyje nustatytais terminais ir tvarka.</w:t>
      </w:r>
    </w:p>
    <w:p w14:paraId="5EA04C3F" w14:textId="45ACD852" w:rsidR="005D1255" w:rsidRPr="00DC18FB" w:rsidRDefault="005D1255"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Šalys susitaria, kad Teikėjas teikia </w:t>
      </w:r>
      <w:r w:rsidR="00B26E2A" w:rsidRPr="00DC18FB">
        <w:rPr>
          <w:rFonts w:ascii="Times New Roman" w:hAnsi="Times New Roman" w:cs="Times New Roman"/>
        </w:rPr>
        <w:t xml:space="preserve">Gavėjui </w:t>
      </w:r>
      <w:r w:rsidR="00724982" w:rsidRPr="00DC18FB">
        <w:rPr>
          <w:rFonts w:ascii="Times New Roman" w:hAnsi="Times New Roman" w:cs="Times New Roman"/>
        </w:rPr>
        <w:t>p</w:t>
      </w:r>
      <w:r w:rsidR="00B26E2A" w:rsidRPr="00DC18FB">
        <w:rPr>
          <w:rFonts w:ascii="Times New Roman" w:hAnsi="Times New Roman" w:cs="Times New Roman"/>
        </w:rPr>
        <w:t xml:space="preserve">aslaugas </w:t>
      </w:r>
      <w:r w:rsidRPr="00DC18FB">
        <w:rPr>
          <w:rFonts w:ascii="Times New Roman" w:hAnsi="Times New Roman" w:cs="Times New Roman"/>
        </w:rPr>
        <w:t>nuo Sutarties pasirašymo dienos.</w:t>
      </w:r>
    </w:p>
    <w:p w14:paraId="469A01ED" w14:textId="77777777" w:rsidR="005D1255" w:rsidRPr="00DC18FB" w:rsidRDefault="005D1255" w:rsidP="00DC18FB">
      <w:pPr>
        <w:contextualSpacing/>
        <w:jc w:val="both"/>
      </w:pPr>
    </w:p>
    <w:p w14:paraId="1D48B04D" w14:textId="77777777" w:rsidR="005D1255" w:rsidRPr="00DC18FB" w:rsidRDefault="005D1255" w:rsidP="00DF6209">
      <w:pPr>
        <w:contextualSpacing/>
        <w:jc w:val="center"/>
        <w:rPr>
          <w:b/>
        </w:rPr>
      </w:pPr>
      <w:r w:rsidRPr="00DC18FB">
        <w:rPr>
          <w:b/>
        </w:rPr>
        <w:t>II SKYRIUS</w:t>
      </w:r>
    </w:p>
    <w:p w14:paraId="08A02D3A" w14:textId="23CDB80F" w:rsidR="005D1255" w:rsidRPr="00DC18FB" w:rsidRDefault="002B0AF4" w:rsidP="00DF6209">
      <w:pPr>
        <w:contextualSpacing/>
        <w:jc w:val="center"/>
        <w:rPr>
          <w:b/>
        </w:rPr>
      </w:pPr>
      <w:r w:rsidRPr="00DC18FB">
        <w:rPr>
          <w:b/>
        </w:rPr>
        <w:t xml:space="preserve">SUTARTIES KAINA IR </w:t>
      </w:r>
      <w:r w:rsidR="005D1255" w:rsidRPr="00DC18FB">
        <w:rPr>
          <w:b/>
        </w:rPr>
        <w:t>ATSISKAITYMO TVARKA</w:t>
      </w:r>
    </w:p>
    <w:p w14:paraId="059878F8" w14:textId="77777777" w:rsidR="008B5C1F" w:rsidRPr="00DC18FB" w:rsidRDefault="008B5C1F" w:rsidP="00DC18FB">
      <w:pPr>
        <w:ind w:left="720"/>
        <w:contextualSpacing/>
        <w:jc w:val="center"/>
        <w:rPr>
          <w:b/>
        </w:rPr>
      </w:pPr>
    </w:p>
    <w:p w14:paraId="660574EC" w14:textId="173E1F77" w:rsidR="008B5C1F" w:rsidRPr="00DC18FB" w:rsidRDefault="005D1255"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Gavėjas </w:t>
      </w:r>
      <w:r w:rsidRPr="00DC18FB">
        <w:rPr>
          <w:rFonts w:ascii="Times New Roman" w:hAnsi="Times New Roman" w:cs="Times New Roman"/>
          <w:lang w:eastAsia="ar-SA"/>
        </w:rPr>
        <w:t xml:space="preserve">įsipareigoja </w:t>
      </w:r>
      <w:r w:rsidRPr="00DC18FB">
        <w:rPr>
          <w:rFonts w:ascii="Times New Roman" w:hAnsi="Times New Roman" w:cs="Times New Roman"/>
        </w:rPr>
        <w:t xml:space="preserve">mokėti Teikėjui už </w:t>
      </w:r>
      <w:r w:rsidR="00724982" w:rsidRPr="00DC18FB">
        <w:rPr>
          <w:rFonts w:ascii="Times New Roman" w:hAnsi="Times New Roman" w:cs="Times New Roman"/>
        </w:rPr>
        <w:t>p</w:t>
      </w:r>
      <w:r w:rsidRPr="00DC18FB">
        <w:rPr>
          <w:rFonts w:ascii="Times New Roman" w:hAnsi="Times New Roman" w:cs="Times New Roman"/>
        </w:rPr>
        <w:t xml:space="preserve">aslaugas </w:t>
      </w:r>
      <w:r w:rsidR="00F620E3" w:rsidRPr="00DC18FB">
        <w:rPr>
          <w:rFonts w:ascii="Times New Roman" w:hAnsi="Times New Roman" w:cs="Times New Roman"/>
        </w:rPr>
        <w:t xml:space="preserve">Sutarties </w:t>
      </w:r>
      <w:r w:rsidR="001452A2" w:rsidRPr="00DC18FB">
        <w:rPr>
          <w:rFonts w:ascii="Times New Roman" w:hAnsi="Times New Roman" w:cs="Times New Roman"/>
        </w:rPr>
        <w:t>5</w:t>
      </w:r>
      <w:r w:rsidR="00590C1C" w:rsidRPr="00DC18FB">
        <w:rPr>
          <w:rFonts w:ascii="Times New Roman" w:hAnsi="Times New Roman" w:cs="Times New Roman"/>
        </w:rPr>
        <w:t xml:space="preserve"> punkte</w:t>
      </w:r>
      <w:r w:rsidRPr="00DC18FB">
        <w:rPr>
          <w:rFonts w:ascii="Times New Roman" w:hAnsi="Times New Roman" w:cs="Times New Roman"/>
        </w:rPr>
        <w:t xml:space="preserve"> nurodytą paslaugų teikimo mokestį.</w:t>
      </w:r>
    </w:p>
    <w:p w14:paraId="272AAD3B" w14:textId="08D4683A" w:rsidR="00F620E3" w:rsidRPr="00DC18FB" w:rsidRDefault="005D1255"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lang w:eastAsia="ar-SA"/>
        </w:rPr>
        <w:t xml:space="preserve">Gavėjas už suteiktas </w:t>
      </w:r>
      <w:r w:rsidR="00724982" w:rsidRPr="00DC18FB">
        <w:rPr>
          <w:rFonts w:ascii="Times New Roman" w:hAnsi="Times New Roman" w:cs="Times New Roman"/>
          <w:lang w:eastAsia="ar-SA"/>
        </w:rPr>
        <w:t>p</w:t>
      </w:r>
      <w:r w:rsidRPr="00DC18FB">
        <w:rPr>
          <w:rFonts w:ascii="Times New Roman" w:hAnsi="Times New Roman" w:cs="Times New Roman"/>
          <w:lang w:eastAsia="ar-SA"/>
        </w:rPr>
        <w:t xml:space="preserve">aslaugas Teikėjui moka </w:t>
      </w:r>
      <w:r w:rsidR="00592B74">
        <w:rPr>
          <w:rFonts w:ascii="Times New Roman" w:hAnsi="Times New Roman" w:cs="Times New Roman"/>
          <w:lang w:eastAsia="ar-SA"/>
        </w:rPr>
        <w:t>................</w:t>
      </w:r>
      <w:r w:rsidRPr="00592B74">
        <w:rPr>
          <w:rFonts w:ascii="Times New Roman" w:hAnsi="Times New Roman" w:cs="Times New Roman"/>
          <w:lang w:eastAsia="ar-SA"/>
        </w:rPr>
        <w:t xml:space="preserve"> </w:t>
      </w:r>
      <w:proofErr w:type="spellStart"/>
      <w:r w:rsidRPr="00592B74">
        <w:rPr>
          <w:rFonts w:ascii="Times New Roman" w:hAnsi="Times New Roman" w:cs="Times New Roman"/>
          <w:lang w:eastAsia="ar-SA"/>
        </w:rPr>
        <w:t>Eur</w:t>
      </w:r>
      <w:proofErr w:type="spellEnd"/>
      <w:r w:rsidRPr="00592B74">
        <w:rPr>
          <w:rFonts w:ascii="Times New Roman" w:hAnsi="Times New Roman" w:cs="Times New Roman"/>
          <w:lang w:eastAsia="ar-SA"/>
        </w:rPr>
        <w:t xml:space="preserve"> (</w:t>
      </w:r>
      <w:r w:rsidR="00592B74">
        <w:rPr>
          <w:rFonts w:ascii="Times New Roman" w:hAnsi="Times New Roman" w:cs="Times New Roman"/>
          <w:lang w:eastAsia="ar-SA"/>
        </w:rPr>
        <w:t>..........</w:t>
      </w:r>
      <w:r w:rsidRPr="00592B74">
        <w:rPr>
          <w:rFonts w:ascii="Times New Roman" w:hAnsi="Times New Roman" w:cs="Times New Roman"/>
          <w:lang w:eastAsia="ar-SA"/>
        </w:rPr>
        <w:t>Eur</w:t>
      </w:r>
      <w:r w:rsidR="00592B74">
        <w:rPr>
          <w:rFonts w:ascii="Times New Roman" w:hAnsi="Times New Roman" w:cs="Times New Roman"/>
          <w:lang w:eastAsia="ar-SA"/>
        </w:rPr>
        <w:t>ų</w:t>
      </w:r>
      <w:r w:rsidRPr="00592B74">
        <w:rPr>
          <w:rFonts w:ascii="Times New Roman" w:hAnsi="Times New Roman" w:cs="Times New Roman"/>
          <w:lang w:eastAsia="ar-SA"/>
        </w:rPr>
        <w:t>,</w:t>
      </w:r>
      <w:r w:rsidR="00592B74">
        <w:rPr>
          <w:rFonts w:ascii="Times New Roman" w:hAnsi="Times New Roman" w:cs="Times New Roman"/>
          <w:lang w:eastAsia="ar-SA"/>
        </w:rPr>
        <w:t xml:space="preserve"> .........</w:t>
      </w:r>
      <w:r w:rsidR="00AE344D" w:rsidRPr="00592B74">
        <w:rPr>
          <w:rFonts w:ascii="Times New Roman" w:hAnsi="Times New Roman" w:cs="Times New Roman"/>
          <w:lang w:eastAsia="ar-SA"/>
        </w:rPr>
        <w:t>c</w:t>
      </w:r>
      <w:r w:rsidRPr="00592B74">
        <w:rPr>
          <w:rFonts w:ascii="Times New Roman" w:hAnsi="Times New Roman" w:cs="Times New Roman"/>
          <w:lang w:eastAsia="ar-SA"/>
        </w:rPr>
        <w:t>entų) per</w:t>
      </w:r>
      <w:r w:rsidRPr="00DC18FB">
        <w:rPr>
          <w:rFonts w:ascii="Times New Roman" w:hAnsi="Times New Roman" w:cs="Times New Roman"/>
          <w:lang w:eastAsia="ar-SA"/>
        </w:rPr>
        <w:t xml:space="preserve"> mėnesį paslaugų teikimo mokestį, kuri perveda į Teikėjo banko sąskaitą, pagal Te</w:t>
      </w:r>
      <w:r w:rsidR="00C51B32">
        <w:rPr>
          <w:rFonts w:ascii="Times New Roman" w:hAnsi="Times New Roman" w:cs="Times New Roman"/>
          <w:lang w:eastAsia="ar-SA"/>
        </w:rPr>
        <w:t>i</w:t>
      </w:r>
      <w:r w:rsidRPr="00DC18FB">
        <w:rPr>
          <w:rFonts w:ascii="Times New Roman" w:hAnsi="Times New Roman" w:cs="Times New Roman"/>
          <w:lang w:eastAsia="ar-SA"/>
        </w:rPr>
        <w:t xml:space="preserve">kėjo iki sekančio mėnesio 10 d. pateiktą </w:t>
      </w:r>
      <w:r w:rsidR="00341675" w:rsidRPr="00DC18FB">
        <w:rPr>
          <w:rFonts w:ascii="Times New Roman" w:hAnsi="Times New Roman" w:cs="Times New Roman"/>
        </w:rPr>
        <w:t xml:space="preserve">PVM </w:t>
      </w:r>
      <w:r w:rsidRPr="00DC18FB">
        <w:rPr>
          <w:rFonts w:ascii="Times New Roman" w:hAnsi="Times New Roman" w:cs="Times New Roman"/>
          <w:lang w:eastAsia="ar-SA"/>
        </w:rPr>
        <w:t>sąskaitą-faktūrą.</w:t>
      </w:r>
      <w:r w:rsidR="001E78B1" w:rsidRPr="00DC18FB">
        <w:rPr>
          <w:rFonts w:ascii="Times New Roman" w:hAnsi="Times New Roman" w:cs="Times New Roman"/>
          <w:lang w:eastAsia="ar-SA"/>
        </w:rPr>
        <w:t xml:space="preserve"> </w:t>
      </w:r>
    </w:p>
    <w:p w14:paraId="0AEC5572" w14:textId="66C67418" w:rsidR="008B5C1F" w:rsidRPr="00DC18FB" w:rsidRDefault="001E78B1"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lang w:eastAsia="ar-SA"/>
        </w:rPr>
        <w:t xml:space="preserve">Kiekvieną </w:t>
      </w:r>
      <w:r w:rsidR="008B5C1F" w:rsidRPr="00DC18FB">
        <w:rPr>
          <w:rFonts w:ascii="Times New Roman" w:hAnsi="Times New Roman" w:cs="Times New Roman"/>
          <w:lang w:eastAsia="ar-SA"/>
        </w:rPr>
        <w:t>Te</w:t>
      </w:r>
      <w:r w:rsidR="00C51B32">
        <w:rPr>
          <w:rFonts w:ascii="Times New Roman" w:hAnsi="Times New Roman" w:cs="Times New Roman"/>
          <w:lang w:eastAsia="ar-SA"/>
        </w:rPr>
        <w:t>i</w:t>
      </w:r>
      <w:r w:rsidR="008B5C1F" w:rsidRPr="00DC18FB">
        <w:rPr>
          <w:rFonts w:ascii="Times New Roman" w:hAnsi="Times New Roman" w:cs="Times New Roman"/>
          <w:lang w:eastAsia="ar-SA"/>
        </w:rPr>
        <w:t>kėjo</w:t>
      </w:r>
      <w:r w:rsidRPr="00DC18FB">
        <w:rPr>
          <w:rFonts w:ascii="Times New Roman" w:hAnsi="Times New Roman" w:cs="Times New Roman"/>
          <w:lang w:eastAsia="ar-SA"/>
        </w:rPr>
        <w:t xml:space="preserve"> pateiktą sąskaitą </w:t>
      </w:r>
      <w:r w:rsidR="008B5C1F" w:rsidRPr="00DC18FB">
        <w:rPr>
          <w:rFonts w:ascii="Times New Roman" w:hAnsi="Times New Roman" w:cs="Times New Roman"/>
          <w:lang w:eastAsia="ar-SA"/>
        </w:rPr>
        <w:t>Gavėjas</w:t>
      </w:r>
      <w:r w:rsidRPr="00DC18FB">
        <w:rPr>
          <w:rFonts w:ascii="Times New Roman" w:hAnsi="Times New Roman" w:cs="Times New Roman"/>
          <w:lang w:eastAsia="ar-SA"/>
        </w:rPr>
        <w:t xml:space="preserve"> apmoka ne vėliau kaip per 30 (trisdešimt) kalendorinių dienų nuo tos </w:t>
      </w:r>
      <w:r w:rsidR="00341675" w:rsidRPr="00DC18FB">
        <w:rPr>
          <w:rFonts w:ascii="Times New Roman" w:hAnsi="Times New Roman" w:cs="Times New Roman"/>
        </w:rPr>
        <w:t xml:space="preserve">PVM </w:t>
      </w:r>
      <w:r w:rsidRPr="00DC18FB">
        <w:rPr>
          <w:rFonts w:ascii="Times New Roman" w:hAnsi="Times New Roman" w:cs="Times New Roman"/>
          <w:lang w:eastAsia="ar-SA"/>
        </w:rPr>
        <w:t>sąskaitos-faktūros</w:t>
      </w:r>
      <w:r w:rsidR="008B5C1F" w:rsidRPr="00DC18FB">
        <w:rPr>
          <w:rFonts w:ascii="Times New Roman" w:hAnsi="Times New Roman" w:cs="Times New Roman"/>
          <w:lang w:eastAsia="ar-SA"/>
        </w:rPr>
        <w:t xml:space="preserve"> </w:t>
      </w:r>
      <w:r w:rsidRPr="00DC18FB">
        <w:rPr>
          <w:rFonts w:ascii="Times New Roman" w:hAnsi="Times New Roman" w:cs="Times New Roman"/>
          <w:lang w:eastAsia="ar-SA"/>
        </w:rPr>
        <w:t xml:space="preserve">gavimo dienos, atliekant mokėjimo pavedimą </w:t>
      </w:r>
      <w:r w:rsidR="008B5C1F" w:rsidRPr="00DC18FB">
        <w:rPr>
          <w:rFonts w:ascii="Times New Roman" w:hAnsi="Times New Roman" w:cs="Times New Roman"/>
          <w:lang w:eastAsia="ar-SA"/>
        </w:rPr>
        <w:t>Te</w:t>
      </w:r>
      <w:r w:rsidR="00C51B32">
        <w:rPr>
          <w:rFonts w:ascii="Times New Roman" w:hAnsi="Times New Roman" w:cs="Times New Roman"/>
          <w:lang w:eastAsia="ar-SA"/>
        </w:rPr>
        <w:t>i</w:t>
      </w:r>
      <w:r w:rsidR="008B5C1F" w:rsidRPr="00DC18FB">
        <w:rPr>
          <w:rFonts w:ascii="Times New Roman" w:hAnsi="Times New Roman" w:cs="Times New Roman"/>
          <w:lang w:eastAsia="ar-SA"/>
        </w:rPr>
        <w:t>kėjui</w:t>
      </w:r>
      <w:r w:rsidRPr="00DC18FB">
        <w:rPr>
          <w:rFonts w:ascii="Times New Roman" w:hAnsi="Times New Roman" w:cs="Times New Roman"/>
          <w:lang w:eastAsia="ar-SA"/>
        </w:rPr>
        <w:t xml:space="preserve"> į žemiau šioje </w:t>
      </w:r>
      <w:r w:rsidR="008B5C1F" w:rsidRPr="00DC18FB">
        <w:rPr>
          <w:rFonts w:ascii="Times New Roman" w:hAnsi="Times New Roman" w:cs="Times New Roman"/>
          <w:lang w:eastAsia="ar-SA"/>
        </w:rPr>
        <w:t>S</w:t>
      </w:r>
      <w:r w:rsidRPr="00DC18FB">
        <w:rPr>
          <w:rFonts w:ascii="Times New Roman" w:hAnsi="Times New Roman" w:cs="Times New Roman"/>
          <w:lang w:eastAsia="ar-SA"/>
        </w:rPr>
        <w:t>utartyje</w:t>
      </w:r>
      <w:r w:rsidR="008B5C1F" w:rsidRPr="00DC18FB">
        <w:rPr>
          <w:rFonts w:ascii="Times New Roman" w:hAnsi="Times New Roman" w:cs="Times New Roman"/>
          <w:lang w:eastAsia="ar-SA"/>
        </w:rPr>
        <w:t xml:space="preserve"> </w:t>
      </w:r>
      <w:r w:rsidRPr="00DC18FB">
        <w:rPr>
          <w:rFonts w:ascii="Times New Roman" w:hAnsi="Times New Roman" w:cs="Times New Roman"/>
          <w:lang w:eastAsia="ar-SA"/>
        </w:rPr>
        <w:t xml:space="preserve">nurodytą </w:t>
      </w:r>
      <w:r w:rsidR="008B5C1F" w:rsidRPr="00DC18FB">
        <w:rPr>
          <w:rFonts w:ascii="Times New Roman" w:hAnsi="Times New Roman" w:cs="Times New Roman"/>
          <w:lang w:eastAsia="ar-SA"/>
        </w:rPr>
        <w:t>Teikėjo</w:t>
      </w:r>
      <w:r w:rsidRPr="00DC18FB">
        <w:rPr>
          <w:rFonts w:ascii="Times New Roman" w:hAnsi="Times New Roman" w:cs="Times New Roman"/>
          <w:lang w:eastAsia="ar-SA"/>
        </w:rPr>
        <w:t xml:space="preserve"> banko sąskaitą</w:t>
      </w:r>
      <w:r w:rsidR="00BC7F4C" w:rsidRPr="00DC18FB">
        <w:rPr>
          <w:rFonts w:ascii="Times New Roman" w:hAnsi="Times New Roman" w:cs="Times New Roman"/>
          <w:lang w:eastAsia="ar-SA"/>
        </w:rPr>
        <w:t>.</w:t>
      </w:r>
    </w:p>
    <w:p w14:paraId="44A2F1AA" w14:textId="349A6D8C" w:rsidR="008B5C1F" w:rsidRPr="00DC18FB" w:rsidRDefault="005D1255"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Sutarties </w:t>
      </w:r>
      <w:r w:rsidR="001452A2" w:rsidRPr="00DC18FB">
        <w:rPr>
          <w:rFonts w:ascii="Times New Roman" w:hAnsi="Times New Roman" w:cs="Times New Roman"/>
        </w:rPr>
        <w:t>5</w:t>
      </w:r>
      <w:r w:rsidRPr="00DC18FB">
        <w:rPr>
          <w:rFonts w:ascii="Times New Roman" w:hAnsi="Times New Roman" w:cs="Times New Roman"/>
        </w:rPr>
        <w:t xml:space="preserve"> </w:t>
      </w:r>
      <w:r w:rsidR="00590C1C" w:rsidRPr="00DC18FB">
        <w:rPr>
          <w:rFonts w:ascii="Times New Roman" w:hAnsi="Times New Roman" w:cs="Times New Roman"/>
        </w:rPr>
        <w:t>punkte</w:t>
      </w:r>
      <w:r w:rsidRPr="00DC18FB">
        <w:rPr>
          <w:rFonts w:ascii="Times New Roman" w:hAnsi="Times New Roman" w:cs="Times New Roman"/>
        </w:rPr>
        <w:t xml:space="preserve"> nurodyta paslaugų teikimo mokesčio suma yra f</w:t>
      </w:r>
      <w:r w:rsidRPr="00DC18FB">
        <w:rPr>
          <w:rFonts w:ascii="Times New Roman" w:hAnsi="Times New Roman" w:cs="Times New Roman"/>
          <w:w w:val="104"/>
        </w:rPr>
        <w:t>i</w:t>
      </w:r>
      <w:r w:rsidRPr="00DC18FB">
        <w:rPr>
          <w:rFonts w:ascii="Times New Roman" w:hAnsi="Times New Roman" w:cs="Times New Roman"/>
          <w:w w:val="103"/>
        </w:rPr>
        <w:t>ksu</w:t>
      </w:r>
      <w:r w:rsidRPr="00DC18FB">
        <w:rPr>
          <w:rFonts w:ascii="Times New Roman" w:hAnsi="Times New Roman" w:cs="Times New Roman"/>
          <w:w w:val="104"/>
        </w:rPr>
        <w:t>o</w:t>
      </w:r>
      <w:r w:rsidRPr="00DC18FB">
        <w:rPr>
          <w:rFonts w:ascii="Times New Roman" w:hAnsi="Times New Roman" w:cs="Times New Roman"/>
          <w:w w:val="103"/>
        </w:rPr>
        <w:t>t</w:t>
      </w:r>
      <w:r w:rsidRPr="00DC18FB">
        <w:rPr>
          <w:rFonts w:ascii="Times New Roman" w:hAnsi="Times New Roman" w:cs="Times New Roman"/>
          <w:w w:val="104"/>
        </w:rPr>
        <w:t xml:space="preserve">a ir ji </w:t>
      </w:r>
      <w:r w:rsidRPr="00DC18FB">
        <w:rPr>
          <w:rFonts w:ascii="Times New Roman" w:hAnsi="Times New Roman" w:cs="Times New Roman"/>
        </w:rPr>
        <w:t xml:space="preserve">nebus keičiama </w:t>
      </w:r>
      <w:r w:rsidRPr="00DC18FB">
        <w:rPr>
          <w:rFonts w:ascii="Times New Roman" w:hAnsi="Times New Roman" w:cs="Times New Roman"/>
          <w:w w:val="103"/>
        </w:rPr>
        <w:t>v</w:t>
      </w:r>
      <w:r w:rsidRPr="00DC18FB">
        <w:rPr>
          <w:rFonts w:ascii="Times New Roman" w:hAnsi="Times New Roman" w:cs="Times New Roman"/>
          <w:w w:val="104"/>
        </w:rPr>
        <w:t>i</w:t>
      </w:r>
      <w:r w:rsidRPr="00DC18FB">
        <w:rPr>
          <w:rFonts w:ascii="Times New Roman" w:hAnsi="Times New Roman" w:cs="Times New Roman"/>
          <w:w w:val="103"/>
        </w:rPr>
        <w:t>s</w:t>
      </w:r>
      <w:r w:rsidRPr="00DC18FB">
        <w:rPr>
          <w:rFonts w:ascii="Times New Roman" w:hAnsi="Times New Roman" w:cs="Times New Roman"/>
          <w:w w:val="104"/>
        </w:rPr>
        <w:t>ą</w:t>
      </w:r>
      <w:r w:rsidRPr="00DC18FB">
        <w:rPr>
          <w:rFonts w:ascii="Times New Roman" w:hAnsi="Times New Roman" w:cs="Times New Roman"/>
        </w:rPr>
        <w:t xml:space="preserve"> </w:t>
      </w:r>
      <w:r w:rsidR="0019378B" w:rsidRPr="00DC18FB">
        <w:rPr>
          <w:rFonts w:ascii="Times New Roman" w:hAnsi="Times New Roman" w:cs="Times New Roman"/>
        </w:rPr>
        <w:t>S</w:t>
      </w:r>
      <w:r w:rsidRPr="00DC18FB">
        <w:rPr>
          <w:rFonts w:ascii="Times New Roman" w:hAnsi="Times New Roman" w:cs="Times New Roman"/>
        </w:rPr>
        <w:t xml:space="preserve">utarties galiojimo laikotarpį. Jei suma skaičiais neatitinka </w:t>
      </w:r>
      <w:r w:rsidRPr="00DC18FB">
        <w:rPr>
          <w:rFonts w:ascii="Times New Roman" w:hAnsi="Times New Roman" w:cs="Times New Roman"/>
          <w:w w:val="103"/>
        </w:rPr>
        <w:t>sum</w:t>
      </w:r>
      <w:r w:rsidRPr="00DC18FB">
        <w:rPr>
          <w:rFonts w:ascii="Times New Roman" w:hAnsi="Times New Roman" w:cs="Times New Roman"/>
          <w:w w:val="104"/>
        </w:rPr>
        <w:t>o</w:t>
      </w:r>
      <w:r w:rsidRPr="00DC18FB">
        <w:rPr>
          <w:rFonts w:ascii="Times New Roman" w:hAnsi="Times New Roman" w:cs="Times New Roman"/>
          <w:w w:val="103"/>
        </w:rPr>
        <w:t>s</w:t>
      </w:r>
      <w:r w:rsidRPr="00DC18FB">
        <w:rPr>
          <w:rFonts w:ascii="Times New Roman" w:hAnsi="Times New Roman" w:cs="Times New Roman"/>
        </w:rPr>
        <w:t xml:space="preserve"> žodžiais, teisinga laikoma suma </w:t>
      </w:r>
      <w:r w:rsidRPr="00DC18FB">
        <w:rPr>
          <w:rFonts w:ascii="Times New Roman" w:hAnsi="Times New Roman" w:cs="Times New Roman"/>
          <w:w w:val="103"/>
        </w:rPr>
        <w:t>ž</w:t>
      </w:r>
      <w:r w:rsidRPr="00DC18FB">
        <w:rPr>
          <w:rFonts w:ascii="Times New Roman" w:hAnsi="Times New Roman" w:cs="Times New Roman"/>
          <w:w w:val="104"/>
        </w:rPr>
        <w:t>o</w:t>
      </w:r>
      <w:r w:rsidRPr="00DC18FB">
        <w:rPr>
          <w:rFonts w:ascii="Times New Roman" w:hAnsi="Times New Roman" w:cs="Times New Roman"/>
          <w:w w:val="103"/>
        </w:rPr>
        <w:t>dž</w:t>
      </w:r>
      <w:r w:rsidRPr="00DC18FB">
        <w:rPr>
          <w:rFonts w:ascii="Times New Roman" w:hAnsi="Times New Roman" w:cs="Times New Roman"/>
          <w:w w:val="104"/>
        </w:rPr>
        <w:t>iai</w:t>
      </w:r>
      <w:r w:rsidRPr="00DC18FB">
        <w:rPr>
          <w:rFonts w:ascii="Times New Roman" w:hAnsi="Times New Roman" w:cs="Times New Roman"/>
          <w:w w:val="103"/>
        </w:rPr>
        <w:t>s</w:t>
      </w:r>
      <w:r w:rsidRPr="00DC18FB">
        <w:rPr>
          <w:rFonts w:ascii="Times New Roman" w:hAnsi="Times New Roman" w:cs="Times New Roman"/>
          <w:w w:val="104"/>
        </w:rPr>
        <w:t xml:space="preserve">. </w:t>
      </w:r>
    </w:p>
    <w:p w14:paraId="2D3D891D" w14:textId="77777777" w:rsidR="008B5C1F" w:rsidRPr="00DC18FB" w:rsidRDefault="005D1255"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Į Sutarties </w:t>
      </w:r>
      <w:r w:rsidRPr="00DC18FB">
        <w:rPr>
          <w:rFonts w:ascii="Times New Roman" w:hAnsi="Times New Roman" w:cs="Times New Roman"/>
          <w:w w:val="103"/>
        </w:rPr>
        <w:t>k</w:t>
      </w:r>
      <w:r w:rsidRPr="00DC18FB">
        <w:rPr>
          <w:rFonts w:ascii="Times New Roman" w:hAnsi="Times New Roman" w:cs="Times New Roman"/>
          <w:w w:val="104"/>
        </w:rPr>
        <w:t>ai</w:t>
      </w:r>
      <w:r w:rsidRPr="00DC18FB">
        <w:rPr>
          <w:rFonts w:ascii="Times New Roman" w:hAnsi="Times New Roman" w:cs="Times New Roman"/>
          <w:w w:val="103"/>
        </w:rPr>
        <w:t>n</w:t>
      </w:r>
      <w:r w:rsidRPr="00DC18FB">
        <w:rPr>
          <w:rFonts w:ascii="Times New Roman" w:hAnsi="Times New Roman" w:cs="Times New Roman"/>
          <w:w w:val="104"/>
        </w:rPr>
        <w:t>ą</w:t>
      </w:r>
      <w:r w:rsidRPr="00DC18FB">
        <w:rPr>
          <w:rFonts w:ascii="Times New Roman" w:hAnsi="Times New Roman" w:cs="Times New Roman"/>
        </w:rPr>
        <w:t xml:space="preserve"> įeina visi Teikėjo</w:t>
      </w:r>
      <w:r w:rsidRPr="00DC18FB">
        <w:rPr>
          <w:rFonts w:ascii="Times New Roman" w:hAnsi="Times New Roman" w:cs="Times New Roman"/>
          <w:w w:val="104"/>
        </w:rPr>
        <w:t xml:space="preserve"> </w:t>
      </w:r>
      <w:r w:rsidRPr="00DC18FB">
        <w:rPr>
          <w:rFonts w:ascii="Times New Roman" w:hAnsi="Times New Roman" w:cs="Times New Roman"/>
          <w:w w:val="103"/>
        </w:rPr>
        <w:t>mokami</w:t>
      </w:r>
      <w:r w:rsidRPr="00DC18FB">
        <w:rPr>
          <w:rFonts w:ascii="Times New Roman" w:hAnsi="Times New Roman" w:cs="Times New Roman"/>
        </w:rPr>
        <w:t xml:space="preserve"> mokesčiai ir visos </w:t>
      </w:r>
      <w:r w:rsidRPr="00DC18FB">
        <w:rPr>
          <w:rFonts w:ascii="Times New Roman" w:hAnsi="Times New Roman" w:cs="Times New Roman"/>
          <w:w w:val="103"/>
        </w:rPr>
        <w:t>Teikėjo</w:t>
      </w:r>
      <w:r w:rsidRPr="00DC18FB">
        <w:rPr>
          <w:rFonts w:ascii="Times New Roman" w:hAnsi="Times New Roman" w:cs="Times New Roman"/>
          <w:w w:val="104"/>
        </w:rPr>
        <w:t xml:space="preserve"> </w:t>
      </w:r>
      <w:r w:rsidRPr="00DC18FB">
        <w:rPr>
          <w:rFonts w:ascii="Times New Roman" w:hAnsi="Times New Roman" w:cs="Times New Roman"/>
        </w:rPr>
        <w:t xml:space="preserve">išlaidos, kurias jis patirs vykdydamas Sutartį. </w:t>
      </w:r>
    </w:p>
    <w:p w14:paraId="4F746DB5" w14:textId="77777777" w:rsidR="008B5C1F" w:rsidRPr="00DC18FB" w:rsidRDefault="002B0AF4"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Paslaugos finansuojamos iš valstybės biudžeto lėšų.</w:t>
      </w:r>
    </w:p>
    <w:p w14:paraId="0F0057C1" w14:textId="1CA85477" w:rsidR="008B5C1F" w:rsidRPr="00DC18FB" w:rsidRDefault="002B0AF4"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Paslaugų įkainis, nurodytas Sutarties </w:t>
      </w:r>
      <w:r w:rsidR="001452A2" w:rsidRPr="00DC18FB">
        <w:rPr>
          <w:rFonts w:ascii="Times New Roman" w:hAnsi="Times New Roman" w:cs="Times New Roman"/>
        </w:rPr>
        <w:t>5</w:t>
      </w:r>
      <w:r w:rsidRPr="00DC18FB">
        <w:rPr>
          <w:rFonts w:ascii="Times New Roman" w:hAnsi="Times New Roman" w:cs="Times New Roman"/>
        </w:rPr>
        <w:t xml:space="preserve"> punkte yra galutinis ir apima visas tiesiogines ir netiesiogines išlaidas.</w:t>
      </w:r>
    </w:p>
    <w:p w14:paraId="7908B20B" w14:textId="77777777" w:rsidR="008B5C1F" w:rsidRPr="00DC18FB" w:rsidRDefault="002B0AF4"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Paslaugų įkainiui įtakos negali turėti terminų pažeidimas, darbo užmokesčio ir kitų panašių išlaidų išaugimas.</w:t>
      </w:r>
    </w:p>
    <w:p w14:paraId="26E62A2F" w14:textId="77777777" w:rsidR="00DF6209" w:rsidRDefault="00B94BD1" w:rsidP="00DF6209">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Paslaugų įkainis dėl bendro kainų lygio kitimo nebus perskaičiuojamas, visą riziką dėl paslaugų įkainio padidėjimo prisiima </w:t>
      </w:r>
      <w:r w:rsidR="008B5C1F" w:rsidRPr="00DC18FB">
        <w:rPr>
          <w:rFonts w:ascii="Times New Roman" w:hAnsi="Times New Roman" w:cs="Times New Roman"/>
        </w:rPr>
        <w:t>Teikėjas</w:t>
      </w:r>
      <w:r w:rsidRPr="00DC18FB">
        <w:rPr>
          <w:rFonts w:ascii="Times New Roman" w:hAnsi="Times New Roman" w:cs="Times New Roman"/>
        </w:rPr>
        <w:t>.</w:t>
      </w:r>
    </w:p>
    <w:p w14:paraId="76CB2FD3" w14:textId="62B3CDAC" w:rsidR="008B5C1F" w:rsidRPr="00DF6209" w:rsidRDefault="008B5C1F" w:rsidP="00DF6209">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F6209">
        <w:rPr>
          <w:rFonts w:ascii="Times New Roman" w:hAnsi="Times New Roman" w:cs="Times New Roman"/>
        </w:rPr>
        <w:lastRenderedPageBreak/>
        <w:t xml:space="preserve">Su Teikėju atsiskaitoma per 30 (trisdešimt) kalendorinių dienų nuo sąskaitos faktūros gavimo. Teikėjas finansinius dokumentus teikia Gavėjui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6554A7" w:rsidRPr="00DF6209">
        <w:rPr>
          <w:rFonts w:ascii="Times New Roman" w:hAnsi="Times New Roman" w:cs="Times New Roman"/>
        </w:rPr>
        <w:t>naudojantis Sąskaitų administravimo bendrąj</w:t>
      </w:r>
      <w:r w:rsidR="00CE140C" w:rsidRPr="00DF6209">
        <w:rPr>
          <w:rFonts w:ascii="Times New Roman" w:hAnsi="Times New Roman" w:cs="Times New Roman"/>
        </w:rPr>
        <w:t>a</w:t>
      </w:r>
      <w:r w:rsidR="006554A7" w:rsidRPr="00DF6209">
        <w:rPr>
          <w:rFonts w:ascii="Times New Roman" w:hAnsi="Times New Roman" w:cs="Times New Roman"/>
        </w:rPr>
        <w:t xml:space="preserve"> informacine sistema</w:t>
      </w:r>
      <w:r w:rsidR="00DA0D1B" w:rsidRPr="00DF6209">
        <w:rPr>
          <w:rFonts w:ascii="Times New Roman" w:hAnsi="Times New Roman" w:cs="Times New Roman"/>
        </w:rPr>
        <w:t>.</w:t>
      </w:r>
    </w:p>
    <w:p w14:paraId="1D2152EA" w14:textId="77777777" w:rsidR="00CE140C" w:rsidRDefault="00CE140C" w:rsidP="00DC18FB">
      <w:pPr>
        <w:contextualSpacing/>
        <w:jc w:val="center"/>
        <w:rPr>
          <w:b/>
        </w:rPr>
      </w:pPr>
    </w:p>
    <w:p w14:paraId="406B5E12" w14:textId="756775DB" w:rsidR="005D1255" w:rsidRPr="00DC18FB" w:rsidRDefault="005D1255" w:rsidP="00DC18FB">
      <w:pPr>
        <w:contextualSpacing/>
        <w:jc w:val="center"/>
        <w:rPr>
          <w:b/>
        </w:rPr>
      </w:pPr>
      <w:r w:rsidRPr="00DC18FB">
        <w:rPr>
          <w:b/>
        </w:rPr>
        <w:t>III SKYRIUS</w:t>
      </w:r>
    </w:p>
    <w:p w14:paraId="7204B06D" w14:textId="77777777" w:rsidR="005D1255" w:rsidRPr="00DC18FB" w:rsidRDefault="005D1255" w:rsidP="00DC18FB">
      <w:pPr>
        <w:contextualSpacing/>
        <w:jc w:val="center"/>
        <w:rPr>
          <w:b/>
        </w:rPr>
      </w:pPr>
      <w:r w:rsidRPr="00DC18FB">
        <w:rPr>
          <w:b/>
        </w:rPr>
        <w:t>PASLAUGŲ TEIKIMO TVARKA IR ŠALIŲ ĮSIPAREIGOJIMAI</w:t>
      </w:r>
    </w:p>
    <w:p w14:paraId="5DE98FE7" w14:textId="77777777" w:rsidR="008B5C1F" w:rsidRPr="00D76C94" w:rsidRDefault="008B5C1F" w:rsidP="00DC18FB">
      <w:pPr>
        <w:ind w:left="720"/>
        <w:contextualSpacing/>
        <w:jc w:val="center"/>
        <w:rPr>
          <w:b/>
        </w:rPr>
      </w:pPr>
    </w:p>
    <w:p w14:paraId="671AECCF" w14:textId="77777777" w:rsidR="00A10940" w:rsidRPr="00D76C94" w:rsidRDefault="005D1255" w:rsidP="00A10940">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76C94">
        <w:rPr>
          <w:rFonts w:ascii="Times New Roman" w:hAnsi="Times New Roman" w:cs="Times New Roman"/>
        </w:rPr>
        <w:t>Pagal šią Sutartį Teikėjas įsipareigoja:</w:t>
      </w:r>
    </w:p>
    <w:p w14:paraId="58180DE5" w14:textId="1375919D" w:rsidR="00D76C94" w:rsidRPr="00F70241" w:rsidRDefault="00590C1C" w:rsidP="00A10940">
      <w:pPr>
        <w:pStyle w:val="ListParagraph"/>
        <w:numPr>
          <w:ilvl w:val="1"/>
          <w:numId w:val="16"/>
        </w:numPr>
        <w:tabs>
          <w:tab w:val="left" w:pos="709"/>
          <w:tab w:val="left" w:pos="993"/>
        </w:tabs>
        <w:ind w:hanging="54"/>
        <w:jc w:val="both"/>
        <w:rPr>
          <w:rFonts w:ascii="Times New Roman" w:hAnsi="Times New Roman" w:cs="Times New Roman"/>
        </w:rPr>
      </w:pPr>
      <w:r w:rsidRPr="00F70241">
        <w:rPr>
          <w:rFonts w:ascii="Times New Roman" w:hAnsi="Times New Roman" w:cs="Times New Roman"/>
        </w:rPr>
        <w:t>suteikti paslaugas pagal Gavėjo pateiktą paslaugų užsakymą</w:t>
      </w:r>
      <w:r w:rsidR="00D76C94" w:rsidRPr="00F70241">
        <w:rPr>
          <w:rFonts w:ascii="Times New Roman" w:hAnsi="Times New Roman" w:cs="Times New Roman"/>
        </w:rPr>
        <w:t>;</w:t>
      </w:r>
    </w:p>
    <w:p w14:paraId="1012CD2D" w14:textId="240B1457" w:rsidR="00590C1C" w:rsidRPr="00F70241" w:rsidRDefault="00590C1C" w:rsidP="00D76C94">
      <w:pPr>
        <w:pStyle w:val="ListParagraph"/>
        <w:numPr>
          <w:ilvl w:val="1"/>
          <w:numId w:val="16"/>
        </w:numPr>
        <w:tabs>
          <w:tab w:val="left" w:pos="709"/>
          <w:tab w:val="left" w:pos="993"/>
        </w:tabs>
        <w:ind w:left="0" w:firstLine="426"/>
        <w:jc w:val="both"/>
        <w:rPr>
          <w:rFonts w:ascii="Times New Roman" w:hAnsi="Times New Roman" w:cs="Times New Roman"/>
        </w:rPr>
      </w:pPr>
      <w:r w:rsidRPr="00F70241">
        <w:rPr>
          <w:rFonts w:ascii="Times New Roman" w:hAnsi="Times New Roman" w:cs="Times New Roman"/>
        </w:rPr>
        <w:t>užtikrinti iš Gavėjo Sutarties vykdymo metu gautos ir su Sutarties vykdymu susijusios informacijos konfidencialumą bei apsaugą.</w:t>
      </w:r>
    </w:p>
    <w:p w14:paraId="35852738" w14:textId="77777777" w:rsidR="00BE551C" w:rsidRPr="00F70241" w:rsidRDefault="00590C1C"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F70241">
        <w:rPr>
          <w:rFonts w:ascii="Times New Roman" w:hAnsi="Times New Roman" w:cs="Times New Roman"/>
        </w:rPr>
        <w:t>Gavėjo įsipareigojimai:</w:t>
      </w:r>
    </w:p>
    <w:p w14:paraId="65BD6DFE" w14:textId="5B84DF40" w:rsidR="00F70241" w:rsidRPr="00F70241" w:rsidRDefault="00F70241" w:rsidP="00F70241">
      <w:pPr>
        <w:tabs>
          <w:tab w:val="left" w:pos="709"/>
          <w:tab w:val="left" w:pos="993"/>
        </w:tabs>
        <w:ind w:firstLine="426"/>
        <w:jc w:val="both"/>
      </w:pPr>
      <w:r w:rsidRPr="00F70241">
        <w:t xml:space="preserve">15.1. </w:t>
      </w:r>
      <w:r w:rsidR="00590C1C" w:rsidRPr="00F70241">
        <w:t>sudaryti Teikėjui sąlygas paslaugoms suteikti;</w:t>
      </w:r>
    </w:p>
    <w:p w14:paraId="18E0782D" w14:textId="205FF513" w:rsidR="00590C1C" w:rsidRPr="00F70241" w:rsidRDefault="00F70241" w:rsidP="00F70241">
      <w:pPr>
        <w:tabs>
          <w:tab w:val="left" w:pos="709"/>
          <w:tab w:val="left" w:pos="993"/>
        </w:tabs>
        <w:ind w:firstLine="426"/>
        <w:jc w:val="both"/>
      </w:pPr>
      <w:r w:rsidRPr="00F70241">
        <w:t xml:space="preserve">15.2. </w:t>
      </w:r>
      <w:r w:rsidR="00590C1C" w:rsidRPr="00F70241">
        <w:t>laiku atsiskaityti už suteiktas Paslaugas.</w:t>
      </w:r>
    </w:p>
    <w:p w14:paraId="3F82F101" w14:textId="62578423" w:rsidR="00590C1C" w:rsidRPr="00DC18FB" w:rsidRDefault="00590C1C"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Už šios Sutarties sąlygų nevykdymą arba netinkamą įvykdymą Šalys atsako pagal Lietuvos</w:t>
      </w:r>
      <w:r w:rsidR="0066745D" w:rsidRPr="00DC18FB">
        <w:rPr>
          <w:rFonts w:ascii="Times New Roman" w:hAnsi="Times New Roman" w:cs="Times New Roman"/>
        </w:rPr>
        <w:t xml:space="preserve"> </w:t>
      </w:r>
      <w:r w:rsidRPr="00DC18FB">
        <w:rPr>
          <w:rFonts w:ascii="Times New Roman" w:hAnsi="Times New Roman" w:cs="Times New Roman"/>
        </w:rPr>
        <w:t>Respublikos įstatymus.</w:t>
      </w:r>
    </w:p>
    <w:p w14:paraId="7C8196A8" w14:textId="77777777" w:rsidR="005D1255" w:rsidRPr="00DC18FB" w:rsidRDefault="005D1255" w:rsidP="00DC18FB">
      <w:pPr>
        <w:contextualSpacing/>
        <w:jc w:val="both"/>
      </w:pPr>
    </w:p>
    <w:p w14:paraId="127DB49A" w14:textId="77777777" w:rsidR="005D1255" w:rsidRPr="00DC18FB" w:rsidRDefault="005D1255" w:rsidP="00DC18FB">
      <w:pPr>
        <w:contextualSpacing/>
        <w:jc w:val="center"/>
        <w:rPr>
          <w:b/>
        </w:rPr>
      </w:pPr>
      <w:r w:rsidRPr="00DC18FB">
        <w:rPr>
          <w:b/>
        </w:rPr>
        <w:t>IV SKYRIUS</w:t>
      </w:r>
    </w:p>
    <w:p w14:paraId="7B863E4D" w14:textId="77777777" w:rsidR="005D1255" w:rsidRPr="00DC18FB" w:rsidRDefault="005D1255" w:rsidP="00DC18FB">
      <w:pPr>
        <w:contextualSpacing/>
        <w:jc w:val="center"/>
        <w:rPr>
          <w:b/>
        </w:rPr>
      </w:pPr>
      <w:r w:rsidRPr="00DC18FB">
        <w:rPr>
          <w:b/>
        </w:rPr>
        <w:t>SUTARTIES GALIOJIMO TERMINAS IR NUTRAUKIMO TVARKA</w:t>
      </w:r>
    </w:p>
    <w:p w14:paraId="77BD92FD" w14:textId="77777777" w:rsidR="008B5C1F" w:rsidRPr="00DC18FB" w:rsidRDefault="008B5C1F" w:rsidP="00DC18FB">
      <w:pPr>
        <w:ind w:left="720"/>
        <w:contextualSpacing/>
        <w:jc w:val="center"/>
        <w:rPr>
          <w:b/>
        </w:rPr>
      </w:pPr>
    </w:p>
    <w:p w14:paraId="4D4285EE" w14:textId="77777777" w:rsidR="008B5C1F" w:rsidRPr="00DC18FB" w:rsidRDefault="005D1255"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Ši Sutartis įsigalioja nuo pasirašymo dienos ir galioja 12 (dvylika) mėn.</w:t>
      </w:r>
    </w:p>
    <w:p w14:paraId="2764254F" w14:textId="677081A7" w:rsidR="00BE551C" w:rsidRPr="00F70241" w:rsidRDefault="00B94DE3"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F70241">
        <w:rPr>
          <w:rFonts w:ascii="Times New Roman" w:hAnsi="Times New Roman" w:cs="Times New Roman"/>
        </w:rPr>
        <w:t xml:space="preserve">Kiekviena Šalis </w:t>
      </w:r>
      <w:r w:rsidR="00154E0B" w:rsidRPr="00F70241">
        <w:rPr>
          <w:rFonts w:ascii="Times New Roman" w:hAnsi="Times New Roman" w:cs="Times New Roman"/>
        </w:rPr>
        <w:t xml:space="preserve">turi teisę </w:t>
      </w:r>
      <w:r w:rsidRPr="00F70241">
        <w:rPr>
          <w:rFonts w:ascii="Times New Roman" w:hAnsi="Times New Roman" w:cs="Times New Roman"/>
        </w:rPr>
        <w:t>nutraukti Sutartį prieš terminą:</w:t>
      </w:r>
    </w:p>
    <w:p w14:paraId="75349A98" w14:textId="167A4370" w:rsidR="00154E0B" w:rsidRPr="00F70241" w:rsidRDefault="00F70241" w:rsidP="00F70241">
      <w:pPr>
        <w:tabs>
          <w:tab w:val="left" w:pos="851"/>
        </w:tabs>
        <w:ind w:firstLine="284"/>
        <w:contextualSpacing/>
        <w:jc w:val="both"/>
      </w:pPr>
      <w:r w:rsidRPr="00F70241">
        <w:t xml:space="preserve">18.1. </w:t>
      </w:r>
      <w:r w:rsidR="00B94DE3" w:rsidRPr="00F70241">
        <w:t xml:space="preserve">vienos </w:t>
      </w:r>
      <w:r w:rsidR="00A05937" w:rsidRPr="00F70241">
        <w:t>Š</w:t>
      </w:r>
      <w:r w:rsidR="00B94DE3" w:rsidRPr="00F70241">
        <w:t>alies sprendimu prieš 30 (trisdešimt) kalendorinių dienų raštu įspėjus kitą šalį, jeigu</w:t>
      </w:r>
      <w:r w:rsidR="0066745D" w:rsidRPr="00F70241">
        <w:t xml:space="preserve"> </w:t>
      </w:r>
      <w:r w:rsidR="00B94DE3" w:rsidRPr="00F70241">
        <w:t>ji nevykdo ar netinkamai vykdo savo įsipareigojimus ir tai yra esminis sutarties pažeidimas. Nustatydamos esminį sutarties pažeidimą šalys privalo vadovautis Lietuvos Respublikos civilinio</w:t>
      </w:r>
      <w:r w:rsidR="008B5C1F" w:rsidRPr="00F70241">
        <w:t xml:space="preserve"> </w:t>
      </w:r>
      <w:r w:rsidR="00B94DE3" w:rsidRPr="00F70241">
        <w:t>kodekso 6.217 str. nuostatomis;</w:t>
      </w:r>
    </w:p>
    <w:p w14:paraId="42FFF0E1" w14:textId="1074CA64" w:rsidR="00B94DE3" w:rsidRPr="00F70241" w:rsidRDefault="00154E0B" w:rsidP="00DC18FB">
      <w:pPr>
        <w:tabs>
          <w:tab w:val="left" w:pos="851"/>
        </w:tabs>
        <w:ind w:firstLine="284"/>
        <w:contextualSpacing/>
        <w:jc w:val="both"/>
      </w:pPr>
      <w:r w:rsidRPr="00F70241">
        <w:t>1</w:t>
      </w:r>
      <w:r w:rsidR="00855A35" w:rsidRPr="00F70241">
        <w:t>8</w:t>
      </w:r>
      <w:r w:rsidRPr="00F70241">
        <w:t xml:space="preserve">.2. </w:t>
      </w:r>
      <w:r w:rsidR="00B94DE3" w:rsidRPr="00F70241">
        <w:t xml:space="preserve">raštišku </w:t>
      </w:r>
      <w:r w:rsidRPr="00F70241">
        <w:t>Š</w:t>
      </w:r>
      <w:r w:rsidR="00B94DE3" w:rsidRPr="00F70241">
        <w:t xml:space="preserve">alių susitarimu, pirkimo sutarties nutraukimą inicijuojančiai </w:t>
      </w:r>
      <w:r w:rsidRPr="00F70241">
        <w:t>Š</w:t>
      </w:r>
      <w:r w:rsidR="00B94DE3" w:rsidRPr="00F70241">
        <w:t>aliai raštu pranešus</w:t>
      </w:r>
      <w:r w:rsidR="0066745D" w:rsidRPr="00F70241">
        <w:t xml:space="preserve"> </w:t>
      </w:r>
      <w:r w:rsidR="00B94DE3" w:rsidRPr="00F70241">
        <w:t xml:space="preserve">apie tai kitai </w:t>
      </w:r>
      <w:r w:rsidRPr="00F70241">
        <w:t>Š</w:t>
      </w:r>
      <w:r w:rsidR="00B94DE3" w:rsidRPr="00F70241">
        <w:t>aliai prieš 30 (trisdešimt) kalendorinių dienų.</w:t>
      </w:r>
    </w:p>
    <w:p w14:paraId="5D53A88B" w14:textId="77777777" w:rsidR="00BE551C" w:rsidRPr="00DC18FB" w:rsidRDefault="00BE551C" w:rsidP="00DC18FB">
      <w:pPr>
        <w:pStyle w:val="ListParagraph"/>
        <w:tabs>
          <w:tab w:val="left" w:pos="851"/>
        </w:tabs>
        <w:spacing w:after="0" w:line="240" w:lineRule="auto"/>
        <w:ind w:left="284"/>
        <w:jc w:val="both"/>
        <w:rPr>
          <w:rFonts w:ascii="Times New Roman" w:hAnsi="Times New Roman" w:cs="Times New Roman"/>
        </w:rPr>
      </w:pPr>
    </w:p>
    <w:p w14:paraId="1F2DE0CB" w14:textId="77777777" w:rsidR="005D1255" w:rsidRPr="00DC18FB" w:rsidRDefault="005D1255" w:rsidP="00DC18FB">
      <w:pPr>
        <w:contextualSpacing/>
        <w:jc w:val="center"/>
        <w:rPr>
          <w:b/>
        </w:rPr>
      </w:pPr>
      <w:r w:rsidRPr="00DC18FB">
        <w:rPr>
          <w:b/>
        </w:rPr>
        <w:t>V SKYRIUS</w:t>
      </w:r>
    </w:p>
    <w:p w14:paraId="3E157F72" w14:textId="77777777" w:rsidR="005D1255" w:rsidRPr="00DC18FB" w:rsidRDefault="005D1255" w:rsidP="00DC18FB">
      <w:pPr>
        <w:contextualSpacing/>
        <w:jc w:val="center"/>
        <w:rPr>
          <w:b/>
        </w:rPr>
      </w:pPr>
      <w:r w:rsidRPr="00DC18FB">
        <w:rPr>
          <w:b/>
        </w:rPr>
        <w:t>ŠALIŲ ATSAKOMYBĖ</w:t>
      </w:r>
    </w:p>
    <w:p w14:paraId="0AB55611" w14:textId="77777777" w:rsidR="008B5C1F" w:rsidRPr="00DC18FB" w:rsidRDefault="008B5C1F" w:rsidP="00DC18FB">
      <w:pPr>
        <w:ind w:left="720"/>
        <w:contextualSpacing/>
        <w:jc w:val="center"/>
        <w:rPr>
          <w:b/>
        </w:rPr>
      </w:pPr>
    </w:p>
    <w:p w14:paraId="7DB18142" w14:textId="4CA296B2" w:rsidR="008B5C1F" w:rsidRPr="00DC18FB" w:rsidRDefault="005D1255"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Sutarties Šalys atleidžiamos nuo atsakomybės už savo sutartinių įsipareigojimų nevykdymą, jeigu įrodo, kad šių įsipareigojimų nebuvo galima įvykdyti dėl „force majeure“ aplinkybių, kurių sutarties sudarymo momentu ši </w:t>
      </w:r>
      <w:r w:rsidR="00154E0B" w:rsidRPr="00DC18FB">
        <w:rPr>
          <w:rFonts w:ascii="Times New Roman" w:hAnsi="Times New Roman" w:cs="Times New Roman"/>
        </w:rPr>
        <w:t>Š</w:t>
      </w:r>
      <w:r w:rsidRPr="00DC18FB">
        <w:rPr>
          <w:rFonts w:ascii="Times New Roman" w:hAnsi="Times New Roman" w:cs="Times New Roman"/>
        </w:rPr>
        <w:t>alis negalėjo numatyti ir kurių ji negalėjo išvengti ar įveikti.</w:t>
      </w:r>
    </w:p>
    <w:p w14:paraId="32A53ADA" w14:textId="5693C320" w:rsidR="005D1255" w:rsidRPr="00DC18FB" w:rsidRDefault="005D1255"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Sutarties Šalis, prašanti atleisti nuo atsakomybės, sužinojusi apie „force majeure“ aplinkybę bei jos poveikį įsipareigojimų vykdymui, privalo kuo skubiau pranešti kitai Šaliai apie susidariusią situaciją. Būtina pranešti ir tuomet, kai išnyksta pagrindas nevykdyti įsipareigojimų. Pagrindas atleisti nuo atsakomybės atsiranda nuo kliūties atsiradimo momento arba, jeigu apie ją pranešta, nuo pranešimo momento. Laiku nepranešusi įsipareigojimų nevykdanti Šalis tampa iš dalies atsakinga už nuostolių, kurių priešingu atveju būtų išvengta, atlyginimą.</w:t>
      </w:r>
    </w:p>
    <w:p w14:paraId="0D17F1A3" w14:textId="0F07E1C4" w:rsidR="007478AF" w:rsidRDefault="007478AF" w:rsidP="00DC18FB">
      <w:pPr>
        <w:contextualSpacing/>
        <w:jc w:val="both"/>
      </w:pPr>
    </w:p>
    <w:p w14:paraId="755E3343" w14:textId="77777777" w:rsidR="00592B74" w:rsidRDefault="00592B74" w:rsidP="00DC18FB">
      <w:pPr>
        <w:contextualSpacing/>
        <w:jc w:val="both"/>
      </w:pPr>
    </w:p>
    <w:p w14:paraId="1D0C79A8" w14:textId="77777777" w:rsidR="00592B74" w:rsidRDefault="00592B74" w:rsidP="00DC18FB">
      <w:pPr>
        <w:contextualSpacing/>
        <w:jc w:val="both"/>
      </w:pPr>
    </w:p>
    <w:p w14:paraId="65CC2529" w14:textId="77777777" w:rsidR="00592B74" w:rsidRDefault="00592B74" w:rsidP="00DC18FB">
      <w:pPr>
        <w:contextualSpacing/>
        <w:jc w:val="both"/>
      </w:pPr>
    </w:p>
    <w:p w14:paraId="033ABE05" w14:textId="77777777" w:rsidR="00592B74" w:rsidRDefault="00592B74" w:rsidP="00DC18FB">
      <w:pPr>
        <w:contextualSpacing/>
        <w:jc w:val="both"/>
      </w:pPr>
    </w:p>
    <w:p w14:paraId="14756653" w14:textId="77777777" w:rsidR="00592B74" w:rsidRPr="00DC18FB" w:rsidRDefault="00592B74" w:rsidP="00DC18FB">
      <w:pPr>
        <w:contextualSpacing/>
        <w:jc w:val="both"/>
      </w:pPr>
    </w:p>
    <w:p w14:paraId="40EDB0EF" w14:textId="5EBB9745" w:rsidR="005D1255" w:rsidRPr="00DC18FB" w:rsidRDefault="005D1255" w:rsidP="00CE140C">
      <w:pPr>
        <w:contextualSpacing/>
        <w:jc w:val="center"/>
        <w:rPr>
          <w:b/>
        </w:rPr>
      </w:pPr>
      <w:r w:rsidRPr="00DC18FB">
        <w:rPr>
          <w:b/>
        </w:rPr>
        <w:lastRenderedPageBreak/>
        <w:t>VI SKYRIUS</w:t>
      </w:r>
    </w:p>
    <w:p w14:paraId="79A99F3B" w14:textId="77777777" w:rsidR="005D1255" w:rsidRPr="00DC18FB" w:rsidRDefault="005D1255" w:rsidP="00DC18FB">
      <w:pPr>
        <w:contextualSpacing/>
        <w:jc w:val="center"/>
        <w:rPr>
          <w:b/>
        </w:rPr>
      </w:pPr>
      <w:r w:rsidRPr="00DC18FB">
        <w:rPr>
          <w:b/>
        </w:rPr>
        <w:t>KONFIDENCIALUMAS</w:t>
      </w:r>
    </w:p>
    <w:p w14:paraId="50769A76" w14:textId="77777777" w:rsidR="008B5C1F" w:rsidRPr="00DC18FB" w:rsidRDefault="008B5C1F" w:rsidP="00DC18FB">
      <w:pPr>
        <w:contextualSpacing/>
        <w:jc w:val="center"/>
        <w:rPr>
          <w:b/>
        </w:rPr>
      </w:pPr>
    </w:p>
    <w:p w14:paraId="36A8122D" w14:textId="08ECD3DE" w:rsidR="008B5C1F" w:rsidRPr="00DC18FB" w:rsidRDefault="005D1255"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Šalys įsipareigoja neatskleisti jokios viena kitai vykdant šią Sutartį suteiktos informacijos ir neskelbti visos ar dalies šios informacijos jokiai trečiajai </w:t>
      </w:r>
      <w:r w:rsidR="00A05937" w:rsidRPr="00DC18FB">
        <w:rPr>
          <w:rFonts w:ascii="Times New Roman" w:hAnsi="Times New Roman" w:cs="Times New Roman"/>
        </w:rPr>
        <w:t>Š</w:t>
      </w:r>
      <w:r w:rsidRPr="00DC18FB">
        <w:rPr>
          <w:rFonts w:ascii="Times New Roman" w:hAnsi="Times New Roman" w:cs="Times New Roman"/>
        </w:rPr>
        <w:t>aliai, prieš tai negavus kitos Sutarties Šalies Sutikimo raštu, nebent toks atskleidimas yra būtinas pagal Šaliai taikomus įstatymus bei teisės aktus.</w:t>
      </w:r>
    </w:p>
    <w:p w14:paraId="5099B187" w14:textId="6F021468" w:rsidR="008B5C1F" w:rsidRPr="00DC18FB" w:rsidRDefault="005D1255"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Šalis, pažeidusi šios Sutarties </w:t>
      </w:r>
      <w:r w:rsidR="00145906" w:rsidRPr="00DC18FB">
        <w:rPr>
          <w:rFonts w:ascii="Times New Roman" w:hAnsi="Times New Roman" w:cs="Times New Roman"/>
        </w:rPr>
        <w:t>2</w:t>
      </w:r>
      <w:r w:rsidR="001452A2" w:rsidRPr="00DC18FB">
        <w:rPr>
          <w:rFonts w:ascii="Times New Roman" w:hAnsi="Times New Roman" w:cs="Times New Roman"/>
        </w:rPr>
        <w:t>1</w:t>
      </w:r>
      <w:r w:rsidR="007478AF" w:rsidRPr="00DC18FB">
        <w:rPr>
          <w:rFonts w:ascii="Times New Roman" w:hAnsi="Times New Roman" w:cs="Times New Roman"/>
        </w:rPr>
        <w:t xml:space="preserve"> punkte</w:t>
      </w:r>
      <w:r w:rsidRPr="00DC18FB">
        <w:rPr>
          <w:rFonts w:ascii="Times New Roman" w:hAnsi="Times New Roman" w:cs="Times New Roman"/>
        </w:rPr>
        <w:t xml:space="preserve"> numatytą konfidencialumo pareigą, privalo atlyginti kitai Šaliai visus konfidencialios informacijos atskleidimu ar panaudojimu tikslais, nesusijusiais su šios Sutarties vykdymu, padarytus nuostolius, įskaitant ir negautas pajamas.</w:t>
      </w:r>
    </w:p>
    <w:p w14:paraId="45E643A7" w14:textId="78CBA4AC" w:rsidR="008B5C1F" w:rsidRPr="00DC18FB" w:rsidRDefault="005D1255"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Šalys susitaria, kad šios Sutarties </w:t>
      </w:r>
      <w:r w:rsidR="00145906" w:rsidRPr="00DC18FB">
        <w:rPr>
          <w:rFonts w:ascii="Times New Roman" w:hAnsi="Times New Roman" w:cs="Times New Roman"/>
        </w:rPr>
        <w:t>2</w:t>
      </w:r>
      <w:r w:rsidR="001452A2" w:rsidRPr="00DC18FB">
        <w:rPr>
          <w:rFonts w:ascii="Times New Roman" w:hAnsi="Times New Roman" w:cs="Times New Roman"/>
        </w:rPr>
        <w:t>1</w:t>
      </w:r>
      <w:r w:rsidR="00145906" w:rsidRPr="00DC18FB">
        <w:rPr>
          <w:rFonts w:ascii="Times New Roman" w:hAnsi="Times New Roman" w:cs="Times New Roman"/>
        </w:rPr>
        <w:t xml:space="preserve"> </w:t>
      </w:r>
      <w:r w:rsidRPr="00DC18FB">
        <w:rPr>
          <w:rFonts w:ascii="Times New Roman" w:hAnsi="Times New Roman" w:cs="Times New Roman"/>
        </w:rPr>
        <w:t xml:space="preserve">ir </w:t>
      </w:r>
      <w:r w:rsidR="00145906" w:rsidRPr="00DC18FB">
        <w:rPr>
          <w:rFonts w:ascii="Times New Roman" w:hAnsi="Times New Roman" w:cs="Times New Roman"/>
        </w:rPr>
        <w:t>2</w:t>
      </w:r>
      <w:r w:rsidR="001452A2" w:rsidRPr="00DC18FB">
        <w:rPr>
          <w:rFonts w:ascii="Times New Roman" w:hAnsi="Times New Roman" w:cs="Times New Roman"/>
        </w:rPr>
        <w:t>2</w:t>
      </w:r>
      <w:r w:rsidRPr="00DC18FB">
        <w:rPr>
          <w:rFonts w:ascii="Times New Roman" w:hAnsi="Times New Roman" w:cs="Times New Roman"/>
        </w:rPr>
        <w:t xml:space="preserve"> </w:t>
      </w:r>
      <w:r w:rsidR="007478AF" w:rsidRPr="00DC18FB">
        <w:rPr>
          <w:rFonts w:ascii="Times New Roman" w:hAnsi="Times New Roman" w:cs="Times New Roman"/>
        </w:rPr>
        <w:t>punktuose</w:t>
      </w:r>
      <w:r w:rsidRPr="00DC18FB">
        <w:rPr>
          <w:rFonts w:ascii="Times New Roman" w:hAnsi="Times New Roman" w:cs="Times New Roman"/>
        </w:rPr>
        <w:t xml:space="preserve"> numatyti su konfidencialumu susiję Šalių įsipareigojimai netaikomi visuotinai prieinamai ar viešai paskelbtai informacijai.</w:t>
      </w:r>
    </w:p>
    <w:p w14:paraId="45806F02" w14:textId="17557D62" w:rsidR="00894F0B" w:rsidRPr="00DC18FB" w:rsidRDefault="00894F0B"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įstatymais ir kitais teisės aktais, sutarties </w:t>
      </w:r>
      <w:r w:rsidR="00A05937" w:rsidRPr="00DC18FB">
        <w:rPr>
          <w:rFonts w:ascii="Times New Roman" w:hAnsi="Times New Roman" w:cs="Times New Roman"/>
        </w:rPr>
        <w:t>Š</w:t>
      </w:r>
      <w:r w:rsidRPr="00DC18FB">
        <w:rPr>
          <w:rFonts w:ascii="Times New Roman" w:hAnsi="Times New Roman" w:cs="Times New Roman"/>
        </w:rPr>
        <w:t>alių raštiškais susitarimais dėl asmens duomenų tvarkymo.</w:t>
      </w:r>
    </w:p>
    <w:p w14:paraId="0871A7ED" w14:textId="77777777" w:rsidR="005D1255" w:rsidRPr="00DC18FB" w:rsidRDefault="005D1255" w:rsidP="00DC18FB">
      <w:pPr>
        <w:contextualSpacing/>
        <w:jc w:val="both"/>
      </w:pPr>
    </w:p>
    <w:p w14:paraId="0B43F396" w14:textId="77777777" w:rsidR="005D1255" w:rsidRPr="00DC18FB" w:rsidRDefault="005D1255" w:rsidP="00DC18FB">
      <w:pPr>
        <w:contextualSpacing/>
        <w:jc w:val="center"/>
        <w:rPr>
          <w:b/>
        </w:rPr>
      </w:pPr>
      <w:r w:rsidRPr="00DC18FB">
        <w:rPr>
          <w:b/>
        </w:rPr>
        <w:t>VII SKYRIUS</w:t>
      </w:r>
    </w:p>
    <w:p w14:paraId="48E475B8" w14:textId="77777777" w:rsidR="005D1255" w:rsidRPr="00DC18FB" w:rsidRDefault="005D1255" w:rsidP="00DC18FB">
      <w:pPr>
        <w:contextualSpacing/>
        <w:jc w:val="center"/>
        <w:rPr>
          <w:b/>
        </w:rPr>
      </w:pPr>
      <w:r w:rsidRPr="00DC18FB">
        <w:rPr>
          <w:b/>
        </w:rPr>
        <w:t>BAIGIAMOSIOS NUOSTATOS</w:t>
      </w:r>
    </w:p>
    <w:p w14:paraId="335AF02F" w14:textId="77777777" w:rsidR="008B5C1F" w:rsidRPr="00DC18FB" w:rsidRDefault="008B5C1F" w:rsidP="00DC18FB">
      <w:pPr>
        <w:ind w:left="720"/>
        <w:contextualSpacing/>
        <w:jc w:val="center"/>
        <w:rPr>
          <w:b/>
        </w:rPr>
      </w:pPr>
    </w:p>
    <w:p w14:paraId="351AB9BB" w14:textId="77777777" w:rsidR="00DC77E7" w:rsidRPr="00DC18FB" w:rsidRDefault="00EA160E"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Sutartis įsigalioja nuo jos pasirašymo dienos ir galioja </w:t>
      </w:r>
      <w:r w:rsidR="003A791E" w:rsidRPr="00DC18FB">
        <w:rPr>
          <w:rFonts w:ascii="Times New Roman" w:hAnsi="Times New Roman" w:cs="Times New Roman"/>
        </w:rPr>
        <w:t>12 (dvylika) mėnesių</w:t>
      </w:r>
      <w:r w:rsidRPr="00DC18FB">
        <w:rPr>
          <w:rFonts w:ascii="Times New Roman" w:hAnsi="Times New Roman" w:cs="Times New Roman"/>
        </w:rPr>
        <w:t xml:space="preserve">. </w:t>
      </w:r>
    </w:p>
    <w:p w14:paraId="2A60015B" w14:textId="77777777" w:rsidR="00E612BD" w:rsidRDefault="00EA160E"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Paslaugų teikimo terminai:</w:t>
      </w:r>
    </w:p>
    <w:p w14:paraId="67EA29F8" w14:textId="766F33E2" w:rsidR="00F70241" w:rsidRPr="00DF6209" w:rsidRDefault="00F70241" w:rsidP="00F70241">
      <w:pPr>
        <w:tabs>
          <w:tab w:val="left" w:pos="709"/>
        </w:tabs>
        <w:ind w:firstLine="284"/>
        <w:jc w:val="both"/>
      </w:pPr>
      <w:r w:rsidRPr="00DF6209">
        <w:t>26.1. atlikti veiklos ir pasirengimo atitikčiai įvertinimą ir parengti būtinų dokumentų projektus ne vėliau kaip per 1 mėn. nuo Sutarties pasirašymo dienos;</w:t>
      </w:r>
    </w:p>
    <w:p w14:paraId="2BCFE312" w14:textId="4596186D" w:rsidR="00EA160E" w:rsidRPr="00F70241" w:rsidRDefault="00F70241" w:rsidP="00F70241">
      <w:pPr>
        <w:tabs>
          <w:tab w:val="left" w:pos="709"/>
        </w:tabs>
        <w:ind w:firstLine="284"/>
        <w:jc w:val="both"/>
      </w:pPr>
      <w:r w:rsidRPr="00DF6209">
        <w:t xml:space="preserve">26.2. </w:t>
      </w:r>
      <w:r w:rsidR="00EA160E" w:rsidRPr="00DF6209">
        <w:t xml:space="preserve">užpildyti </w:t>
      </w:r>
      <w:r w:rsidR="007E277B" w:rsidRPr="00DF6209">
        <w:t>Nacionalinio kibernetinio saugumo</w:t>
      </w:r>
      <w:r w:rsidR="001452A2" w:rsidRPr="00DF6209">
        <w:t xml:space="preserve"> centro Kibernetinio saugumo reikalavimų atitikties klausimyną </w:t>
      </w:r>
      <w:r w:rsidR="001452A2" w:rsidRPr="00592B74">
        <w:rPr>
          <w:b/>
          <w:bCs/>
        </w:rPr>
        <w:t>iki 2026-07-31</w:t>
      </w:r>
      <w:r w:rsidR="001452A2" w:rsidRPr="00DF6209">
        <w:t>.</w:t>
      </w:r>
    </w:p>
    <w:p w14:paraId="1ED00C06" w14:textId="1AF7A6D1" w:rsidR="008B5C1F" w:rsidRPr="00DC18FB" w:rsidRDefault="005D1255"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 xml:space="preserve">Sutartis gali būti pakeista arba papildyta tik raštišku abiejų </w:t>
      </w:r>
      <w:r w:rsidR="00154E0B" w:rsidRPr="00DC18FB">
        <w:rPr>
          <w:rFonts w:ascii="Times New Roman" w:hAnsi="Times New Roman" w:cs="Times New Roman"/>
        </w:rPr>
        <w:t>Š</w:t>
      </w:r>
      <w:r w:rsidRPr="00DC18FB">
        <w:rPr>
          <w:rFonts w:ascii="Times New Roman" w:hAnsi="Times New Roman" w:cs="Times New Roman"/>
        </w:rPr>
        <w:t>alių susitarimu.</w:t>
      </w:r>
    </w:p>
    <w:p w14:paraId="64E34793" w14:textId="71E950DC" w:rsidR="004906C0" w:rsidRPr="00DC18FB" w:rsidRDefault="004906C0" w:rsidP="00DC18FB">
      <w:pPr>
        <w:pStyle w:val="ListParagraph"/>
        <w:numPr>
          <w:ilvl w:val="0"/>
          <w:numId w:val="1"/>
        </w:numPr>
        <w:tabs>
          <w:tab w:val="left" w:pos="709"/>
        </w:tabs>
        <w:spacing w:after="0" w:line="240" w:lineRule="auto"/>
        <w:ind w:left="0" w:firstLine="360"/>
        <w:jc w:val="both"/>
        <w:rPr>
          <w:rFonts w:ascii="Times New Roman" w:hAnsi="Times New Roman" w:cs="Times New Roman"/>
        </w:rPr>
      </w:pPr>
      <w:r w:rsidRPr="00DC18FB">
        <w:rPr>
          <w:rFonts w:ascii="Times New Roman" w:hAnsi="Times New Roman" w:cs="Times New Roman"/>
        </w:rPr>
        <w:t>Sutartis sudaryta lietuvių kalba, pasirašant elektroninį ADOC v 1.0 formato dokumentą kvalifikuotais el. parašais</w:t>
      </w:r>
    </w:p>
    <w:p w14:paraId="44BF7371" w14:textId="77777777" w:rsidR="00E92EA3" w:rsidRPr="00DC18FB" w:rsidRDefault="00E92EA3" w:rsidP="00DC18FB">
      <w:pPr>
        <w:ind w:left="720"/>
        <w:contextualSpacing/>
        <w:jc w:val="center"/>
        <w:rPr>
          <w:b/>
        </w:rPr>
      </w:pPr>
    </w:p>
    <w:p w14:paraId="201FC637" w14:textId="54F7E2AA" w:rsidR="005D1255" w:rsidRPr="00DC18FB" w:rsidRDefault="005D1255" w:rsidP="00DC18FB">
      <w:pPr>
        <w:contextualSpacing/>
        <w:jc w:val="center"/>
        <w:rPr>
          <w:b/>
        </w:rPr>
      </w:pPr>
      <w:r w:rsidRPr="00DC18FB">
        <w:rPr>
          <w:b/>
        </w:rPr>
        <w:t>VIII SKYRIUS</w:t>
      </w:r>
    </w:p>
    <w:p w14:paraId="7E03E659" w14:textId="24B451F5" w:rsidR="005D1255" w:rsidRPr="00DC18FB" w:rsidRDefault="005D1255" w:rsidP="00DC18FB">
      <w:pPr>
        <w:contextualSpacing/>
        <w:jc w:val="center"/>
        <w:rPr>
          <w:b/>
        </w:rPr>
      </w:pPr>
      <w:r w:rsidRPr="00DC18FB">
        <w:rPr>
          <w:b/>
        </w:rPr>
        <w:t>ŠALIŲ REKVIZITAI</w:t>
      </w:r>
    </w:p>
    <w:p w14:paraId="45716ED4" w14:textId="77777777" w:rsidR="005D1255" w:rsidRPr="00DC18FB" w:rsidRDefault="005D1255" w:rsidP="00DC18FB">
      <w:pPr>
        <w:contextualSpacing/>
        <w:jc w:val="both"/>
        <w:rPr>
          <w:b/>
        </w:rPr>
      </w:pPr>
    </w:p>
    <w:p w14:paraId="2BB5935C" w14:textId="77777777" w:rsidR="005D1255" w:rsidRPr="00DC18FB" w:rsidRDefault="005D1255" w:rsidP="00DC18FB">
      <w:pPr>
        <w:contextualSpacing/>
        <w:jc w:val="both"/>
      </w:pPr>
      <w:r w:rsidRPr="00DC18FB">
        <w:t xml:space="preserve">           </w:t>
      </w:r>
    </w:p>
    <w:tbl>
      <w:tblPr>
        <w:tblpPr w:leftFromText="180" w:rightFromText="180" w:vertAnchor="text" w:tblpY="1"/>
        <w:tblOverlap w:val="never"/>
        <w:tblW w:w="0" w:type="auto"/>
        <w:tblLayout w:type="fixed"/>
        <w:tblLook w:val="0000" w:firstRow="0" w:lastRow="0" w:firstColumn="0" w:lastColumn="0" w:noHBand="0" w:noVBand="0"/>
      </w:tblPr>
      <w:tblGrid>
        <w:gridCol w:w="5171"/>
        <w:gridCol w:w="5171"/>
        <w:gridCol w:w="5171"/>
      </w:tblGrid>
      <w:tr w:rsidR="00BE551C" w:rsidRPr="00DC18FB" w14:paraId="273B38A3" w14:textId="77777777" w:rsidTr="00BA04EE">
        <w:trPr>
          <w:trHeight w:val="204"/>
        </w:trPr>
        <w:tc>
          <w:tcPr>
            <w:tcW w:w="5171" w:type="dxa"/>
          </w:tcPr>
          <w:p w14:paraId="6FE2E9D0" w14:textId="77777777" w:rsidR="005D1255" w:rsidRPr="00DC18FB" w:rsidRDefault="005D1255" w:rsidP="00DC18FB">
            <w:pPr>
              <w:suppressAutoHyphens/>
              <w:snapToGrid w:val="0"/>
              <w:ind w:right="345"/>
              <w:contextualSpacing/>
              <w:rPr>
                <w:b/>
                <w:iCs/>
                <w:lang w:eastAsia="ar-SA"/>
              </w:rPr>
            </w:pPr>
            <w:r w:rsidRPr="00DC18FB">
              <w:rPr>
                <w:b/>
                <w:iCs/>
                <w:lang w:eastAsia="ar-SA"/>
              </w:rPr>
              <w:t>Gavėjas</w:t>
            </w:r>
          </w:p>
          <w:p w14:paraId="6F30D602" w14:textId="77777777" w:rsidR="005D1255" w:rsidRPr="00DC18FB" w:rsidRDefault="005D1255" w:rsidP="00DC18FB">
            <w:pPr>
              <w:suppressAutoHyphens/>
              <w:snapToGrid w:val="0"/>
              <w:ind w:right="345"/>
              <w:contextualSpacing/>
              <w:rPr>
                <w:b/>
                <w:iCs/>
                <w:lang w:eastAsia="ar-SA"/>
              </w:rPr>
            </w:pPr>
            <w:r w:rsidRPr="00DC18FB">
              <w:rPr>
                <w:b/>
                <w:iCs/>
                <w:lang w:eastAsia="ar-SA"/>
              </w:rPr>
              <w:t>Trakų istorinio nacionalinio parko direkcija</w:t>
            </w:r>
          </w:p>
        </w:tc>
        <w:tc>
          <w:tcPr>
            <w:tcW w:w="5171" w:type="dxa"/>
          </w:tcPr>
          <w:p w14:paraId="3F8EF7E6" w14:textId="77777777" w:rsidR="005D1255" w:rsidRPr="00DC18FB" w:rsidRDefault="005D1255" w:rsidP="00DC18FB">
            <w:pPr>
              <w:suppressAutoHyphens/>
              <w:snapToGrid w:val="0"/>
              <w:ind w:right="345"/>
              <w:contextualSpacing/>
              <w:rPr>
                <w:b/>
                <w:iCs/>
                <w:lang w:eastAsia="ar-SA"/>
              </w:rPr>
            </w:pPr>
            <w:r w:rsidRPr="00592B74">
              <w:rPr>
                <w:b/>
                <w:iCs/>
                <w:lang w:eastAsia="ar-SA"/>
              </w:rPr>
              <w:t>Teikėjas</w:t>
            </w:r>
          </w:p>
          <w:p w14:paraId="6AC8FF0E" w14:textId="52BCB468" w:rsidR="005D1255" w:rsidRPr="00DC18FB" w:rsidRDefault="00592B74" w:rsidP="00DC18FB">
            <w:pPr>
              <w:suppressAutoHyphens/>
              <w:snapToGrid w:val="0"/>
              <w:ind w:right="345"/>
              <w:contextualSpacing/>
              <w:rPr>
                <w:b/>
                <w:iCs/>
                <w:lang w:eastAsia="ar-SA"/>
              </w:rPr>
            </w:pPr>
            <w:r>
              <w:rPr>
                <w:b/>
                <w:iCs/>
                <w:lang w:eastAsia="ar-SA"/>
              </w:rPr>
              <w:t>..................................................................</w:t>
            </w:r>
          </w:p>
        </w:tc>
        <w:tc>
          <w:tcPr>
            <w:tcW w:w="5171" w:type="dxa"/>
          </w:tcPr>
          <w:p w14:paraId="3BEDA762" w14:textId="77777777" w:rsidR="005D1255" w:rsidRPr="00DC18FB" w:rsidRDefault="005D1255" w:rsidP="00DC18FB">
            <w:pPr>
              <w:suppressAutoHyphens/>
              <w:snapToGrid w:val="0"/>
              <w:ind w:right="345"/>
              <w:contextualSpacing/>
              <w:rPr>
                <w:b/>
                <w:iCs/>
                <w:lang w:eastAsia="ar-SA"/>
              </w:rPr>
            </w:pPr>
          </w:p>
        </w:tc>
      </w:tr>
      <w:tr w:rsidR="00BE551C" w:rsidRPr="00DC18FB" w14:paraId="4B92B29D" w14:textId="77777777" w:rsidTr="00BA04EE">
        <w:trPr>
          <w:trHeight w:val="204"/>
        </w:trPr>
        <w:tc>
          <w:tcPr>
            <w:tcW w:w="5171" w:type="dxa"/>
          </w:tcPr>
          <w:p w14:paraId="25F89D7B" w14:textId="0BFBF2AC" w:rsidR="005D1255" w:rsidRPr="00DC18FB" w:rsidRDefault="005D1255" w:rsidP="00DC18FB">
            <w:pPr>
              <w:suppressAutoHyphens/>
              <w:snapToGrid w:val="0"/>
              <w:ind w:right="345"/>
              <w:contextualSpacing/>
              <w:jc w:val="both"/>
              <w:rPr>
                <w:iCs/>
                <w:lang w:eastAsia="ar-SA"/>
              </w:rPr>
            </w:pPr>
            <w:r w:rsidRPr="00DC18FB">
              <w:rPr>
                <w:lang w:eastAsia="ar-SA"/>
              </w:rPr>
              <w:t>Juridinio asmens kodas</w:t>
            </w:r>
            <w:r w:rsidR="006A34AB" w:rsidRPr="00DC18FB">
              <w:rPr>
                <w:lang w:eastAsia="ar-SA"/>
              </w:rPr>
              <w:t xml:space="preserve"> </w:t>
            </w:r>
            <w:r w:rsidRPr="00DC18FB">
              <w:rPr>
                <w:iCs/>
                <w:lang w:eastAsia="ar-SA"/>
              </w:rPr>
              <w:t>191835395</w:t>
            </w:r>
          </w:p>
        </w:tc>
        <w:tc>
          <w:tcPr>
            <w:tcW w:w="5171" w:type="dxa"/>
          </w:tcPr>
          <w:p w14:paraId="4DBE5079" w14:textId="79B3D5B8" w:rsidR="005D1255" w:rsidRPr="00DC18FB" w:rsidRDefault="00592B74" w:rsidP="00DC18FB">
            <w:pPr>
              <w:suppressAutoHyphens/>
              <w:snapToGrid w:val="0"/>
              <w:ind w:right="345"/>
              <w:contextualSpacing/>
              <w:jc w:val="both"/>
              <w:rPr>
                <w:lang w:eastAsia="ar-SA"/>
              </w:rPr>
            </w:pPr>
            <w:r w:rsidRPr="00DC18FB">
              <w:rPr>
                <w:lang w:eastAsia="ar-SA"/>
              </w:rPr>
              <w:t>Juridinio asmens kodas</w:t>
            </w:r>
            <w:r>
              <w:rPr>
                <w:lang w:eastAsia="ar-SA"/>
              </w:rPr>
              <w:t xml:space="preserve"> .............................</w:t>
            </w:r>
          </w:p>
        </w:tc>
        <w:tc>
          <w:tcPr>
            <w:tcW w:w="5171" w:type="dxa"/>
          </w:tcPr>
          <w:p w14:paraId="1922152A" w14:textId="77777777" w:rsidR="005D1255" w:rsidRPr="00DC18FB" w:rsidRDefault="005D1255" w:rsidP="00DC18FB">
            <w:pPr>
              <w:suppressAutoHyphens/>
              <w:snapToGrid w:val="0"/>
              <w:ind w:right="345"/>
              <w:contextualSpacing/>
              <w:jc w:val="both"/>
              <w:rPr>
                <w:lang w:eastAsia="ar-SA"/>
              </w:rPr>
            </w:pPr>
          </w:p>
        </w:tc>
      </w:tr>
      <w:tr w:rsidR="00BE551C" w:rsidRPr="00DC18FB" w14:paraId="24068888" w14:textId="77777777" w:rsidTr="00BA04EE">
        <w:trPr>
          <w:trHeight w:val="218"/>
        </w:trPr>
        <w:tc>
          <w:tcPr>
            <w:tcW w:w="5171" w:type="dxa"/>
          </w:tcPr>
          <w:p w14:paraId="55DB2061" w14:textId="3915774B" w:rsidR="005D1255" w:rsidRPr="00DC18FB" w:rsidRDefault="005D1255" w:rsidP="00DC18FB">
            <w:pPr>
              <w:suppressAutoHyphens/>
              <w:snapToGrid w:val="0"/>
              <w:ind w:right="345"/>
              <w:contextualSpacing/>
              <w:jc w:val="both"/>
              <w:rPr>
                <w:lang w:eastAsia="ar-SA"/>
              </w:rPr>
            </w:pPr>
            <w:r w:rsidRPr="00DC18FB">
              <w:rPr>
                <w:lang w:eastAsia="ar-SA"/>
              </w:rPr>
              <w:t>Buveinės adresas</w:t>
            </w:r>
            <w:r w:rsidR="006A34AB" w:rsidRPr="00DC18FB">
              <w:rPr>
                <w:lang w:eastAsia="ar-SA"/>
              </w:rPr>
              <w:t xml:space="preserve"> </w:t>
            </w:r>
            <w:r w:rsidRPr="00DC18FB">
              <w:rPr>
                <w:lang w:eastAsia="ar-SA"/>
              </w:rPr>
              <w:t>Karaimų g. 5, 21104 Trakai</w:t>
            </w:r>
          </w:p>
          <w:p w14:paraId="5275FFEE" w14:textId="77777777" w:rsidR="005D1255" w:rsidRPr="00DC18FB" w:rsidRDefault="005D1255" w:rsidP="00DC18FB">
            <w:pPr>
              <w:suppressAutoHyphens/>
              <w:snapToGrid w:val="0"/>
              <w:ind w:right="345"/>
              <w:contextualSpacing/>
              <w:jc w:val="both"/>
              <w:rPr>
                <w:lang w:eastAsia="ar-SA"/>
              </w:rPr>
            </w:pPr>
            <w:r w:rsidRPr="00DC18FB">
              <w:rPr>
                <w:lang w:eastAsia="ar-SA"/>
              </w:rPr>
              <w:t>Tel.+370 528 55776</w:t>
            </w:r>
          </w:p>
        </w:tc>
        <w:tc>
          <w:tcPr>
            <w:tcW w:w="5171" w:type="dxa"/>
          </w:tcPr>
          <w:p w14:paraId="196ABA02" w14:textId="31285F3D" w:rsidR="005D1255" w:rsidRDefault="00592B74" w:rsidP="00DC18FB">
            <w:pPr>
              <w:suppressAutoHyphens/>
              <w:snapToGrid w:val="0"/>
              <w:ind w:right="345"/>
              <w:contextualSpacing/>
              <w:jc w:val="both"/>
              <w:rPr>
                <w:lang w:eastAsia="ar-SA"/>
              </w:rPr>
            </w:pPr>
            <w:r w:rsidRPr="00DC18FB">
              <w:rPr>
                <w:lang w:eastAsia="ar-SA"/>
              </w:rPr>
              <w:t>Buveinės adresas</w:t>
            </w:r>
            <w:r>
              <w:rPr>
                <w:lang w:eastAsia="ar-SA"/>
              </w:rPr>
              <w:t xml:space="preserve"> .......................................</w:t>
            </w:r>
          </w:p>
          <w:p w14:paraId="4D215C2B" w14:textId="6CB4BDF9" w:rsidR="00592B74" w:rsidRPr="00DC18FB" w:rsidRDefault="00592B74" w:rsidP="00DC18FB">
            <w:pPr>
              <w:suppressAutoHyphens/>
              <w:snapToGrid w:val="0"/>
              <w:ind w:right="345"/>
              <w:contextualSpacing/>
              <w:jc w:val="both"/>
              <w:rPr>
                <w:lang w:eastAsia="ar-SA"/>
              </w:rPr>
            </w:pPr>
            <w:r w:rsidRPr="00DC18FB">
              <w:rPr>
                <w:lang w:eastAsia="ar-SA"/>
              </w:rPr>
              <w:t>Tel.</w:t>
            </w:r>
            <w:r>
              <w:rPr>
                <w:lang w:eastAsia="ar-SA"/>
              </w:rPr>
              <w:t xml:space="preserve"> ............................................................</w:t>
            </w:r>
          </w:p>
        </w:tc>
        <w:tc>
          <w:tcPr>
            <w:tcW w:w="5171" w:type="dxa"/>
          </w:tcPr>
          <w:p w14:paraId="13D9C27A" w14:textId="77777777" w:rsidR="005D1255" w:rsidRPr="00DC18FB" w:rsidRDefault="005D1255" w:rsidP="00DC18FB">
            <w:pPr>
              <w:suppressAutoHyphens/>
              <w:snapToGrid w:val="0"/>
              <w:ind w:right="345"/>
              <w:contextualSpacing/>
              <w:jc w:val="both"/>
              <w:rPr>
                <w:lang w:eastAsia="ar-SA"/>
              </w:rPr>
            </w:pPr>
          </w:p>
        </w:tc>
      </w:tr>
      <w:tr w:rsidR="00BE551C" w:rsidRPr="00DC18FB" w14:paraId="5B91E0A4" w14:textId="77777777" w:rsidTr="00BA04EE">
        <w:trPr>
          <w:trHeight w:val="204"/>
        </w:trPr>
        <w:tc>
          <w:tcPr>
            <w:tcW w:w="5171" w:type="dxa"/>
          </w:tcPr>
          <w:p w14:paraId="29B08474" w14:textId="1C4EBA6B" w:rsidR="005D1255" w:rsidRPr="00DC18FB" w:rsidRDefault="005D1255" w:rsidP="00DC18FB">
            <w:pPr>
              <w:suppressAutoHyphens/>
              <w:snapToGrid w:val="0"/>
              <w:ind w:right="345"/>
              <w:contextualSpacing/>
              <w:jc w:val="both"/>
              <w:rPr>
                <w:lang w:eastAsia="ar-SA"/>
              </w:rPr>
            </w:pPr>
            <w:r w:rsidRPr="00DC18FB">
              <w:rPr>
                <w:lang w:eastAsia="ar-SA"/>
              </w:rPr>
              <w:t xml:space="preserve">El. paštas: </w:t>
            </w:r>
            <w:hyperlink r:id="rId8" w:history="1">
              <w:r w:rsidR="006A34AB" w:rsidRPr="00DC18FB">
                <w:rPr>
                  <w:rStyle w:val="Hyperlink"/>
                  <w:lang w:eastAsia="ar-SA"/>
                </w:rPr>
                <w:t>tinp@tinp.lt</w:t>
              </w:r>
            </w:hyperlink>
            <w:r w:rsidR="006A34AB" w:rsidRPr="00DC18FB">
              <w:rPr>
                <w:lang w:eastAsia="ar-SA"/>
              </w:rPr>
              <w:t xml:space="preserve"> </w:t>
            </w:r>
          </w:p>
        </w:tc>
        <w:tc>
          <w:tcPr>
            <w:tcW w:w="5171" w:type="dxa"/>
          </w:tcPr>
          <w:p w14:paraId="73D60EB5" w14:textId="719690AB" w:rsidR="005D1255" w:rsidRPr="00DC18FB" w:rsidRDefault="00592B74" w:rsidP="00DC18FB">
            <w:pPr>
              <w:suppressAutoHyphens/>
              <w:snapToGrid w:val="0"/>
              <w:ind w:right="345"/>
              <w:contextualSpacing/>
              <w:jc w:val="both"/>
              <w:rPr>
                <w:lang w:eastAsia="ar-SA"/>
              </w:rPr>
            </w:pPr>
            <w:r w:rsidRPr="00DC18FB">
              <w:rPr>
                <w:lang w:eastAsia="ar-SA"/>
              </w:rPr>
              <w:t>El. paštas:</w:t>
            </w:r>
            <w:r>
              <w:rPr>
                <w:lang w:eastAsia="ar-SA"/>
              </w:rPr>
              <w:t xml:space="preserve"> .........................</w:t>
            </w:r>
          </w:p>
        </w:tc>
        <w:tc>
          <w:tcPr>
            <w:tcW w:w="5171" w:type="dxa"/>
          </w:tcPr>
          <w:p w14:paraId="75FF3B46" w14:textId="77777777" w:rsidR="005D1255" w:rsidRPr="00DC18FB" w:rsidRDefault="005D1255" w:rsidP="00DC18FB">
            <w:pPr>
              <w:suppressAutoHyphens/>
              <w:snapToGrid w:val="0"/>
              <w:ind w:right="345"/>
              <w:contextualSpacing/>
              <w:jc w:val="both"/>
              <w:rPr>
                <w:lang w:eastAsia="ar-SA"/>
              </w:rPr>
            </w:pPr>
          </w:p>
        </w:tc>
      </w:tr>
      <w:tr w:rsidR="00BE551C" w:rsidRPr="00DC18FB" w14:paraId="0CB1621F" w14:textId="77777777" w:rsidTr="00BA04EE">
        <w:trPr>
          <w:trHeight w:val="218"/>
        </w:trPr>
        <w:tc>
          <w:tcPr>
            <w:tcW w:w="5171" w:type="dxa"/>
          </w:tcPr>
          <w:p w14:paraId="0663E94B" w14:textId="77777777" w:rsidR="005D1255" w:rsidRPr="00DC18FB" w:rsidRDefault="005D1255" w:rsidP="00DC18FB">
            <w:pPr>
              <w:suppressAutoHyphens/>
              <w:snapToGrid w:val="0"/>
              <w:ind w:right="345"/>
              <w:contextualSpacing/>
              <w:jc w:val="both"/>
              <w:rPr>
                <w:lang w:eastAsia="ar-SA"/>
              </w:rPr>
            </w:pPr>
            <w:proofErr w:type="spellStart"/>
            <w:r w:rsidRPr="00DC18FB">
              <w:rPr>
                <w:lang w:eastAsia="ar-SA"/>
              </w:rPr>
              <w:t>B.s</w:t>
            </w:r>
            <w:proofErr w:type="spellEnd"/>
            <w:r w:rsidRPr="00DC18FB">
              <w:rPr>
                <w:lang w:eastAsia="ar-SA"/>
              </w:rPr>
              <w:t>. Nr.LT644010042700030120</w:t>
            </w:r>
          </w:p>
        </w:tc>
        <w:tc>
          <w:tcPr>
            <w:tcW w:w="5171" w:type="dxa"/>
          </w:tcPr>
          <w:p w14:paraId="41F9A36F" w14:textId="291AF901" w:rsidR="005D1255" w:rsidRPr="00DC18FB" w:rsidRDefault="00592B74" w:rsidP="00DC18FB">
            <w:pPr>
              <w:suppressAutoHyphens/>
              <w:snapToGrid w:val="0"/>
              <w:ind w:right="345"/>
              <w:contextualSpacing/>
              <w:jc w:val="both"/>
              <w:rPr>
                <w:lang w:eastAsia="ar-SA"/>
              </w:rPr>
            </w:pPr>
            <w:proofErr w:type="spellStart"/>
            <w:r>
              <w:rPr>
                <w:lang w:eastAsia="ar-SA"/>
              </w:rPr>
              <w:t>A.s</w:t>
            </w:r>
            <w:proofErr w:type="spellEnd"/>
            <w:r>
              <w:rPr>
                <w:lang w:eastAsia="ar-SA"/>
              </w:rPr>
              <w:t>. Nr.LT.........................</w:t>
            </w:r>
          </w:p>
        </w:tc>
        <w:tc>
          <w:tcPr>
            <w:tcW w:w="5171" w:type="dxa"/>
          </w:tcPr>
          <w:p w14:paraId="20FFB437" w14:textId="77777777" w:rsidR="005D1255" w:rsidRPr="00DC18FB" w:rsidRDefault="005D1255" w:rsidP="00DC18FB">
            <w:pPr>
              <w:suppressAutoHyphens/>
              <w:snapToGrid w:val="0"/>
              <w:ind w:right="345"/>
              <w:contextualSpacing/>
              <w:jc w:val="both"/>
              <w:rPr>
                <w:lang w:eastAsia="ar-SA"/>
              </w:rPr>
            </w:pPr>
          </w:p>
        </w:tc>
      </w:tr>
      <w:tr w:rsidR="00BE551C" w:rsidRPr="00DC18FB" w14:paraId="22B47329" w14:textId="77777777" w:rsidTr="00BA04EE">
        <w:trPr>
          <w:trHeight w:val="408"/>
        </w:trPr>
        <w:tc>
          <w:tcPr>
            <w:tcW w:w="5171" w:type="dxa"/>
          </w:tcPr>
          <w:p w14:paraId="0C0E0553" w14:textId="77777777" w:rsidR="005D1255" w:rsidRPr="00DC18FB" w:rsidRDefault="005D1255" w:rsidP="00DC18FB">
            <w:pPr>
              <w:suppressAutoHyphens/>
              <w:snapToGrid w:val="0"/>
              <w:ind w:right="345"/>
              <w:contextualSpacing/>
              <w:jc w:val="both"/>
              <w:rPr>
                <w:lang w:eastAsia="ar-SA"/>
              </w:rPr>
            </w:pPr>
            <w:r w:rsidRPr="00DC18FB">
              <w:rPr>
                <w:lang w:eastAsia="ar-SA"/>
              </w:rPr>
              <w:t xml:space="preserve">AB </w:t>
            </w:r>
            <w:proofErr w:type="spellStart"/>
            <w:r w:rsidRPr="00DC18FB">
              <w:rPr>
                <w:lang w:eastAsia="ar-SA"/>
              </w:rPr>
              <w:t>Luminor</w:t>
            </w:r>
            <w:proofErr w:type="spellEnd"/>
            <w:r w:rsidRPr="00DC18FB">
              <w:rPr>
                <w:lang w:eastAsia="ar-SA"/>
              </w:rPr>
              <w:t xml:space="preserve"> bankas </w:t>
            </w:r>
          </w:p>
          <w:p w14:paraId="10EEEE43" w14:textId="77777777" w:rsidR="005D1255" w:rsidRPr="00DC18FB" w:rsidRDefault="005D1255" w:rsidP="00DC18FB">
            <w:pPr>
              <w:suppressAutoHyphens/>
              <w:ind w:right="345"/>
              <w:contextualSpacing/>
              <w:jc w:val="both"/>
              <w:rPr>
                <w:lang w:eastAsia="ar-SA"/>
              </w:rPr>
            </w:pPr>
            <w:r w:rsidRPr="00DC18FB">
              <w:rPr>
                <w:lang w:eastAsia="ar-SA"/>
              </w:rPr>
              <w:t>Banko kodas 40100</w:t>
            </w:r>
          </w:p>
          <w:p w14:paraId="39374127" w14:textId="77777777" w:rsidR="005D1255" w:rsidRPr="00DC18FB" w:rsidRDefault="005D1255" w:rsidP="00DC18FB">
            <w:pPr>
              <w:suppressAutoHyphens/>
              <w:ind w:right="345"/>
              <w:contextualSpacing/>
              <w:jc w:val="both"/>
              <w:rPr>
                <w:lang w:eastAsia="ar-SA"/>
              </w:rPr>
            </w:pPr>
          </w:p>
        </w:tc>
        <w:tc>
          <w:tcPr>
            <w:tcW w:w="5171" w:type="dxa"/>
          </w:tcPr>
          <w:p w14:paraId="68F4E7AE" w14:textId="77777777" w:rsidR="005D1255" w:rsidRDefault="00592B74" w:rsidP="00DC18FB">
            <w:pPr>
              <w:suppressAutoHyphens/>
              <w:snapToGrid w:val="0"/>
              <w:ind w:right="345"/>
              <w:contextualSpacing/>
              <w:jc w:val="both"/>
              <w:rPr>
                <w:lang w:eastAsia="ar-SA"/>
              </w:rPr>
            </w:pPr>
            <w:r>
              <w:rPr>
                <w:lang w:eastAsia="ar-SA"/>
              </w:rPr>
              <w:t>................... bankas</w:t>
            </w:r>
          </w:p>
          <w:p w14:paraId="6E522982" w14:textId="75192B62" w:rsidR="00592B74" w:rsidRPr="00DC18FB" w:rsidRDefault="00592B74" w:rsidP="00DC18FB">
            <w:pPr>
              <w:suppressAutoHyphens/>
              <w:snapToGrid w:val="0"/>
              <w:ind w:right="345"/>
              <w:contextualSpacing/>
              <w:jc w:val="both"/>
              <w:rPr>
                <w:lang w:eastAsia="ar-SA"/>
              </w:rPr>
            </w:pPr>
            <w:r w:rsidRPr="00DC18FB">
              <w:rPr>
                <w:lang w:eastAsia="ar-SA"/>
              </w:rPr>
              <w:t>Banko kodas</w:t>
            </w:r>
            <w:r>
              <w:rPr>
                <w:lang w:eastAsia="ar-SA"/>
              </w:rPr>
              <w:t xml:space="preserve"> ...................</w:t>
            </w:r>
          </w:p>
        </w:tc>
        <w:tc>
          <w:tcPr>
            <w:tcW w:w="5171" w:type="dxa"/>
          </w:tcPr>
          <w:p w14:paraId="610F4AC6" w14:textId="77777777" w:rsidR="005D1255" w:rsidRPr="00DC18FB" w:rsidRDefault="005D1255" w:rsidP="00DC18FB">
            <w:pPr>
              <w:suppressAutoHyphens/>
              <w:snapToGrid w:val="0"/>
              <w:ind w:right="345"/>
              <w:contextualSpacing/>
              <w:jc w:val="both"/>
              <w:rPr>
                <w:lang w:eastAsia="ar-SA"/>
              </w:rPr>
            </w:pPr>
          </w:p>
        </w:tc>
      </w:tr>
      <w:tr w:rsidR="00BE551C" w:rsidRPr="00DC18FB" w14:paraId="63818526" w14:textId="77777777" w:rsidTr="00BA04EE">
        <w:trPr>
          <w:trHeight w:val="626"/>
        </w:trPr>
        <w:tc>
          <w:tcPr>
            <w:tcW w:w="5171" w:type="dxa"/>
          </w:tcPr>
          <w:p w14:paraId="7FB2AE94" w14:textId="77777777" w:rsidR="005D1255" w:rsidRPr="00DC18FB" w:rsidRDefault="005D1255" w:rsidP="00DC18FB">
            <w:pPr>
              <w:suppressAutoHyphens/>
              <w:snapToGrid w:val="0"/>
              <w:ind w:right="345"/>
              <w:contextualSpacing/>
              <w:jc w:val="both"/>
              <w:rPr>
                <w:b/>
                <w:lang w:eastAsia="ar-SA"/>
              </w:rPr>
            </w:pPr>
            <w:r w:rsidRPr="00DC18FB">
              <w:rPr>
                <w:b/>
                <w:lang w:eastAsia="ar-SA"/>
              </w:rPr>
              <w:t>Direktorius</w:t>
            </w:r>
          </w:p>
          <w:p w14:paraId="04E056EF" w14:textId="77777777" w:rsidR="005D1255" w:rsidRPr="00DC18FB" w:rsidRDefault="005D1255" w:rsidP="00DC18FB">
            <w:pPr>
              <w:suppressAutoHyphens/>
              <w:snapToGrid w:val="0"/>
              <w:ind w:right="345"/>
              <w:contextualSpacing/>
              <w:jc w:val="both"/>
              <w:rPr>
                <w:b/>
                <w:lang w:eastAsia="ar-SA"/>
              </w:rPr>
            </w:pPr>
            <w:r w:rsidRPr="00DC18FB">
              <w:rPr>
                <w:b/>
                <w:lang w:eastAsia="ar-SA"/>
              </w:rPr>
              <w:t>Darius Kvedaravičius</w:t>
            </w:r>
          </w:p>
          <w:p w14:paraId="2D73C958" w14:textId="77777777" w:rsidR="005D1255" w:rsidRPr="00DC18FB" w:rsidRDefault="005D1255" w:rsidP="00DC18FB">
            <w:pPr>
              <w:suppressAutoHyphens/>
              <w:snapToGrid w:val="0"/>
              <w:ind w:right="345"/>
              <w:contextualSpacing/>
              <w:jc w:val="both"/>
              <w:rPr>
                <w:b/>
                <w:lang w:eastAsia="ar-SA"/>
              </w:rPr>
            </w:pPr>
          </w:p>
          <w:p w14:paraId="4E00097D" w14:textId="77777777" w:rsidR="005D1255" w:rsidRPr="00DC18FB" w:rsidRDefault="005D1255" w:rsidP="00DC18FB">
            <w:pPr>
              <w:suppressAutoHyphens/>
              <w:snapToGrid w:val="0"/>
              <w:ind w:right="345"/>
              <w:contextualSpacing/>
              <w:jc w:val="both"/>
              <w:rPr>
                <w:b/>
                <w:lang w:eastAsia="ar-SA"/>
              </w:rPr>
            </w:pPr>
          </w:p>
          <w:p w14:paraId="7278D60D" w14:textId="77777777" w:rsidR="005D1255" w:rsidRPr="00DC18FB" w:rsidRDefault="005D1255" w:rsidP="00DC18FB">
            <w:pPr>
              <w:suppressAutoHyphens/>
              <w:snapToGrid w:val="0"/>
              <w:ind w:right="345"/>
              <w:contextualSpacing/>
              <w:jc w:val="both"/>
              <w:rPr>
                <w:b/>
                <w:lang w:eastAsia="ar-SA"/>
              </w:rPr>
            </w:pPr>
            <w:r w:rsidRPr="00DC18FB">
              <w:rPr>
                <w:b/>
                <w:lang w:eastAsia="ar-SA"/>
              </w:rPr>
              <w:t>____________________</w:t>
            </w:r>
          </w:p>
          <w:p w14:paraId="20B8A22B" w14:textId="77777777" w:rsidR="005D1255" w:rsidRPr="00DC18FB" w:rsidRDefault="005D1255" w:rsidP="00DC18FB">
            <w:pPr>
              <w:suppressAutoHyphens/>
              <w:snapToGrid w:val="0"/>
              <w:ind w:right="345"/>
              <w:contextualSpacing/>
              <w:jc w:val="both"/>
              <w:rPr>
                <w:lang w:eastAsia="ar-SA"/>
              </w:rPr>
            </w:pPr>
          </w:p>
        </w:tc>
        <w:tc>
          <w:tcPr>
            <w:tcW w:w="5171" w:type="dxa"/>
          </w:tcPr>
          <w:p w14:paraId="062BF412" w14:textId="1110D0FE" w:rsidR="005D1255" w:rsidRPr="00592B74" w:rsidRDefault="00592B74" w:rsidP="00DC18FB">
            <w:pPr>
              <w:suppressAutoHyphens/>
              <w:snapToGrid w:val="0"/>
              <w:ind w:right="345"/>
              <w:contextualSpacing/>
              <w:jc w:val="both"/>
              <w:rPr>
                <w:b/>
                <w:i/>
                <w:iCs/>
                <w:lang w:val="en-US" w:eastAsia="ar-SA"/>
              </w:rPr>
            </w:pPr>
            <w:proofErr w:type="spellStart"/>
            <w:r w:rsidRPr="00592B74">
              <w:rPr>
                <w:b/>
                <w:i/>
                <w:iCs/>
                <w:lang w:val="en-US" w:eastAsia="ar-SA"/>
              </w:rPr>
              <w:t>Pareigos</w:t>
            </w:r>
            <w:proofErr w:type="spellEnd"/>
          </w:p>
          <w:p w14:paraId="04A071D1" w14:textId="0D33ADFB" w:rsidR="00592B74" w:rsidRPr="00592B74" w:rsidRDefault="00592B74" w:rsidP="00DC18FB">
            <w:pPr>
              <w:suppressAutoHyphens/>
              <w:snapToGrid w:val="0"/>
              <w:ind w:right="345"/>
              <w:contextualSpacing/>
              <w:jc w:val="both"/>
              <w:rPr>
                <w:b/>
                <w:i/>
                <w:iCs/>
                <w:lang w:val="en-US" w:eastAsia="ar-SA"/>
              </w:rPr>
            </w:pPr>
            <w:proofErr w:type="spellStart"/>
            <w:r w:rsidRPr="00592B74">
              <w:rPr>
                <w:b/>
                <w:i/>
                <w:iCs/>
                <w:lang w:val="en-US" w:eastAsia="ar-SA"/>
              </w:rPr>
              <w:t>Vardas</w:t>
            </w:r>
            <w:proofErr w:type="spellEnd"/>
            <w:r w:rsidRPr="00592B74">
              <w:rPr>
                <w:b/>
                <w:i/>
                <w:iCs/>
                <w:lang w:val="en-US" w:eastAsia="ar-SA"/>
              </w:rPr>
              <w:t xml:space="preserve"> </w:t>
            </w:r>
            <w:proofErr w:type="spellStart"/>
            <w:r w:rsidRPr="00592B74">
              <w:rPr>
                <w:b/>
                <w:i/>
                <w:iCs/>
                <w:lang w:val="en-US" w:eastAsia="ar-SA"/>
              </w:rPr>
              <w:t>Pavardė</w:t>
            </w:r>
            <w:proofErr w:type="spellEnd"/>
          </w:p>
          <w:p w14:paraId="5F3EFFE6" w14:textId="77777777" w:rsidR="005D1255" w:rsidRPr="00DC18FB" w:rsidRDefault="005D1255" w:rsidP="00DC18FB">
            <w:pPr>
              <w:suppressAutoHyphens/>
              <w:snapToGrid w:val="0"/>
              <w:ind w:right="345"/>
              <w:contextualSpacing/>
              <w:jc w:val="both"/>
              <w:rPr>
                <w:b/>
                <w:lang w:eastAsia="ar-SA"/>
              </w:rPr>
            </w:pPr>
          </w:p>
          <w:p w14:paraId="1E415698" w14:textId="77777777" w:rsidR="00D76B9E" w:rsidRPr="00DC18FB" w:rsidRDefault="00D76B9E" w:rsidP="00DC18FB">
            <w:pPr>
              <w:suppressAutoHyphens/>
              <w:snapToGrid w:val="0"/>
              <w:ind w:right="345"/>
              <w:contextualSpacing/>
              <w:jc w:val="both"/>
              <w:rPr>
                <w:b/>
                <w:lang w:eastAsia="ar-SA"/>
              </w:rPr>
            </w:pPr>
          </w:p>
          <w:p w14:paraId="0EEBFE96" w14:textId="79787C31" w:rsidR="005D1255" w:rsidRPr="00DC18FB" w:rsidRDefault="005D1255" w:rsidP="00DC18FB">
            <w:pPr>
              <w:suppressAutoHyphens/>
              <w:snapToGrid w:val="0"/>
              <w:ind w:right="345"/>
              <w:contextualSpacing/>
              <w:jc w:val="both"/>
              <w:rPr>
                <w:b/>
                <w:lang w:eastAsia="ar-SA"/>
              </w:rPr>
            </w:pPr>
            <w:r w:rsidRPr="00DC18FB">
              <w:rPr>
                <w:b/>
                <w:lang w:eastAsia="ar-SA"/>
              </w:rPr>
              <w:t>____________________</w:t>
            </w:r>
          </w:p>
          <w:p w14:paraId="0E9286C7" w14:textId="77777777" w:rsidR="005D1255" w:rsidRPr="00DC18FB" w:rsidRDefault="005D1255" w:rsidP="00DC18FB">
            <w:pPr>
              <w:suppressAutoHyphens/>
              <w:snapToGrid w:val="0"/>
              <w:ind w:right="345"/>
              <w:contextualSpacing/>
              <w:jc w:val="both"/>
              <w:rPr>
                <w:b/>
                <w:lang w:eastAsia="ar-SA"/>
              </w:rPr>
            </w:pPr>
          </w:p>
        </w:tc>
        <w:tc>
          <w:tcPr>
            <w:tcW w:w="5171" w:type="dxa"/>
          </w:tcPr>
          <w:p w14:paraId="2649424F" w14:textId="77777777" w:rsidR="005D1255" w:rsidRPr="00DC18FB" w:rsidRDefault="005D1255" w:rsidP="00DC18FB">
            <w:pPr>
              <w:suppressAutoHyphens/>
              <w:snapToGrid w:val="0"/>
              <w:ind w:right="345"/>
              <w:contextualSpacing/>
              <w:jc w:val="both"/>
              <w:rPr>
                <w:b/>
                <w:lang w:eastAsia="ar-SA"/>
              </w:rPr>
            </w:pPr>
          </w:p>
        </w:tc>
      </w:tr>
    </w:tbl>
    <w:p w14:paraId="5CDE35D0" w14:textId="77777777" w:rsidR="00B840CD" w:rsidRPr="00DC18FB" w:rsidRDefault="00B840CD" w:rsidP="00DC18FB">
      <w:pPr>
        <w:contextualSpacing/>
      </w:pPr>
    </w:p>
    <w:sectPr w:rsidR="00B840CD" w:rsidRPr="00DC18FB" w:rsidSect="007E277B">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DF9C" w14:textId="77777777" w:rsidR="007E62F5" w:rsidRDefault="007E62F5">
      <w:r>
        <w:separator/>
      </w:r>
    </w:p>
  </w:endnote>
  <w:endnote w:type="continuationSeparator" w:id="0">
    <w:p w14:paraId="4B062837" w14:textId="77777777" w:rsidR="007E62F5" w:rsidRDefault="007E6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447075"/>
      <w:docPartObj>
        <w:docPartGallery w:val="Page Numbers (Bottom of Page)"/>
        <w:docPartUnique/>
      </w:docPartObj>
    </w:sdtPr>
    <w:sdtEndPr>
      <w:rPr>
        <w:noProof/>
      </w:rPr>
    </w:sdtEndPr>
    <w:sdtContent>
      <w:p w14:paraId="23E75ED6" w14:textId="77777777" w:rsidR="005D1255" w:rsidRDefault="005D12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2E0DFB" w14:textId="77777777" w:rsidR="005D1255" w:rsidRDefault="005D1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A984" w14:textId="77777777" w:rsidR="007E62F5" w:rsidRDefault="007E62F5">
      <w:r>
        <w:separator/>
      </w:r>
    </w:p>
  </w:footnote>
  <w:footnote w:type="continuationSeparator" w:id="0">
    <w:p w14:paraId="3E1EB809" w14:textId="77777777" w:rsidR="007E62F5" w:rsidRDefault="007E6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DF3"/>
    <w:multiLevelType w:val="multilevel"/>
    <w:tmpl w:val="EB7217FE"/>
    <w:lvl w:ilvl="0">
      <w:start w:val="18"/>
      <w:numFmt w:val="decimal"/>
      <w:lvlText w:val="%1."/>
      <w:lvlJc w:val="left"/>
      <w:pPr>
        <w:ind w:left="540" w:hanging="540"/>
      </w:pPr>
      <w:rPr>
        <w:rFonts w:asciiTheme="minorHAnsi" w:hAnsiTheme="minorHAnsi" w:cstheme="minorBidi" w:hint="default"/>
      </w:rPr>
    </w:lvl>
    <w:lvl w:ilvl="1">
      <w:start w:val="1"/>
      <w:numFmt w:val="decimal"/>
      <w:lvlText w:val="%1.%2."/>
      <w:lvlJc w:val="left"/>
      <w:pPr>
        <w:ind w:left="540" w:hanging="54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 w15:restartNumberingAfterBreak="0">
    <w:nsid w:val="0A0C0D21"/>
    <w:multiLevelType w:val="multilevel"/>
    <w:tmpl w:val="D2B2A98E"/>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8D7BE9"/>
    <w:multiLevelType w:val="multilevel"/>
    <w:tmpl w:val="E424FFD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0935FE"/>
    <w:multiLevelType w:val="multilevel"/>
    <w:tmpl w:val="44AAA67C"/>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FB7C94"/>
    <w:multiLevelType w:val="multilevel"/>
    <w:tmpl w:val="19BA39B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6C6B9B"/>
    <w:multiLevelType w:val="multilevel"/>
    <w:tmpl w:val="E9C00446"/>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3F5DBF"/>
    <w:multiLevelType w:val="multilevel"/>
    <w:tmpl w:val="68588F4E"/>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69218F"/>
    <w:multiLevelType w:val="multilevel"/>
    <w:tmpl w:val="2A30C6C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464B89"/>
    <w:multiLevelType w:val="multilevel"/>
    <w:tmpl w:val="3012A16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DD4136"/>
    <w:multiLevelType w:val="multilevel"/>
    <w:tmpl w:val="3012A16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096B06"/>
    <w:multiLevelType w:val="multilevel"/>
    <w:tmpl w:val="1892EEC6"/>
    <w:lvl w:ilvl="0">
      <w:start w:val="2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0F365C"/>
    <w:multiLevelType w:val="multilevel"/>
    <w:tmpl w:val="3012A16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DD77A5"/>
    <w:multiLevelType w:val="multilevel"/>
    <w:tmpl w:val="7C84481A"/>
    <w:lvl w:ilvl="0">
      <w:start w:val="2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835A92"/>
    <w:multiLevelType w:val="multilevel"/>
    <w:tmpl w:val="A496BBD2"/>
    <w:lvl w:ilvl="0">
      <w:start w:val="2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86DA9"/>
    <w:multiLevelType w:val="multilevel"/>
    <w:tmpl w:val="3012A16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F961D4"/>
    <w:multiLevelType w:val="multilevel"/>
    <w:tmpl w:val="B926918C"/>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2418379">
    <w:abstractNumId w:val="6"/>
  </w:num>
  <w:num w:numId="2" w16cid:durableId="1098603834">
    <w:abstractNumId w:val="2"/>
  </w:num>
  <w:num w:numId="3" w16cid:durableId="1838886700">
    <w:abstractNumId w:val="0"/>
  </w:num>
  <w:num w:numId="4" w16cid:durableId="339115812">
    <w:abstractNumId w:val="1"/>
  </w:num>
  <w:num w:numId="5" w16cid:durableId="778840605">
    <w:abstractNumId w:val="4"/>
  </w:num>
  <w:num w:numId="6" w16cid:durableId="201676382">
    <w:abstractNumId w:val="15"/>
  </w:num>
  <w:num w:numId="7" w16cid:durableId="549077375">
    <w:abstractNumId w:val="5"/>
  </w:num>
  <w:num w:numId="8" w16cid:durableId="1382634553">
    <w:abstractNumId w:val="10"/>
  </w:num>
  <w:num w:numId="9" w16cid:durableId="1097599901">
    <w:abstractNumId w:val="3"/>
  </w:num>
  <w:num w:numId="10" w16cid:durableId="987587448">
    <w:abstractNumId w:val="12"/>
  </w:num>
  <w:num w:numId="11" w16cid:durableId="810292398">
    <w:abstractNumId w:val="7"/>
  </w:num>
  <w:num w:numId="12" w16cid:durableId="158160016">
    <w:abstractNumId w:val="13"/>
  </w:num>
  <w:num w:numId="13" w16cid:durableId="1267542094">
    <w:abstractNumId w:val="11"/>
  </w:num>
  <w:num w:numId="14" w16cid:durableId="849032334">
    <w:abstractNumId w:val="14"/>
  </w:num>
  <w:num w:numId="15" w16cid:durableId="654913556">
    <w:abstractNumId w:val="9"/>
  </w:num>
  <w:num w:numId="16" w16cid:durableId="2214124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55"/>
    <w:rsid w:val="000115A1"/>
    <w:rsid w:val="000754ED"/>
    <w:rsid w:val="000C4CB7"/>
    <w:rsid w:val="00104C7A"/>
    <w:rsid w:val="001452A2"/>
    <w:rsid w:val="00145906"/>
    <w:rsid w:val="00154E0B"/>
    <w:rsid w:val="0019378B"/>
    <w:rsid w:val="001E78B1"/>
    <w:rsid w:val="002B0AF4"/>
    <w:rsid w:val="002B5984"/>
    <w:rsid w:val="002F776E"/>
    <w:rsid w:val="00341675"/>
    <w:rsid w:val="003640C9"/>
    <w:rsid w:val="003A791E"/>
    <w:rsid w:val="003C562C"/>
    <w:rsid w:val="00454EDE"/>
    <w:rsid w:val="004644C9"/>
    <w:rsid w:val="004906C0"/>
    <w:rsid w:val="004A48D8"/>
    <w:rsid w:val="005010FC"/>
    <w:rsid w:val="0051093A"/>
    <w:rsid w:val="005360FD"/>
    <w:rsid w:val="00590C1C"/>
    <w:rsid w:val="00592B74"/>
    <w:rsid w:val="005D1255"/>
    <w:rsid w:val="006554A7"/>
    <w:rsid w:val="0066745D"/>
    <w:rsid w:val="006A34AB"/>
    <w:rsid w:val="006D73E3"/>
    <w:rsid w:val="007018CB"/>
    <w:rsid w:val="00724982"/>
    <w:rsid w:val="00726459"/>
    <w:rsid w:val="007478AF"/>
    <w:rsid w:val="007E277B"/>
    <w:rsid w:val="007E62F5"/>
    <w:rsid w:val="00831767"/>
    <w:rsid w:val="00853339"/>
    <w:rsid w:val="00855A35"/>
    <w:rsid w:val="00891C09"/>
    <w:rsid w:val="00894F0B"/>
    <w:rsid w:val="008A18D5"/>
    <w:rsid w:val="008B5C1F"/>
    <w:rsid w:val="009F0DE6"/>
    <w:rsid w:val="00A05937"/>
    <w:rsid w:val="00A10940"/>
    <w:rsid w:val="00A732E5"/>
    <w:rsid w:val="00A90B70"/>
    <w:rsid w:val="00AE344D"/>
    <w:rsid w:val="00B26E2A"/>
    <w:rsid w:val="00B45EB6"/>
    <w:rsid w:val="00B81092"/>
    <w:rsid w:val="00B840CD"/>
    <w:rsid w:val="00B91013"/>
    <w:rsid w:val="00B94BD1"/>
    <w:rsid w:val="00B94DE3"/>
    <w:rsid w:val="00BA7166"/>
    <w:rsid w:val="00BA78E6"/>
    <w:rsid w:val="00BC7F4C"/>
    <w:rsid w:val="00BE551C"/>
    <w:rsid w:val="00C51B32"/>
    <w:rsid w:val="00C51DE3"/>
    <w:rsid w:val="00CD114B"/>
    <w:rsid w:val="00CE140C"/>
    <w:rsid w:val="00D76B9E"/>
    <w:rsid w:val="00D76C94"/>
    <w:rsid w:val="00D872F4"/>
    <w:rsid w:val="00DA0D1B"/>
    <w:rsid w:val="00DC18FB"/>
    <w:rsid w:val="00DC77E7"/>
    <w:rsid w:val="00DF6209"/>
    <w:rsid w:val="00E612BD"/>
    <w:rsid w:val="00E92EA3"/>
    <w:rsid w:val="00E94DF5"/>
    <w:rsid w:val="00EA160E"/>
    <w:rsid w:val="00EB7DAD"/>
    <w:rsid w:val="00F620E3"/>
    <w:rsid w:val="00F70241"/>
    <w:rsid w:val="00FB3AF7"/>
    <w:rsid w:val="00FF0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27E9"/>
  <w15:chartTrackingRefBased/>
  <w15:docId w15:val="{63486EE6-9532-4612-8078-DFF07AA7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255"/>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5D12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D12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D125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D125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D125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D125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D125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D125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D125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255"/>
    <w:rPr>
      <w:rFonts w:eastAsiaTheme="majorEastAsia" w:cstheme="majorBidi"/>
      <w:color w:val="272727" w:themeColor="text1" w:themeTint="D8"/>
    </w:rPr>
  </w:style>
  <w:style w:type="paragraph" w:styleId="Title">
    <w:name w:val="Title"/>
    <w:basedOn w:val="Normal"/>
    <w:next w:val="Normal"/>
    <w:link w:val="TitleChar"/>
    <w:uiPriority w:val="10"/>
    <w:qFormat/>
    <w:rsid w:val="005D125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D1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25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D1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25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D1255"/>
    <w:rPr>
      <w:i/>
      <w:iCs/>
      <w:color w:val="404040" w:themeColor="text1" w:themeTint="BF"/>
    </w:rPr>
  </w:style>
  <w:style w:type="paragraph" w:styleId="ListParagraph">
    <w:name w:val="List Paragraph"/>
    <w:basedOn w:val="Normal"/>
    <w:uiPriority w:val="34"/>
    <w:qFormat/>
    <w:rsid w:val="005D125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D1255"/>
    <w:rPr>
      <w:i/>
      <w:iCs/>
      <w:color w:val="0F4761" w:themeColor="accent1" w:themeShade="BF"/>
    </w:rPr>
  </w:style>
  <w:style w:type="paragraph" w:styleId="IntenseQuote">
    <w:name w:val="Intense Quote"/>
    <w:basedOn w:val="Normal"/>
    <w:next w:val="Normal"/>
    <w:link w:val="IntenseQuoteChar"/>
    <w:uiPriority w:val="30"/>
    <w:qFormat/>
    <w:rsid w:val="005D125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D1255"/>
    <w:rPr>
      <w:i/>
      <w:iCs/>
      <w:color w:val="0F4761" w:themeColor="accent1" w:themeShade="BF"/>
    </w:rPr>
  </w:style>
  <w:style w:type="character" w:styleId="IntenseReference">
    <w:name w:val="Intense Reference"/>
    <w:basedOn w:val="DefaultParagraphFont"/>
    <w:uiPriority w:val="32"/>
    <w:qFormat/>
    <w:rsid w:val="005D1255"/>
    <w:rPr>
      <w:b/>
      <w:bCs/>
      <w:smallCaps/>
      <w:color w:val="0F4761" w:themeColor="accent1" w:themeShade="BF"/>
      <w:spacing w:val="5"/>
    </w:rPr>
  </w:style>
  <w:style w:type="paragraph" w:styleId="Footer">
    <w:name w:val="footer"/>
    <w:basedOn w:val="Normal"/>
    <w:link w:val="FooterChar"/>
    <w:uiPriority w:val="99"/>
    <w:unhideWhenUsed/>
    <w:rsid w:val="005D1255"/>
    <w:pPr>
      <w:tabs>
        <w:tab w:val="center" w:pos="4513"/>
        <w:tab w:val="right" w:pos="9026"/>
      </w:tabs>
    </w:pPr>
  </w:style>
  <w:style w:type="character" w:customStyle="1" w:styleId="FooterChar">
    <w:name w:val="Footer Char"/>
    <w:basedOn w:val="DefaultParagraphFont"/>
    <w:link w:val="Footer"/>
    <w:uiPriority w:val="99"/>
    <w:rsid w:val="005D1255"/>
    <w:rPr>
      <w:rFonts w:ascii="Times New Roman" w:eastAsia="Times New Roman" w:hAnsi="Times New Roman" w:cs="Times New Roman"/>
      <w:kern w:val="0"/>
      <w:lang w:eastAsia="lt-LT"/>
      <w14:ligatures w14:val="none"/>
    </w:rPr>
  </w:style>
  <w:style w:type="character" w:styleId="CommentReference">
    <w:name w:val="annotation reference"/>
    <w:basedOn w:val="DefaultParagraphFont"/>
    <w:uiPriority w:val="99"/>
    <w:semiHidden/>
    <w:unhideWhenUsed/>
    <w:rsid w:val="008B5C1F"/>
    <w:rPr>
      <w:sz w:val="16"/>
      <w:szCs w:val="16"/>
    </w:rPr>
  </w:style>
  <w:style w:type="paragraph" w:styleId="CommentText">
    <w:name w:val="annotation text"/>
    <w:basedOn w:val="Normal"/>
    <w:link w:val="CommentTextChar"/>
    <w:uiPriority w:val="99"/>
    <w:unhideWhenUsed/>
    <w:rsid w:val="008B5C1F"/>
    <w:rPr>
      <w:sz w:val="20"/>
      <w:szCs w:val="20"/>
    </w:rPr>
  </w:style>
  <w:style w:type="character" w:customStyle="1" w:styleId="CommentTextChar">
    <w:name w:val="Comment Text Char"/>
    <w:basedOn w:val="DefaultParagraphFont"/>
    <w:link w:val="CommentText"/>
    <w:uiPriority w:val="99"/>
    <w:rsid w:val="008B5C1F"/>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8B5C1F"/>
    <w:rPr>
      <w:b/>
      <w:bCs/>
    </w:rPr>
  </w:style>
  <w:style w:type="character" w:customStyle="1" w:styleId="CommentSubjectChar">
    <w:name w:val="Comment Subject Char"/>
    <w:basedOn w:val="CommentTextChar"/>
    <w:link w:val="CommentSubject"/>
    <w:uiPriority w:val="99"/>
    <w:semiHidden/>
    <w:rsid w:val="008B5C1F"/>
    <w:rPr>
      <w:rFonts w:ascii="Times New Roman" w:eastAsia="Times New Roman" w:hAnsi="Times New Roman" w:cs="Times New Roman"/>
      <w:b/>
      <w:bCs/>
      <w:kern w:val="0"/>
      <w:sz w:val="20"/>
      <w:szCs w:val="20"/>
      <w:lang w:eastAsia="lt-LT"/>
      <w14:ligatures w14:val="none"/>
    </w:rPr>
  </w:style>
  <w:style w:type="character" w:styleId="Hyperlink">
    <w:name w:val="Hyperlink"/>
    <w:basedOn w:val="DefaultParagraphFont"/>
    <w:uiPriority w:val="99"/>
    <w:unhideWhenUsed/>
    <w:rsid w:val="006A34AB"/>
    <w:rPr>
      <w:color w:val="467886" w:themeColor="hyperlink"/>
      <w:u w:val="single"/>
    </w:rPr>
  </w:style>
  <w:style w:type="character" w:styleId="UnresolvedMention">
    <w:name w:val="Unresolved Mention"/>
    <w:basedOn w:val="DefaultParagraphFont"/>
    <w:uiPriority w:val="99"/>
    <w:semiHidden/>
    <w:unhideWhenUsed/>
    <w:rsid w:val="006A34AB"/>
    <w:rPr>
      <w:color w:val="605E5C"/>
      <w:shd w:val="clear" w:color="auto" w:fill="E1DFDD"/>
    </w:rPr>
  </w:style>
  <w:style w:type="paragraph" w:styleId="BodyText">
    <w:name w:val="Body Text"/>
    <w:basedOn w:val="Normal"/>
    <w:link w:val="BodyTextChar"/>
    <w:uiPriority w:val="99"/>
    <w:unhideWhenUsed/>
    <w:rsid w:val="00E612BD"/>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E612BD"/>
    <w:rPr>
      <w:kern w:val="0"/>
      <w:sz w:val="22"/>
      <w:szCs w:val="22"/>
      <w14:ligatures w14:val="none"/>
    </w:rPr>
  </w:style>
  <w:style w:type="paragraph" w:styleId="Revision">
    <w:name w:val="Revision"/>
    <w:hidden/>
    <w:uiPriority w:val="99"/>
    <w:semiHidden/>
    <w:rsid w:val="006554A7"/>
    <w:pPr>
      <w:spacing w:after="0"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p@tinp.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39E89-EA7D-49DA-B322-D8C41EAB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5021</Words>
  <Characters>2863</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Gedrimienė</dc:creator>
  <cp:keywords/>
  <dc:description/>
  <cp:lastModifiedBy>Vladislav Zaplatkin</cp:lastModifiedBy>
  <cp:revision>4</cp:revision>
  <dcterms:created xsi:type="dcterms:W3CDTF">2026-06-10T13:15:00Z</dcterms:created>
  <dcterms:modified xsi:type="dcterms:W3CDTF">2026-06-23T06:31:00Z</dcterms:modified>
</cp:coreProperties>
</file>