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2410B324"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proofErr w:type="gramStart"/>
      <w:r w:rsidR="0015139E" w:rsidRPr="00380088">
        <w:rPr>
          <w:rFonts w:ascii="Verdana" w:eastAsia="Calibri" w:hAnsi="Verdana" w:cstheme="minorHAnsi"/>
          <w:b w:val="0"/>
          <w:bCs w:val="0"/>
          <w:i w:val="0"/>
          <w:iCs w:val="0"/>
          <w:sz w:val="20"/>
          <w:szCs w:val="20"/>
          <w:lang w:val="en-US"/>
        </w:rPr>
        <w:t>forma“</w:t>
      </w:r>
      <w:proofErr w:type="gramEnd"/>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252553E8"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585CC0" w:rsidRPr="00585CC0">
        <w:rPr>
          <w:rFonts w:ascii="Verdana" w:hAnsi="Verdana" w:cs="Times New Roman"/>
          <w:b/>
          <w:sz w:val="20"/>
          <w:szCs w:val="20"/>
          <w:lang w:val="en-US"/>
        </w:rPr>
        <w:t xml:space="preserve">ATMINTIES TERPIŲ (LAIKMENŲ) LTO9 </w:t>
      </w:r>
      <w:r w:rsidR="009D4A3C" w:rsidRPr="009D4A3C">
        <w:rPr>
          <w:rFonts w:ascii="Verdana" w:hAnsi="Verdana" w:cs="Times New Roman"/>
          <w:b/>
          <w:sz w:val="20"/>
          <w:szCs w:val="20"/>
          <w:lang w:val="en-US"/>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648A26F2" w14:textId="77DA4060" w:rsidR="00CD6D4D" w:rsidRPr="00CD6D4D" w:rsidRDefault="00CD6D4D" w:rsidP="00CD6D4D">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14:paraId="2304FF2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1BD9B4B" w14:textId="351A0555"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Nuostatos dėl įsipareigojimo atitikti Pirkimo sąlygas</w:t>
      </w:r>
    </w:p>
    <w:p w14:paraId="61B4511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1FB4618" w14:textId="7A52A427" w:rsidR="00CD6D4D" w:rsidRPr="00CD6D4D" w:rsidRDefault="00CD6D4D" w:rsidP="00CD6D4D">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14:paraId="04773B84" w14:textId="77777777" w:rsid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14:paraId="578D52D5" w14:textId="29BAF5DF" w:rsidR="00CD6D4D" w:rsidRP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14:paraId="63AFA3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641E4619" w14:textId="3041B04B"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Rusijos veiksmų destabilizuojant padėtį Ukrainoje</w:t>
      </w:r>
      <w:r>
        <w:rPr>
          <w:rFonts w:ascii="Verdana" w:eastAsia="Times New Roman" w:hAnsi="Verdana" w:cs="Times New Roman"/>
          <w:i/>
          <w:iCs/>
          <w:sz w:val="20"/>
          <w:szCs w:val="20"/>
        </w:rPr>
        <w:t xml:space="preserve"> </w:t>
      </w:r>
      <w:r w:rsidRPr="00CD6D4D">
        <w:rPr>
          <w:rFonts w:ascii="Verdana" w:eastAsia="Times New Roman" w:hAnsi="Verdana" w:cs="Times New Roman"/>
          <w:i/>
          <w:iCs/>
          <w:sz w:val="20"/>
          <w:szCs w:val="20"/>
        </w:rPr>
        <w:t>(pasirašydamas pasiūlymą tiekėjas patvirtina, kad atitinka žemiau nurodytus reikalavimus)</w:t>
      </w:r>
    </w:p>
    <w:p w14:paraId="787406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6235E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5EAE93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2.1.1. mano atstovaujama įmonė (ir nė viena iš bendrovių, kurios yra mūsų konsorciumo nariais) nėra įsteigta Rusijoje;</w:t>
      </w:r>
    </w:p>
    <w:p w14:paraId="0000FC55"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punkte nurodytam subjektui; </w:t>
      </w:r>
    </w:p>
    <w:p w14:paraId="40DD0233"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punkte nurodyto subjekto vardu ar jo nurodymu;</w:t>
      </w:r>
    </w:p>
    <w:p w14:paraId="79AA36A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2.1.4.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arba 2.1.3 punktuose nurodytiems subjektams.</w:t>
      </w:r>
    </w:p>
    <w:p w14:paraId="11FF30A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5FA794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2.2.1. nesu Rusijos pilietis (-ė) ar įsisteigęs Rusijoje;</w:t>
      </w:r>
    </w:p>
    <w:p w14:paraId="750B16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2.2.2. neveikiu šios deklaracijos 2.2.1 punkte nurodyto subjekto vardu ar jo nurodymu;</w:t>
      </w:r>
    </w:p>
    <w:p w14:paraId="456CC177"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2.2.3.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remiamasi,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2.2.1 arba 2.2.2 punktuose nurodytiems subjektams.</w:t>
      </w:r>
    </w:p>
    <w:p w14:paraId="7846CC8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4F20DF6F"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nacionalinio saugumo reikalavimų (pasirašydamas pasiūlymą tiekėjas patvirtina, kad atitinka žemiau nurodytus reikalavimus dėl nacionalinio saugumo)</w:t>
      </w:r>
    </w:p>
    <w:p w14:paraId="53BD422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B288C5A"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3.1. atitinkame toliau nurodomus reikalavimus:</w:t>
      </w:r>
    </w:p>
    <w:p w14:paraId="1D9D292C"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3141339C" w14:textId="77777777"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E32CB05" w14:textId="63D7BEF0" w:rsidR="009D4A3C" w:rsidRPr="009D4A3C" w:rsidRDefault="009D4A3C" w:rsidP="009D4A3C">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 xml:space="preserve">3.2.1. </w:t>
      </w:r>
      <w:r w:rsidRPr="009D4A3C">
        <w:rPr>
          <w:rFonts w:ascii="Verdana" w:eastAsia="Times New Roman" w:hAnsi="Verdana" w:cs="Times New Roman"/>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4.1 punktas;</w:t>
      </w:r>
    </w:p>
    <w:p w14:paraId="20DFEBA0" w14:textId="59675D6B" w:rsidR="009D4A3C" w:rsidRPr="00CD6D4D" w:rsidRDefault="009D4A3C" w:rsidP="009D4A3C">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3.2.2</w:t>
      </w:r>
      <w:r w:rsidRPr="009D4A3C">
        <w:rPr>
          <w:rFonts w:ascii="Verdana" w:eastAsia="Times New Roman" w:hAnsi="Verdana" w:cs="Times New Roman"/>
          <w:sz w:val="20"/>
          <w:szCs w:val="20"/>
        </w:rPr>
        <w:t>.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w:t>
      </w:r>
    </w:p>
    <w:p w14:paraId="2D65AB1C" w14:textId="26C34B99"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w:t>
      </w:r>
      <w:r w:rsidR="009D4A3C">
        <w:rPr>
          <w:rFonts w:ascii="Verdana" w:eastAsia="Times New Roman" w:hAnsi="Verdana" w:cs="Times New Roman"/>
          <w:sz w:val="20"/>
          <w:szCs w:val="20"/>
        </w:rPr>
        <w:t>3</w:t>
      </w:r>
      <w:r w:rsidRPr="00CD6D4D">
        <w:rPr>
          <w:rFonts w:ascii="Verdana" w:eastAsia="Times New Roman" w:hAnsi="Verdana" w:cs="Times New Roman"/>
          <w:sz w:val="20"/>
          <w:szCs w:val="20"/>
        </w:rPr>
        <w:t xml:space="preserve">. Patvirtinu, kad </w:t>
      </w:r>
      <w:r w:rsidRPr="00CD6D4D">
        <w:rPr>
          <w:rFonts w:ascii="Arial" w:eastAsia="Times New Roman" w:hAnsi="Arial" w:cs="Arial"/>
          <w:sz w:val="20"/>
          <w:szCs w:val="20"/>
        </w:rPr>
        <w:t>‎</w:t>
      </w:r>
      <w:r w:rsidRPr="00CD6D4D">
        <w:rPr>
          <w:rFonts w:ascii="Verdana" w:eastAsia="Times New Roman" w:hAnsi="Verdana" w:cs="Times New Roman"/>
          <w:sz w:val="20"/>
          <w:szCs w:val="20"/>
        </w:rPr>
        <w:t>3.1 punkte nurodyti duomenys yra teisingi ir aktual</w:t>
      </w:r>
      <w:r w:rsidRPr="00CD6D4D">
        <w:rPr>
          <w:rFonts w:ascii="Verdana" w:eastAsia="Times New Roman" w:hAnsi="Verdana" w:cs="Verdana"/>
          <w:sz w:val="20"/>
          <w:szCs w:val="20"/>
        </w:rPr>
        <w:t>ū</w:t>
      </w:r>
      <w:r w:rsidRPr="00CD6D4D">
        <w:rPr>
          <w:rFonts w:ascii="Verdana" w:eastAsia="Times New Roman" w:hAnsi="Verdana" w:cs="Times New Roman"/>
          <w:sz w:val="20"/>
          <w:szCs w:val="20"/>
        </w:rPr>
        <w:t>s pasi</w:t>
      </w:r>
      <w:r w:rsidRPr="00CD6D4D">
        <w:rPr>
          <w:rFonts w:ascii="Verdana" w:eastAsia="Times New Roman" w:hAnsi="Verdana" w:cs="Verdana"/>
          <w:sz w:val="20"/>
          <w:szCs w:val="20"/>
        </w:rPr>
        <w:t>ū</w:t>
      </w:r>
      <w:r w:rsidRPr="00CD6D4D">
        <w:rPr>
          <w:rFonts w:ascii="Verdana" w:eastAsia="Times New Roman" w:hAnsi="Verdana" w:cs="Times New Roman"/>
          <w:sz w:val="20"/>
          <w:szCs w:val="20"/>
        </w:rPr>
        <w:t>lymo pateikimo dien</w:t>
      </w:r>
      <w:r w:rsidRPr="00CD6D4D">
        <w:rPr>
          <w:rFonts w:ascii="Verdana" w:eastAsia="Times New Roman" w:hAnsi="Verdana" w:cs="Verdana"/>
          <w:sz w:val="20"/>
          <w:szCs w:val="20"/>
        </w:rPr>
        <w:t>ą</w:t>
      </w:r>
      <w:r w:rsidRPr="00CD6D4D">
        <w:rPr>
          <w:rFonts w:ascii="Verdana" w:eastAsia="Times New Roman" w:hAnsi="Verdana" w:cs="Times New Roman"/>
          <w:sz w:val="20"/>
          <w:szCs w:val="20"/>
        </w:rPr>
        <w:t>.</w:t>
      </w:r>
    </w:p>
    <w:p w14:paraId="306216EE" w14:textId="543C69E1"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w:t>
      </w:r>
      <w:r w:rsidR="009D4A3C">
        <w:rPr>
          <w:rFonts w:ascii="Verdana" w:eastAsia="Times New Roman" w:hAnsi="Verdana" w:cs="Times New Roman"/>
          <w:sz w:val="20"/>
          <w:szCs w:val="20"/>
        </w:rPr>
        <w:t>4</w:t>
      </w:r>
      <w:r w:rsidRPr="00CD6D4D">
        <w:rPr>
          <w:rFonts w:ascii="Verdana" w:eastAsia="Times New Roman" w:hAnsi="Verdana" w:cs="Times New Roman"/>
          <w:sz w:val="20"/>
          <w:szCs w:val="20"/>
        </w:rPr>
        <w:t>.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E16866C" w14:textId="785EDF3F"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w:t>
      </w:r>
      <w:r w:rsidR="009D4A3C">
        <w:rPr>
          <w:rFonts w:ascii="Verdana" w:eastAsia="Times New Roman" w:hAnsi="Verdana" w:cs="Times New Roman"/>
          <w:sz w:val="20"/>
          <w:szCs w:val="20"/>
        </w:rPr>
        <w:t>5</w:t>
      </w:r>
      <w:r w:rsidRPr="00CD6D4D">
        <w:rPr>
          <w:rFonts w:ascii="Verdana" w:eastAsia="Times New Roman" w:hAnsi="Verdana" w:cs="Times New Roman"/>
          <w:sz w:val="20"/>
          <w:szCs w:val="20"/>
        </w:rPr>
        <w:t>. Suprantu, kad jeigu pagal vertinimo rezultatus pasiūlymas bus pripažintas laimėjusiu, turės būti pateikti perkančiosios organizacijos nurodyti atitiktį nacionalinio saugumo reikalavimams patvirtinantys dokumentai.</w:t>
      </w:r>
    </w:p>
    <w:p w14:paraId="012FAE89" w14:textId="77777777"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23209BA" w14:textId="77777777" w:rsidR="009D4A3C" w:rsidRDefault="009D4A3C" w:rsidP="00CD6D4D">
      <w:pPr>
        <w:tabs>
          <w:tab w:val="left" w:pos="720"/>
        </w:tabs>
        <w:spacing w:after="0" w:line="240" w:lineRule="auto"/>
        <w:ind w:firstLine="720"/>
        <w:jc w:val="both"/>
        <w:rPr>
          <w:rFonts w:ascii="Verdana" w:eastAsia="Times New Roman" w:hAnsi="Verdana" w:cs="Times New Roman"/>
          <w:sz w:val="20"/>
          <w:szCs w:val="20"/>
        </w:rPr>
      </w:pPr>
    </w:p>
    <w:p w14:paraId="15DE6D39" w14:textId="77777777" w:rsidR="009D4A3C" w:rsidRPr="00CD6D4D" w:rsidRDefault="009D4A3C" w:rsidP="00CD6D4D">
      <w:pPr>
        <w:tabs>
          <w:tab w:val="left" w:pos="720"/>
        </w:tabs>
        <w:spacing w:after="0" w:line="240" w:lineRule="auto"/>
        <w:ind w:firstLine="720"/>
        <w:jc w:val="both"/>
        <w:rPr>
          <w:rFonts w:ascii="Verdana" w:eastAsia="Times New Roman" w:hAnsi="Verdana" w:cs="Times New Roman"/>
          <w:sz w:val="20"/>
          <w:szCs w:val="20"/>
        </w:rPr>
      </w:pPr>
    </w:p>
    <w:p w14:paraId="1D4774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Nuostatos dėl asmens duomenų tvarkymo</w:t>
      </w:r>
    </w:p>
    <w:p w14:paraId="59462A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73CFFB5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 suprantame, jog:</w:t>
      </w:r>
    </w:p>
    <w:p w14:paraId="0CEABE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4.1.</w:t>
      </w:r>
      <w:r w:rsidRPr="00CD6D4D">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491A8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4.2.</w:t>
      </w:r>
      <w:r w:rsidRPr="00CD6D4D">
        <w:rPr>
          <w:rFonts w:ascii="Verdana" w:eastAsia="Times New Roman" w:hAnsi="Verdana" w:cs="Times New Roman"/>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2FBA9AD"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0BA908C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sz w:val="20"/>
          <w:szCs w:val="20"/>
        </w:rPr>
        <w:t xml:space="preserve"> </w:t>
      </w:r>
      <w:r w:rsidRPr="00CD6D4D">
        <w:rPr>
          <w:rFonts w:ascii="Verdana" w:eastAsia="Times New Roman" w:hAnsi="Verdana" w:cs="Times New Roman"/>
          <w:i/>
          <w:iCs/>
          <w:sz w:val="20"/>
          <w:szCs w:val="20"/>
        </w:rPr>
        <w:t>Nuostatos dėl Perkančiosios organizacijos Tiekėjų etikos kodekso</w:t>
      </w:r>
    </w:p>
    <w:p w14:paraId="6EC24CE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2F0C200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5.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34B3F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6.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6C8AB996" w14:textId="77777777"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7. 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71209049" w14:textId="465AE334" w:rsidR="002B55D2" w:rsidRPr="00380088" w:rsidRDefault="00CD6D4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 xml:space="preserve">8. </w:t>
      </w:r>
      <w:r w:rsidR="002B55D2" w:rsidRPr="00380088">
        <w:rPr>
          <w:rFonts w:ascii="Verdana" w:eastAsia="Times New Roman" w:hAnsi="Verdana" w:cs="Times New Roman"/>
          <w:sz w:val="20"/>
          <w:szCs w:val="20"/>
        </w:rPr>
        <w:t>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915"/>
        <w:gridCol w:w="1216"/>
        <w:gridCol w:w="972"/>
        <w:gridCol w:w="1701"/>
        <w:gridCol w:w="2865"/>
      </w:tblGrid>
      <w:tr w:rsidR="009D4A3C" w:rsidRPr="00380088" w14:paraId="767EBE5A" w14:textId="77777777" w:rsidTr="59FF2906">
        <w:trPr>
          <w:trHeight w:val="1"/>
        </w:trPr>
        <w:tc>
          <w:tcPr>
            <w:tcW w:w="610" w:type="dxa"/>
            <w:tcBorders>
              <w:top w:val="single" w:sz="4" w:space="0" w:color="auto"/>
              <w:left w:val="single" w:sz="4" w:space="0" w:color="auto"/>
              <w:bottom w:val="single" w:sz="4" w:space="0" w:color="auto"/>
              <w:right w:val="single" w:sz="4" w:space="0" w:color="auto"/>
            </w:tcBorders>
          </w:tcPr>
          <w:p w14:paraId="477E2135" w14:textId="77777777" w:rsidR="009D4A3C" w:rsidRPr="00585CC0" w:rsidRDefault="009D4A3C"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585CC0">
              <w:rPr>
                <w:rFonts w:ascii="Verdana" w:eastAsia="Times New Roman" w:hAnsi="Verdana" w:cs="Times New Roman"/>
                <w:b/>
                <w:noProof/>
                <w:color w:val="000000"/>
                <w:sz w:val="20"/>
                <w:szCs w:val="20"/>
                <w:lang w:eastAsia="en-US"/>
              </w:rPr>
              <w:t>Eil. Nr.</w:t>
            </w:r>
          </w:p>
        </w:tc>
        <w:tc>
          <w:tcPr>
            <w:tcW w:w="2915" w:type="dxa"/>
            <w:tcBorders>
              <w:top w:val="single" w:sz="4" w:space="0" w:color="auto"/>
              <w:left w:val="single" w:sz="4" w:space="0" w:color="auto"/>
              <w:bottom w:val="single" w:sz="4" w:space="0" w:color="auto"/>
              <w:right w:val="single" w:sz="4" w:space="0" w:color="auto"/>
            </w:tcBorders>
          </w:tcPr>
          <w:p w14:paraId="4CCCD667" w14:textId="085E9C3E" w:rsidR="009D4A3C" w:rsidRPr="00585CC0" w:rsidRDefault="009D4A3C"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Prekių pavadinimas</w:t>
            </w:r>
          </w:p>
        </w:tc>
        <w:tc>
          <w:tcPr>
            <w:tcW w:w="1216" w:type="dxa"/>
            <w:tcBorders>
              <w:top w:val="single" w:sz="4" w:space="0" w:color="auto"/>
              <w:left w:val="single" w:sz="4" w:space="0" w:color="auto"/>
              <w:bottom w:val="single" w:sz="4" w:space="0" w:color="auto"/>
              <w:right w:val="single" w:sz="4" w:space="0" w:color="auto"/>
            </w:tcBorders>
          </w:tcPr>
          <w:p w14:paraId="26CD06D5" w14:textId="0BEDF4F2" w:rsidR="009D4A3C" w:rsidRPr="00585CC0" w:rsidRDefault="009D4A3C"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Mato vienetas</w:t>
            </w:r>
          </w:p>
        </w:tc>
        <w:tc>
          <w:tcPr>
            <w:tcW w:w="972" w:type="dxa"/>
            <w:tcBorders>
              <w:top w:val="single" w:sz="4" w:space="0" w:color="auto"/>
              <w:left w:val="single" w:sz="4" w:space="0" w:color="auto"/>
              <w:bottom w:val="single" w:sz="4" w:space="0" w:color="auto"/>
              <w:right w:val="single" w:sz="4" w:space="0" w:color="auto"/>
            </w:tcBorders>
          </w:tcPr>
          <w:p w14:paraId="686188D9" w14:textId="0FDB3BA8" w:rsidR="009D4A3C" w:rsidRPr="00585CC0" w:rsidRDefault="009D4A3C"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AC860D5" w14:textId="7C985C11" w:rsidR="009D4A3C" w:rsidRPr="00585CC0" w:rsidRDefault="009D4A3C" w:rsidP="19837116">
            <w:pPr>
              <w:tabs>
                <w:tab w:val="left" w:pos="720"/>
              </w:tabs>
              <w:spacing w:after="0" w:line="240" w:lineRule="auto"/>
              <w:jc w:val="center"/>
              <w:rPr>
                <w:rFonts w:ascii="Verdana" w:eastAsia="Times New Roman" w:hAnsi="Verdana" w:cs="Times New Roman"/>
                <w:b/>
                <w:bCs/>
                <w:noProof/>
                <w:color w:val="000000"/>
                <w:sz w:val="20"/>
                <w:szCs w:val="20"/>
                <w:lang w:eastAsia="en-US"/>
              </w:rPr>
            </w:pPr>
            <w:r w:rsidRPr="00585CC0">
              <w:rPr>
                <w:rFonts w:ascii="Verdana" w:eastAsia="Times New Roman" w:hAnsi="Verdana" w:cs="Times New Roman"/>
                <w:b/>
                <w:bCs/>
                <w:noProof/>
                <w:color w:val="000000" w:themeColor="text1"/>
                <w:sz w:val="20"/>
                <w:szCs w:val="20"/>
                <w:lang w:eastAsia="en-US"/>
              </w:rPr>
              <w:t>Vieneto kaina, Eur be PVM</w:t>
            </w:r>
            <w:r w:rsidRPr="00585CC0">
              <w:rPr>
                <w:rFonts w:ascii="Verdana" w:eastAsia="Times New Roman" w:hAnsi="Verdana" w:cs="Times New Roman"/>
                <w:b/>
                <w:bCs/>
                <w:noProof/>
                <w:sz w:val="20"/>
                <w:szCs w:val="20"/>
                <w:lang w:eastAsia="en-US"/>
              </w:rPr>
              <w:t xml:space="preserve"> </w:t>
            </w:r>
          </w:p>
        </w:tc>
        <w:tc>
          <w:tcPr>
            <w:tcW w:w="2865" w:type="dxa"/>
          </w:tcPr>
          <w:p w14:paraId="0116FD95" w14:textId="03A6EACE" w:rsidR="009D4A3C" w:rsidRPr="00585CC0" w:rsidRDefault="00B162D9"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Bendra pasiūlymo</w:t>
            </w:r>
            <w:r w:rsidR="009D4A3C" w:rsidRPr="00585CC0">
              <w:rPr>
                <w:rFonts w:ascii="Verdana" w:eastAsia="Times New Roman" w:hAnsi="Verdana" w:cs="Times New Roman"/>
                <w:b/>
                <w:noProof/>
                <w:color w:val="000000"/>
                <w:sz w:val="20"/>
                <w:szCs w:val="20"/>
                <w:lang w:eastAsia="en-US"/>
              </w:rPr>
              <w:t xml:space="preserve"> kaina</w:t>
            </w:r>
            <w:r w:rsidR="00585CC0" w:rsidRPr="00585CC0">
              <w:rPr>
                <w:rFonts w:ascii="Verdana" w:eastAsia="Times New Roman" w:hAnsi="Verdana" w:cs="Times New Roman"/>
                <w:b/>
                <w:noProof/>
                <w:color w:val="000000"/>
                <w:sz w:val="20"/>
                <w:szCs w:val="20"/>
                <w:lang w:eastAsia="en-US"/>
              </w:rPr>
              <w:t>,</w:t>
            </w:r>
            <w:r w:rsidR="009D4A3C" w:rsidRPr="00585CC0">
              <w:rPr>
                <w:rFonts w:ascii="Verdana" w:eastAsia="Times New Roman" w:hAnsi="Verdana" w:cs="Times New Roman"/>
                <w:b/>
                <w:noProof/>
                <w:color w:val="000000"/>
                <w:sz w:val="20"/>
                <w:szCs w:val="20"/>
                <w:lang w:eastAsia="en-US"/>
              </w:rPr>
              <w:t>E</w:t>
            </w:r>
            <w:r w:rsidR="00585CC0" w:rsidRPr="00585CC0">
              <w:rPr>
                <w:rFonts w:ascii="Verdana" w:eastAsia="Times New Roman" w:hAnsi="Verdana" w:cs="Times New Roman"/>
                <w:b/>
                <w:noProof/>
                <w:color w:val="000000"/>
                <w:sz w:val="20"/>
                <w:szCs w:val="20"/>
                <w:lang w:eastAsia="en-US"/>
              </w:rPr>
              <w:t>ur</w:t>
            </w:r>
            <w:r w:rsidR="009D4A3C" w:rsidRPr="00585CC0">
              <w:rPr>
                <w:rFonts w:ascii="Verdana" w:eastAsia="Times New Roman" w:hAnsi="Verdana" w:cs="Times New Roman"/>
                <w:b/>
                <w:noProof/>
                <w:color w:val="000000"/>
                <w:sz w:val="20"/>
                <w:szCs w:val="20"/>
                <w:lang w:eastAsia="en-US"/>
              </w:rPr>
              <w:t xml:space="preserve"> be PVM</w:t>
            </w:r>
          </w:p>
        </w:tc>
      </w:tr>
      <w:tr w:rsidR="009D4A3C" w:rsidRPr="00380088" w14:paraId="7430044F" w14:textId="77777777" w:rsidTr="59FF2906">
        <w:trPr>
          <w:trHeight w:val="49"/>
        </w:trPr>
        <w:tc>
          <w:tcPr>
            <w:tcW w:w="610" w:type="dxa"/>
            <w:tcBorders>
              <w:top w:val="single" w:sz="4" w:space="0" w:color="auto"/>
              <w:left w:val="single" w:sz="4" w:space="0" w:color="auto"/>
              <w:bottom w:val="single" w:sz="4" w:space="0" w:color="auto"/>
              <w:right w:val="single" w:sz="4" w:space="0" w:color="auto"/>
            </w:tcBorders>
            <w:vAlign w:val="center"/>
          </w:tcPr>
          <w:p w14:paraId="7759702A" w14:textId="77777777" w:rsidR="009D4A3C" w:rsidRPr="00585CC0"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1</w:t>
            </w:r>
          </w:p>
        </w:tc>
        <w:tc>
          <w:tcPr>
            <w:tcW w:w="2915" w:type="dxa"/>
            <w:tcBorders>
              <w:top w:val="single" w:sz="4" w:space="0" w:color="auto"/>
              <w:left w:val="single" w:sz="4" w:space="0" w:color="auto"/>
              <w:bottom w:val="single" w:sz="4" w:space="0" w:color="auto"/>
              <w:right w:val="single" w:sz="4" w:space="0" w:color="auto"/>
            </w:tcBorders>
            <w:vAlign w:val="center"/>
          </w:tcPr>
          <w:p w14:paraId="3D30E3A2" w14:textId="77777777" w:rsidR="009D4A3C" w:rsidRPr="00585CC0"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2</w:t>
            </w:r>
          </w:p>
        </w:tc>
        <w:tc>
          <w:tcPr>
            <w:tcW w:w="1216" w:type="dxa"/>
            <w:tcBorders>
              <w:top w:val="single" w:sz="4" w:space="0" w:color="auto"/>
              <w:left w:val="single" w:sz="4" w:space="0" w:color="auto"/>
              <w:bottom w:val="single" w:sz="4" w:space="0" w:color="auto"/>
              <w:right w:val="single" w:sz="4" w:space="0" w:color="auto"/>
            </w:tcBorders>
            <w:vAlign w:val="center"/>
          </w:tcPr>
          <w:p w14:paraId="6B1E9E1F" w14:textId="333BA4B1" w:rsidR="009D4A3C" w:rsidRPr="00585CC0"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3</w:t>
            </w:r>
          </w:p>
        </w:tc>
        <w:tc>
          <w:tcPr>
            <w:tcW w:w="972" w:type="dxa"/>
            <w:tcBorders>
              <w:top w:val="single" w:sz="4" w:space="0" w:color="auto"/>
              <w:left w:val="single" w:sz="4" w:space="0" w:color="auto"/>
              <w:bottom w:val="single" w:sz="4" w:space="0" w:color="auto"/>
              <w:right w:val="single" w:sz="4" w:space="0" w:color="auto"/>
            </w:tcBorders>
            <w:vAlign w:val="center"/>
          </w:tcPr>
          <w:p w14:paraId="2979ADA4" w14:textId="228BE00A" w:rsidR="009D4A3C" w:rsidRPr="00585CC0"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7A857129" w14:textId="054C3658" w:rsidR="009D4A3C" w:rsidRPr="00585CC0"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585CC0">
              <w:rPr>
                <w:rFonts w:ascii="Verdana" w:eastAsia="Times New Roman" w:hAnsi="Verdana" w:cs="Times New Roman"/>
                <w:b/>
                <w:noProof/>
                <w:color w:val="000000"/>
                <w:sz w:val="20"/>
                <w:szCs w:val="20"/>
                <w:lang w:eastAsia="en-US"/>
              </w:rPr>
              <w:t>5</w:t>
            </w:r>
          </w:p>
        </w:tc>
        <w:tc>
          <w:tcPr>
            <w:tcW w:w="2865" w:type="dxa"/>
            <w:vAlign w:val="center"/>
          </w:tcPr>
          <w:p w14:paraId="3ECBF25B" w14:textId="2DBDC296" w:rsidR="009D4A3C" w:rsidRPr="00585CC0" w:rsidRDefault="7A3F11C8" w:rsidP="19837116">
            <w:pPr>
              <w:tabs>
                <w:tab w:val="left" w:pos="720"/>
              </w:tabs>
              <w:spacing w:after="0" w:line="240" w:lineRule="auto"/>
              <w:jc w:val="center"/>
              <w:rPr>
                <w:rFonts w:ascii="Verdana" w:hAnsi="Verdana"/>
                <w:sz w:val="20"/>
                <w:szCs w:val="20"/>
              </w:rPr>
            </w:pPr>
            <w:r w:rsidRPr="00585CC0">
              <w:rPr>
                <w:rFonts w:ascii="Verdana" w:eastAsia="Times New Roman" w:hAnsi="Verdana" w:cs="Times New Roman"/>
                <w:b/>
                <w:bCs/>
                <w:noProof/>
                <w:color w:val="000000" w:themeColor="text1"/>
                <w:sz w:val="20"/>
                <w:szCs w:val="20"/>
                <w:lang w:eastAsia="en-US"/>
              </w:rPr>
              <w:t>6 (4x5)</w:t>
            </w:r>
          </w:p>
        </w:tc>
      </w:tr>
      <w:tr w:rsidR="009D4A3C" w:rsidRPr="00380088" w14:paraId="437EB547" w14:textId="77777777" w:rsidTr="59FF2906">
        <w:trPr>
          <w:trHeight w:val="4"/>
        </w:trPr>
        <w:tc>
          <w:tcPr>
            <w:tcW w:w="610" w:type="dxa"/>
            <w:tcBorders>
              <w:top w:val="single" w:sz="4" w:space="0" w:color="auto"/>
              <w:left w:val="single" w:sz="4" w:space="0" w:color="auto"/>
              <w:bottom w:val="single" w:sz="4" w:space="0" w:color="auto"/>
              <w:right w:val="single" w:sz="4" w:space="0" w:color="auto"/>
            </w:tcBorders>
            <w:vAlign w:val="center"/>
          </w:tcPr>
          <w:p w14:paraId="71225251" w14:textId="5ADD93EC" w:rsidR="009D4A3C" w:rsidRPr="00585CC0" w:rsidRDefault="009D4A3C"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585CC0">
              <w:rPr>
                <w:rFonts w:ascii="Verdana" w:eastAsia="Times New Roman" w:hAnsi="Verdana" w:cs="Times New Roman"/>
                <w:noProof/>
                <w:color w:val="000000"/>
                <w:sz w:val="20"/>
                <w:szCs w:val="20"/>
                <w:lang w:eastAsia="en-US"/>
              </w:rPr>
              <w:t>1.</w:t>
            </w:r>
          </w:p>
        </w:tc>
        <w:tc>
          <w:tcPr>
            <w:tcW w:w="2915" w:type="dxa"/>
            <w:tcBorders>
              <w:top w:val="single" w:sz="4" w:space="0" w:color="auto"/>
              <w:left w:val="single" w:sz="4" w:space="0" w:color="auto"/>
              <w:bottom w:val="single" w:sz="4" w:space="0" w:color="auto"/>
              <w:right w:val="single" w:sz="4" w:space="0" w:color="auto"/>
            </w:tcBorders>
            <w:vAlign w:val="center"/>
          </w:tcPr>
          <w:p w14:paraId="4CBCE4F0" w14:textId="35EACD73" w:rsidR="009D4A3C" w:rsidRPr="00585CC0" w:rsidRDefault="00585CC0" w:rsidP="00585CC0">
            <w:pPr>
              <w:tabs>
                <w:tab w:val="left" w:pos="720"/>
              </w:tabs>
              <w:spacing w:after="0" w:line="240" w:lineRule="auto"/>
              <w:rPr>
                <w:rFonts w:ascii="Verdana" w:eastAsia="Times New Roman" w:hAnsi="Verdana" w:cs="Times New Roman"/>
                <w:noProof/>
                <w:color w:val="000000"/>
                <w:sz w:val="20"/>
                <w:szCs w:val="20"/>
                <w:lang w:eastAsia="en-US"/>
              </w:rPr>
            </w:pPr>
            <w:r w:rsidRPr="00585CC0">
              <w:rPr>
                <w:rFonts w:ascii="Verdana" w:eastAsia="Times New Roman" w:hAnsi="Verdana" w:cs="Times New Roman"/>
                <w:sz w:val="20"/>
                <w:szCs w:val="20"/>
              </w:rPr>
              <w:t>Atminties terpės (laikmenos) LTO-9</w:t>
            </w:r>
          </w:p>
        </w:tc>
        <w:tc>
          <w:tcPr>
            <w:tcW w:w="1216" w:type="dxa"/>
            <w:tcBorders>
              <w:top w:val="single" w:sz="4" w:space="0" w:color="auto"/>
              <w:left w:val="single" w:sz="4" w:space="0" w:color="auto"/>
              <w:bottom w:val="single" w:sz="4" w:space="0" w:color="auto"/>
              <w:right w:val="single" w:sz="4" w:space="0" w:color="auto"/>
            </w:tcBorders>
            <w:vAlign w:val="center"/>
          </w:tcPr>
          <w:p w14:paraId="23C487DD" w14:textId="16182A93" w:rsidR="009D4A3C" w:rsidRPr="00585CC0" w:rsidRDefault="009D4A3C"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585CC0">
              <w:rPr>
                <w:rFonts w:ascii="Verdana" w:eastAsia="Times New Roman" w:hAnsi="Verdana" w:cs="Times New Roman"/>
                <w:noProof/>
                <w:color w:val="000000"/>
                <w:sz w:val="20"/>
                <w:szCs w:val="20"/>
                <w:lang w:eastAsia="en-US"/>
              </w:rPr>
              <w:t>vnt</w:t>
            </w:r>
          </w:p>
        </w:tc>
        <w:tc>
          <w:tcPr>
            <w:tcW w:w="972" w:type="dxa"/>
            <w:tcBorders>
              <w:top w:val="single" w:sz="4" w:space="0" w:color="auto"/>
              <w:left w:val="single" w:sz="4" w:space="0" w:color="auto"/>
              <w:bottom w:val="single" w:sz="4" w:space="0" w:color="auto"/>
              <w:right w:val="single" w:sz="4" w:space="0" w:color="auto"/>
            </w:tcBorders>
            <w:vAlign w:val="center"/>
          </w:tcPr>
          <w:p w14:paraId="7E677111" w14:textId="0A152D4F" w:rsidR="009D4A3C" w:rsidRPr="00585CC0" w:rsidRDefault="00585CC0"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585CC0">
              <w:rPr>
                <w:rFonts w:ascii="Verdana" w:eastAsia="Times New Roman" w:hAnsi="Verdana" w:cs="Times New Roman"/>
                <w:noProof/>
                <w:color w:val="000000"/>
                <w:sz w:val="20"/>
                <w:szCs w:val="20"/>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9D4E1D7" w14:textId="471C951D" w:rsidR="009D4A3C" w:rsidRPr="00585CC0" w:rsidRDefault="009D4A3C" w:rsidP="009D4A3C">
            <w:pPr>
              <w:tabs>
                <w:tab w:val="left" w:pos="720"/>
              </w:tabs>
              <w:spacing w:after="0" w:line="240" w:lineRule="auto"/>
              <w:jc w:val="center"/>
              <w:rPr>
                <w:rFonts w:ascii="Verdana" w:eastAsia="Times New Roman" w:hAnsi="Verdana" w:cs="Times New Roman"/>
                <w:noProof/>
                <w:color w:val="000000"/>
                <w:sz w:val="20"/>
                <w:szCs w:val="20"/>
                <w:lang w:eastAsia="en-US"/>
              </w:rPr>
            </w:pPr>
            <w:r w:rsidRPr="00585CC0">
              <w:rPr>
                <w:rFonts w:ascii="Verdana" w:eastAsia="Times New Roman" w:hAnsi="Verdana" w:cs="Times New Roman"/>
                <w:i/>
                <w:iCs/>
                <w:noProof/>
                <w:color w:val="000000"/>
                <w:sz w:val="20"/>
                <w:szCs w:val="20"/>
                <w:lang w:eastAsia="en-US"/>
              </w:rPr>
              <w:t>įrašyti</w:t>
            </w:r>
          </w:p>
        </w:tc>
        <w:tc>
          <w:tcPr>
            <w:tcW w:w="2865" w:type="dxa"/>
            <w:vAlign w:val="center"/>
          </w:tcPr>
          <w:p w14:paraId="4F439FC3" w14:textId="23853ACD" w:rsidR="009D4A3C" w:rsidRPr="00585CC0"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585CC0">
              <w:rPr>
                <w:rFonts w:ascii="Verdana" w:eastAsia="Times New Roman" w:hAnsi="Verdana" w:cs="Times New Roman"/>
                <w:i/>
                <w:iCs/>
                <w:noProof/>
                <w:color w:val="000000"/>
                <w:sz w:val="20"/>
                <w:szCs w:val="20"/>
                <w:lang w:eastAsia="en-US"/>
              </w:rPr>
              <w:t>įrašyti</w:t>
            </w:r>
          </w:p>
        </w:tc>
      </w:tr>
      <w:tr w:rsidR="009D4A3C" w:rsidRPr="00380088" w14:paraId="186A339D" w14:textId="77777777" w:rsidTr="59FF2906">
        <w:trPr>
          <w:trHeight w:val="2"/>
        </w:trPr>
        <w:tc>
          <w:tcPr>
            <w:tcW w:w="7414" w:type="dxa"/>
            <w:gridSpan w:val="5"/>
            <w:tcBorders>
              <w:top w:val="single" w:sz="4" w:space="0" w:color="auto"/>
              <w:left w:val="single" w:sz="4" w:space="0" w:color="auto"/>
              <w:bottom w:val="single" w:sz="4" w:space="0" w:color="auto"/>
            </w:tcBorders>
            <w:vAlign w:val="center"/>
          </w:tcPr>
          <w:p w14:paraId="285D9B7E" w14:textId="3F8B1598" w:rsidR="009D4A3C" w:rsidRPr="00585CC0"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sidRPr="00585CC0">
              <w:rPr>
                <w:rFonts w:ascii="Verdana" w:eastAsia="Times New Roman" w:hAnsi="Verdana" w:cs="Times New Roman"/>
                <w:i/>
                <w:iCs/>
                <w:noProof/>
                <w:color w:val="000000"/>
                <w:sz w:val="20"/>
                <w:szCs w:val="20"/>
                <w:lang w:eastAsia="en-US"/>
              </w:rPr>
              <w:t>PVM*</w:t>
            </w:r>
          </w:p>
        </w:tc>
        <w:tc>
          <w:tcPr>
            <w:tcW w:w="2865" w:type="dxa"/>
            <w:vAlign w:val="center"/>
          </w:tcPr>
          <w:p w14:paraId="2A22E9A5" w14:textId="77777777" w:rsidR="009D4A3C" w:rsidRPr="00585CC0"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9D4A3C" w:rsidRPr="00380088" w14:paraId="5872F46F" w14:textId="77777777" w:rsidTr="59FF2906">
        <w:trPr>
          <w:trHeight w:val="2"/>
        </w:trPr>
        <w:tc>
          <w:tcPr>
            <w:tcW w:w="7414" w:type="dxa"/>
            <w:gridSpan w:val="5"/>
            <w:tcBorders>
              <w:top w:val="single" w:sz="4" w:space="0" w:color="auto"/>
              <w:left w:val="single" w:sz="4" w:space="0" w:color="auto"/>
              <w:bottom w:val="single" w:sz="4" w:space="0" w:color="auto"/>
            </w:tcBorders>
            <w:vAlign w:val="center"/>
          </w:tcPr>
          <w:p w14:paraId="563F4252" w14:textId="192A312B" w:rsidR="009D4A3C" w:rsidRPr="00585CC0"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sidRPr="00585CC0">
              <w:rPr>
                <w:rFonts w:ascii="Verdana" w:eastAsia="Times New Roman" w:hAnsi="Verdana" w:cs="Times New Roman"/>
                <w:i/>
                <w:iCs/>
                <w:noProof/>
                <w:color w:val="000000"/>
                <w:sz w:val="20"/>
                <w:szCs w:val="20"/>
                <w:lang w:eastAsia="en-US"/>
              </w:rPr>
              <w:t>Bendra pasiūlymo kaina, Eur su PVM</w:t>
            </w:r>
          </w:p>
        </w:tc>
        <w:tc>
          <w:tcPr>
            <w:tcW w:w="2865" w:type="dxa"/>
            <w:vAlign w:val="center"/>
          </w:tcPr>
          <w:p w14:paraId="53E02186" w14:textId="77777777" w:rsidR="009D4A3C" w:rsidRPr="00585CC0"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380088" w:rsidRDefault="00366B16" w:rsidP="004060C3">
      <w:pPr>
        <w:spacing w:after="0" w:line="240" w:lineRule="auto"/>
        <w:rPr>
          <w:rFonts w:ascii="Verdana" w:hAnsi="Verdana" w:cs="Times New Roman"/>
          <w:sz w:val="20"/>
          <w:szCs w:val="20"/>
        </w:rPr>
      </w:pPr>
      <w:r>
        <w:rPr>
          <w:rFonts w:ascii="Verdana" w:hAnsi="Verdana" w:cs="Times New Roman"/>
          <w:b/>
          <w:bCs/>
          <w:sz w:val="20"/>
          <w:szCs w:val="20"/>
        </w:rPr>
        <w:t>Bendra pasiūlymo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6DBF4849"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9</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2FEF3A8"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10</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148BCF56" w:rsidR="007C372D" w:rsidRPr="00380088" w:rsidRDefault="007C372D" w:rsidP="00CD6D4D">
      <w:pPr>
        <w:tabs>
          <w:tab w:val="left" w:pos="1418"/>
        </w:tabs>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CD6D4D">
        <w:rPr>
          <w:rFonts w:ascii="Verdana" w:eastAsia="Times New Roman" w:hAnsi="Verdana" w:cs="Times New Roman"/>
          <w:sz w:val="20"/>
          <w:szCs w:val="20"/>
        </w:rPr>
        <w:t>10</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399236AC" w14:textId="77777777" w:rsid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Pasiūlymas galioja 3 mėnesius.</w:t>
      </w:r>
    </w:p>
    <w:p w14:paraId="078F630F" w14:textId="4D11A921" w:rsidR="007C372D" w:rsidRP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lastRenderedPageBreak/>
        <w:t>Pastaba: *pildyti  tuomet, jei bus pateikta konfidenciali informacija. Atkreipiame dėmesį, kad Lietuvos Respublikos viešųjų pirkimų įstatymo 20 straipsnyje nurodyta, kokia informacija negali būti laikoma konfidencialia.</w:t>
      </w:r>
    </w:p>
    <w:p w14:paraId="5D27E4A7" w14:textId="18CF3BFA"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6A91" w14:textId="77777777" w:rsidR="00EA2996" w:rsidRDefault="00EA2996" w:rsidP="002B55D2">
      <w:pPr>
        <w:spacing w:after="0" w:line="240" w:lineRule="auto"/>
      </w:pPr>
      <w:r>
        <w:separator/>
      </w:r>
    </w:p>
  </w:endnote>
  <w:endnote w:type="continuationSeparator" w:id="0">
    <w:p w14:paraId="580F5646" w14:textId="77777777" w:rsidR="00EA2996" w:rsidRDefault="00EA2996"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3D3F" w14:textId="77777777" w:rsidR="00EA2996" w:rsidRDefault="00EA2996" w:rsidP="002B55D2">
      <w:pPr>
        <w:spacing w:after="0" w:line="240" w:lineRule="auto"/>
      </w:pPr>
      <w:r>
        <w:separator/>
      </w:r>
    </w:p>
  </w:footnote>
  <w:footnote w:type="continuationSeparator" w:id="0">
    <w:p w14:paraId="79BCA4C9" w14:textId="77777777" w:rsidR="00EA2996" w:rsidRDefault="00EA2996"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229078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63E"/>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5CC0"/>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4A3C"/>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B77"/>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2D9"/>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8E5"/>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1BF5"/>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2996"/>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 w:val="0AE8593B"/>
    <w:rsid w:val="19837116"/>
    <w:rsid w:val="59FF2906"/>
    <w:rsid w:val="5D13B15F"/>
    <w:rsid w:val="7A3F1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80203B-DE84-4E7E-848F-34587748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41392-1e13-4489-8113-a028b870b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4.xml><?xml version="1.0" encoding="utf-8"?>
<ds:datastoreItem xmlns:ds="http://schemas.openxmlformats.org/officeDocument/2006/customXml" ds:itemID="{4A352B55-BC5E-414F-9613-A2630AFAE9B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10614</Characters>
  <Application>Microsoft Office Word</Application>
  <DocSecurity>0</DocSecurity>
  <Lines>331</Lines>
  <Paragraphs>117</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24</cp:revision>
  <cp:lastPrinted>2018-10-04T13:28:00Z</cp:lastPrinted>
  <dcterms:created xsi:type="dcterms:W3CDTF">2025-03-12T09:37:00Z</dcterms:created>
  <dcterms:modified xsi:type="dcterms:W3CDTF">2026-06-22T15:08:00Z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