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2FC5" w14:textId="2A2AE2F2" w:rsidR="00F8695E" w:rsidRPr="00A76C47" w:rsidRDefault="00F804D5" w:rsidP="00F8695E">
      <w:pPr>
        <w:shd w:val="clear" w:color="auto" w:fill="FFFFFF"/>
        <w:spacing w:line="360" w:lineRule="auto"/>
        <w:jc w:val="center"/>
        <w:rPr>
          <w:b/>
          <w:color w:val="000000"/>
        </w:rPr>
      </w:pPr>
      <w:r w:rsidRPr="00605D24">
        <w:rPr>
          <w:b/>
          <w:noProof/>
          <w:color w:val="000000"/>
          <w:lang w:eastAsia="lt-LT"/>
        </w:rPr>
        <w:drawing>
          <wp:inline distT="0" distB="0" distL="0" distR="0" wp14:anchorId="0CB3D1AD" wp14:editId="032D7C7F">
            <wp:extent cx="666750" cy="7048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22804CDE" w14:textId="77777777" w:rsidR="00F8695E" w:rsidRPr="00A76C47" w:rsidRDefault="00F8695E" w:rsidP="00F8695E">
      <w:pPr>
        <w:widowControl w:val="0"/>
        <w:autoSpaceDE w:val="0"/>
        <w:autoSpaceDN w:val="0"/>
        <w:adjustRightInd w:val="0"/>
        <w:jc w:val="center"/>
        <w:outlineLvl w:val="0"/>
        <w:rPr>
          <w:rFonts w:ascii="Constantia" w:hAnsi="Constantia"/>
          <w:b/>
          <w:bCs/>
          <w:color w:val="333333"/>
        </w:rPr>
      </w:pPr>
      <w:r w:rsidRPr="00A76C47">
        <w:rPr>
          <w:rFonts w:ascii="Constantia" w:hAnsi="Constantia"/>
          <w:b/>
          <w:bCs/>
          <w:color w:val="333333"/>
        </w:rPr>
        <w:t>VIEŠOJI ĮSTAIGA</w:t>
      </w:r>
    </w:p>
    <w:p w14:paraId="2F11B23F" w14:textId="77777777" w:rsidR="00F8695E" w:rsidRPr="00A76C47" w:rsidRDefault="00F8695E" w:rsidP="00F8695E">
      <w:pPr>
        <w:jc w:val="center"/>
        <w:outlineLvl w:val="0"/>
        <w:rPr>
          <w:rFonts w:ascii="Constantia" w:hAnsi="Constantia"/>
          <w:b/>
          <w:bCs/>
          <w:color w:val="333333"/>
        </w:rPr>
      </w:pPr>
      <w:bookmarkStart w:id="0" w:name="_Hlk187867074"/>
      <w:r w:rsidRPr="00A76C47">
        <w:rPr>
          <w:rFonts w:ascii="Constantia" w:hAnsi="Constantia"/>
          <w:b/>
          <w:bCs/>
          <w:color w:val="333333"/>
        </w:rPr>
        <w:t>RESPUBLIKINĖ VILNIAUS PSICHIATRIJOS LIGONINĖ</w:t>
      </w:r>
    </w:p>
    <w:bookmarkEnd w:id="0"/>
    <w:p w14:paraId="54EFED4F" w14:textId="77777777" w:rsidR="00F8695E" w:rsidRPr="00A007FB" w:rsidRDefault="00F8695E" w:rsidP="00F8695E">
      <w:pPr>
        <w:jc w:val="center"/>
        <w:rPr>
          <w:rFonts w:ascii="Candara" w:hAnsi="Candara"/>
          <w:b/>
          <w:bCs/>
          <w:color w:val="333333"/>
        </w:rPr>
      </w:pPr>
    </w:p>
    <w:p w14:paraId="136FC20C" w14:textId="620AEE05" w:rsidR="00F8695E" w:rsidRPr="00A007FB" w:rsidRDefault="00F8695E" w:rsidP="00F8695E">
      <w:pPr>
        <w:keepNext/>
        <w:jc w:val="center"/>
        <w:outlineLvl w:val="0"/>
        <w:rPr>
          <w:rFonts w:ascii="Candara" w:hAnsi="Candara"/>
          <w:bCs/>
          <w:color w:val="333333"/>
          <w:sz w:val="16"/>
        </w:rPr>
      </w:pPr>
      <w:r w:rsidRPr="00A007FB">
        <w:rPr>
          <w:rFonts w:ascii="Candara" w:hAnsi="Candara"/>
          <w:bCs/>
          <w:color w:val="333333"/>
          <w:sz w:val="16"/>
        </w:rPr>
        <w:t xml:space="preserve">Viešoji įstaiga, Parko g. 21,  LT-11205 Vilnius, tel. (8 5)  267 1451, el. p. </w:t>
      </w:r>
      <w:hyperlink r:id="rId8" w:history="1">
        <w:r w:rsidRPr="00A007FB">
          <w:rPr>
            <w:rFonts w:ascii="Candara" w:hAnsi="Candara"/>
            <w:bCs/>
            <w:color w:val="333333"/>
            <w:sz w:val="16"/>
          </w:rPr>
          <w:t>psichiatrija@rvpl.lt</w:t>
        </w:r>
      </w:hyperlink>
      <w:r w:rsidR="001004C9">
        <w:rPr>
          <w:rFonts w:ascii="Candara" w:hAnsi="Candara"/>
          <w:bCs/>
          <w:color w:val="333333"/>
          <w:sz w:val="16"/>
        </w:rPr>
        <w:t>,</w:t>
      </w:r>
      <w:r w:rsidR="001004C9" w:rsidRPr="001004C9">
        <w:t xml:space="preserve"> </w:t>
      </w:r>
      <w:r w:rsidR="001004C9" w:rsidRPr="001004C9">
        <w:rPr>
          <w:rFonts w:ascii="Candara" w:hAnsi="Candara"/>
          <w:bCs/>
          <w:color w:val="333333"/>
          <w:sz w:val="16"/>
        </w:rPr>
        <w:t>el.</w:t>
      </w:r>
      <w:r w:rsidR="00DA4D61">
        <w:rPr>
          <w:rFonts w:ascii="Candara" w:hAnsi="Candara"/>
          <w:bCs/>
          <w:color w:val="333333"/>
          <w:sz w:val="16"/>
        </w:rPr>
        <w:t xml:space="preserve"> </w:t>
      </w:r>
      <w:r w:rsidR="001004C9" w:rsidRPr="001004C9">
        <w:rPr>
          <w:rFonts w:ascii="Candara" w:hAnsi="Candara"/>
          <w:bCs/>
          <w:color w:val="333333"/>
          <w:sz w:val="16"/>
        </w:rPr>
        <w:t>pristatymo dėžutės adresas 124247526</w:t>
      </w:r>
    </w:p>
    <w:p w14:paraId="417411BD" w14:textId="77777777" w:rsidR="00F8695E" w:rsidRPr="00A007FB" w:rsidRDefault="00F8695E" w:rsidP="00F8695E">
      <w:pPr>
        <w:keepNext/>
        <w:pBdr>
          <w:bottom w:val="single" w:sz="12" w:space="2" w:color="C6992F"/>
        </w:pBdr>
        <w:jc w:val="center"/>
        <w:outlineLvl w:val="0"/>
        <w:rPr>
          <w:rFonts w:ascii="Candara" w:hAnsi="Candara"/>
          <w:bCs/>
          <w:color w:val="333333"/>
          <w:sz w:val="16"/>
        </w:rPr>
      </w:pPr>
      <w:r w:rsidRPr="00A007FB">
        <w:rPr>
          <w:rFonts w:ascii="Candara" w:hAnsi="Candara"/>
          <w:bCs/>
          <w:color w:val="333333"/>
          <w:sz w:val="16"/>
        </w:rPr>
        <w:t>Duomenys kaupiami ir saugomi Juridinių asmenų registre, kodas 124247526</w:t>
      </w:r>
    </w:p>
    <w:p w14:paraId="1CD94F29" w14:textId="77777777" w:rsidR="00200543" w:rsidRDefault="00200543" w:rsidP="00200543">
      <w:pPr>
        <w:spacing w:line="360" w:lineRule="auto"/>
      </w:pPr>
    </w:p>
    <w:tbl>
      <w:tblPr>
        <w:tblW w:w="0" w:type="auto"/>
        <w:tblLook w:val="04A0" w:firstRow="1" w:lastRow="0" w:firstColumn="1" w:lastColumn="0" w:noHBand="0" w:noVBand="1"/>
      </w:tblPr>
      <w:tblGrid>
        <w:gridCol w:w="4682"/>
        <w:gridCol w:w="4956"/>
      </w:tblGrid>
      <w:tr w:rsidR="00A067B5" w14:paraId="7E2DBF6A" w14:textId="77777777" w:rsidTr="00E723D2">
        <w:tc>
          <w:tcPr>
            <w:tcW w:w="4786" w:type="dxa"/>
          </w:tcPr>
          <w:p w14:paraId="5868DD89" w14:textId="77777777" w:rsidR="00340B2B" w:rsidRPr="00DD590A" w:rsidRDefault="00340B2B" w:rsidP="00340B2B">
            <w:pPr>
              <w:pBdr>
                <w:top w:val="single" w:sz="6" w:space="0" w:color="FFFFFF"/>
                <w:left w:val="single" w:sz="6" w:space="0" w:color="FFFFFF"/>
                <w:bottom w:val="single" w:sz="6" w:space="1" w:color="FFFFFF"/>
                <w:right w:val="single" w:sz="6" w:space="1" w:color="FFFFFF"/>
              </w:pBdr>
              <w:spacing w:line="276" w:lineRule="auto"/>
              <w:jc w:val="both"/>
              <w:rPr>
                <w:rFonts w:cstheme="minorHAnsi"/>
                <w:color w:val="202124"/>
                <w:shd w:val="clear" w:color="auto" w:fill="FFFFFF"/>
              </w:rPr>
            </w:pPr>
            <w:r w:rsidRPr="00DD590A">
              <w:rPr>
                <w:rFonts w:cstheme="minorHAnsi"/>
                <w:color w:val="202124"/>
                <w:shd w:val="clear" w:color="auto" w:fill="FFFFFF"/>
              </w:rPr>
              <w:t xml:space="preserve">Suinteresuotiems asmenims </w:t>
            </w:r>
          </w:p>
          <w:p w14:paraId="4A07BF23" w14:textId="77777777" w:rsidR="00340B2B" w:rsidRPr="00DD590A" w:rsidRDefault="00340B2B" w:rsidP="00340B2B">
            <w:pPr>
              <w:pBdr>
                <w:top w:val="single" w:sz="6" w:space="0" w:color="FFFFFF"/>
                <w:left w:val="single" w:sz="6" w:space="0" w:color="FFFFFF"/>
                <w:bottom w:val="single" w:sz="6" w:space="1" w:color="FFFFFF"/>
                <w:right w:val="single" w:sz="6" w:space="1" w:color="FFFFFF"/>
              </w:pBdr>
              <w:spacing w:line="276" w:lineRule="auto"/>
              <w:jc w:val="both"/>
              <w:rPr>
                <w:rFonts w:cstheme="minorHAnsi"/>
                <w:color w:val="202124"/>
                <w:shd w:val="clear" w:color="auto" w:fill="FFFFFF"/>
              </w:rPr>
            </w:pPr>
            <w:r w:rsidRPr="00DD590A">
              <w:rPr>
                <w:rFonts w:cstheme="minorHAnsi"/>
              </w:rPr>
              <w:t>CVP IS priemonėmis</w:t>
            </w:r>
            <w:r w:rsidRPr="00DD590A">
              <w:rPr>
                <w:rFonts w:cstheme="minorHAnsi"/>
              </w:rPr>
              <w:tab/>
            </w:r>
          </w:p>
          <w:p w14:paraId="57BEA705" w14:textId="3971A8E3" w:rsidR="00A31E3D" w:rsidRPr="006F671F" w:rsidRDefault="00A31E3D" w:rsidP="00A31E3D"/>
        </w:tc>
        <w:tc>
          <w:tcPr>
            <w:tcW w:w="5068" w:type="dxa"/>
          </w:tcPr>
          <w:p w14:paraId="481A3D76" w14:textId="2A5D8CF8" w:rsidR="00A067B5" w:rsidRDefault="00AA570C" w:rsidP="00E723D2">
            <w:pPr>
              <w:ind w:left="1168"/>
            </w:pPr>
            <w:r>
              <w:t xml:space="preserve">  </w:t>
            </w:r>
            <w:r w:rsidR="00F804D5">
              <w:t>202</w:t>
            </w:r>
            <w:r w:rsidR="00340B2B">
              <w:t>6-06-</w:t>
            </w:r>
            <w:r w:rsidR="00A27626">
              <w:t>25</w:t>
            </w:r>
          </w:p>
          <w:p w14:paraId="31B4BF1F" w14:textId="264F489C" w:rsidR="00A067B5" w:rsidRPr="00D76492" w:rsidRDefault="00A067B5" w:rsidP="00E723D2">
            <w:pPr>
              <w:ind w:left="1168"/>
            </w:pPr>
          </w:p>
          <w:p w14:paraId="7E14C746" w14:textId="77777777" w:rsidR="00A067B5" w:rsidRDefault="00A067B5" w:rsidP="00E723D2">
            <w:pPr>
              <w:spacing w:line="360" w:lineRule="auto"/>
            </w:pPr>
          </w:p>
        </w:tc>
      </w:tr>
    </w:tbl>
    <w:p w14:paraId="4E77B942" w14:textId="77777777" w:rsidR="00DA4D61" w:rsidRDefault="00DA4D61" w:rsidP="00651CB9">
      <w:pPr>
        <w:rPr>
          <w:b/>
        </w:rPr>
      </w:pPr>
    </w:p>
    <w:p w14:paraId="5960DDCA" w14:textId="46CFE491" w:rsidR="00340B2B" w:rsidRPr="00DD590A" w:rsidRDefault="00340B2B" w:rsidP="00340B2B">
      <w:pPr>
        <w:spacing w:line="276" w:lineRule="auto"/>
        <w:jc w:val="both"/>
        <w:rPr>
          <w:rFonts w:cstheme="minorHAnsi"/>
          <w:b/>
          <w:caps/>
        </w:rPr>
      </w:pPr>
      <w:r w:rsidRPr="00DD590A">
        <w:rPr>
          <w:rFonts w:cstheme="minorHAnsi"/>
          <w:b/>
          <w:caps/>
        </w:rPr>
        <w:t xml:space="preserve">DĖL </w:t>
      </w:r>
      <w:r w:rsidR="00325BB8" w:rsidRPr="00325BB8">
        <w:rPr>
          <w:rFonts w:cstheme="minorHAnsi"/>
          <w:b/>
          <w:caps/>
        </w:rPr>
        <w:t xml:space="preserve">Laboratorijos informacinės sistemos įsigijimo, integravimo ir palaikymo paslaugų pirkimui </w:t>
      </w:r>
      <w:r>
        <w:rPr>
          <w:rFonts w:cstheme="minorHAnsi"/>
          <w:b/>
          <w:caps/>
        </w:rPr>
        <w:t>I</w:t>
      </w:r>
      <w:r w:rsidRPr="00DD590A">
        <w:rPr>
          <w:rFonts w:cstheme="minorHAnsi"/>
          <w:b/>
          <w:caps/>
        </w:rPr>
        <w:t>ŠANKSTINĖS rinkos KONSULTACIJOS</w:t>
      </w:r>
    </w:p>
    <w:p w14:paraId="742978EE" w14:textId="77777777" w:rsidR="00340B2B" w:rsidRPr="00DD590A" w:rsidRDefault="00340B2B" w:rsidP="00340B2B">
      <w:pPr>
        <w:spacing w:line="276" w:lineRule="auto"/>
        <w:jc w:val="both"/>
        <w:rPr>
          <w:rFonts w:cstheme="minorHAnsi"/>
          <w:b/>
        </w:rPr>
      </w:pPr>
    </w:p>
    <w:p w14:paraId="76112789" w14:textId="77777777" w:rsidR="00340B2B" w:rsidRPr="00DD590A" w:rsidRDefault="00340B2B" w:rsidP="00340B2B">
      <w:pPr>
        <w:spacing w:line="276" w:lineRule="auto"/>
        <w:jc w:val="both"/>
        <w:rPr>
          <w:rFonts w:cstheme="minorHAnsi"/>
          <w:b/>
        </w:rPr>
      </w:pPr>
    </w:p>
    <w:p w14:paraId="0B26B453" w14:textId="613A0D9F" w:rsidR="00340B2B" w:rsidRPr="00DD590A" w:rsidRDefault="00340B2B" w:rsidP="00340B2B">
      <w:pPr>
        <w:ind w:firstLine="720"/>
        <w:jc w:val="both"/>
        <w:rPr>
          <w:rFonts w:cstheme="minorHAnsi"/>
          <w:bCs/>
        </w:rPr>
      </w:pPr>
      <w:r>
        <w:rPr>
          <w:rFonts w:cstheme="minorHAnsi"/>
          <w:bCs/>
        </w:rPr>
        <w:t>Viešoji įstaiga Respublikinė Vilniaus psichiatrijos ligoninė</w:t>
      </w:r>
      <w:r w:rsidRPr="00DD590A">
        <w:rPr>
          <w:rFonts w:cstheme="minorHAnsi"/>
          <w:bCs/>
        </w:rPr>
        <w:t xml:space="preserve"> (toliau – Perkančioji organizacija), siekdama tinkamai pasirengti numatomam </w:t>
      </w:r>
      <w:r>
        <w:rPr>
          <w:rFonts w:cstheme="minorHAnsi"/>
        </w:rPr>
        <w:t>L</w:t>
      </w:r>
      <w:r w:rsidRPr="00340B2B">
        <w:rPr>
          <w:rFonts w:cstheme="minorHAnsi"/>
        </w:rPr>
        <w:t>aboratorijos informacinės sistemos įsigijimo, integravimo ir palaikymo paslaug</w:t>
      </w:r>
      <w:r>
        <w:rPr>
          <w:rFonts w:cstheme="minorHAnsi"/>
        </w:rPr>
        <w:t>ų pirkimui</w:t>
      </w:r>
      <w:r w:rsidRPr="00340B2B">
        <w:rPr>
          <w:rFonts w:cstheme="minorHAnsi"/>
          <w:b/>
          <w:bCs/>
        </w:rPr>
        <w:t xml:space="preserve"> </w:t>
      </w:r>
      <w:r w:rsidRPr="00DD590A">
        <w:rPr>
          <w:rFonts w:cstheme="minorHAnsi"/>
          <w:bCs/>
        </w:rPr>
        <w:t>(toliau – Pirkimas) ir vadovaudamasi Lietuvos Respublikos viešųjų pirkimų įstatymo (toliau – VPĮ) 27 str. 1 d. 1 p., organizuoja išankstinę rinkos konsultaciją.</w:t>
      </w:r>
    </w:p>
    <w:p w14:paraId="66E089E0" w14:textId="77777777" w:rsidR="00340B2B" w:rsidRPr="00DD590A" w:rsidRDefault="00340B2B" w:rsidP="00340B2B">
      <w:pPr>
        <w:ind w:firstLine="720"/>
        <w:jc w:val="both"/>
        <w:rPr>
          <w:rFonts w:cstheme="minorHAnsi"/>
          <w:bCs/>
        </w:rPr>
      </w:pPr>
    </w:p>
    <w:tbl>
      <w:tblPr>
        <w:tblStyle w:val="Lentelstinklelis"/>
        <w:tblW w:w="0" w:type="auto"/>
        <w:tblLook w:val="04A0" w:firstRow="1" w:lastRow="0" w:firstColumn="1" w:lastColumn="0" w:noHBand="0" w:noVBand="1"/>
      </w:tblPr>
      <w:tblGrid>
        <w:gridCol w:w="1703"/>
        <w:gridCol w:w="7925"/>
      </w:tblGrid>
      <w:tr w:rsidR="00340B2B" w:rsidRPr="00DD590A" w14:paraId="7B2A0FD3" w14:textId="77777777" w:rsidTr="00985518">
        <w:tc>
          <w:tcPr>
            <w:tcW w:w="1271" w:type="dxa"/>
            <w:vAlign w:val="center"/>
          </w:tcPr>
          <w:p w14:paraId="4F163948" w14:textId="77777777" w:rsidR="00340B2B" w:rsidRPr="00DD590A" w:rsidRDefault="00340B2B" w:rsidP="00985518">
            <w:pPr>
              <w:rPr>
                <w:rFonts w:cstheme="minorHAnsi"/>
                <w:b/>
              </w:rPr>
            </w:pPr>
            <w:r w:rsidRPr="00DD590A">
              <w:rPr>
                <w:rFonts w:cstheme="minorHAnsi"/>
                <w:b/>
              </w:rPr>
              <w:t>Konsultacijos objektas:</w:t>
            </w:r>
          </w:p>
        </w:tc>
        <w:tc>
          <w:tcPr>
            <w:tcW w:w="8691" w:type="dxa"/>
          </w:tcPr>
          <w:p w14:paraId="22A05002" w14:textId="77777777" w:rsidR="00340B2B" w:rsidRPr="00DD590A" w:rsidRDefault="00340B2B" w:rsidP="00985518">
            <w:pPr>
              <w:jc w:val="both"/>
              <w:rPr>
                <w:rFonts w:cstheme="minorHAnsi"/>
                <w:bCs/>
              </w:rPr>
            </w:pPr>
            <w:r w:rsidRPr="00DD590A">
              <w:rPr>
                <w:rFonts w:cstheme="minorHAnsi"/>
                <w:bCs/>
              </w:rPr>
              <w:t>Tinkamas pasirengimas Pirkimui nustatant Pirkimo techninius reikalavimus Pirkimo objektui.</w:t>
            </w:r>
          </w:p>
        </w:tc>
      </w:tr>
      <w:tr w:rsidR="00340B2B" w:rsidRPr="00DD590A" w14:paraId="55097B79" w14:textId="77777777" w:rsidTr="00985518">
        <w:tc>
          <w:tcPr>
            <w:tcW w:w="1271" w:type="dxa"/>
            <w:vAlign w:val="center"/>
          </w:tcPr>
          <w:p w14:paraId="17AE0D36" w14:textId="77777777" w:rsidR="00340B2B" w:rsidRPr="00DD590A" w:rsidRDefault="00340B2B" w:rsidP="00985518">
            <w:pPr>
              <w:rPr>
                <w:rFonts w:cstheme="minorHAnsi"/>
                <w:b/>
              </w:rPr>
            </w:pPr>
            <w:r w:rsidRPr="00DD590A">
              <w:rPr>
                <w:rFonts w:cstheme="minorHAnsi"/>
                <w:b/>
              </w:rPr>
              <w:t>Konsultacijos tikslas:</w:t>
            </w:r>
          </w:p>
        </w:tc>
        <w:tc>
          <w:tcPr>
            <w:tcW w:w="8691" w:type="dxa"/>
          </w:tcPr>
          <w:p w14:paraId="0B3D9854" w14:textId="34435B6D" w:rsidR="00340B2B" w:rsidRPr="00DD590A" w:rsidRDefault="00340B2B" w:rsidP="00985518">
            <w:pPr>
              <w:jc w:val="both"/>
              <w:rPr>
                <w:rFonts w:cstheme="minorHAnsi"/>
                <w:bCs/>
              </w:rPr>
            </w:pPr>
            <w:r w:rsidRPr="00DD590A">
              <w:rPr>
                <w:rFonts w:cstheme="minorHAnsi"/>
                <w:bCs/>
              </w:rPr>
              <w:t xml:space="preserve">Perkančioji organizacija informuoja rinkos dalyvius (toliau – Tiekėjai) apie numatomą pirkimą ir prašo Tiekėjų, kurie yra suinteresuoti dalyvauti pirkime, pateikti savo įžvalgas, siūlymus ir rekomendacijas dėl parengtos </w:t>
            </w:r>
            <w:r w:rsidRPr="006E2965">
              <w:rPr>
                <w:rFonts w:cstheme="minorHAnsi"/>
                <w:bCs/>
              </w:rPr>
              <w:t>techninės specifikacijos</w:t>
            </w:r>
            <w:r>
              <w:rPr>
                <w:rFonts w:cstheme="minorHAnsi"/>
                <w:bCs/>
              </w:rPr>
              <w:t>,</w:t>
            </w:r>
            <w:r w:rsidRPr="006E2965">
              <w:rPr>
                <w:rFonts w:cstheme="minorHAnsi"/>
                <w:bCs/>
              </w:rPr>
              <w:t xml:space="preserve"> </w:t>
            </w:r>
            <w:r w:rsidRPr="00DD590A">
              <w:rPr>
                <w:rFonts w:cstheme="minorHAnsi"/>
                <w:bCs/>
              </w:rPr>
              <w:t>kad Perkančioji organizacija galėtų įsigyti geriausiai jos poreikius atitinkančias prekes.</w:t>
            </w:r>
          </w:p>
        </w:tc>
      </w:tr>
      <w:tr w:rsidR="00340B2B" w:rsidRPr="00DD590A" w14:paraId="5A55F3EB" w14:textId="77777777" w:rsidTr="00985518">
        <w:tc>
          <w:tcPr>
            <w:tcW w:w="1271" w:type="dxa"/>
            <w:vAlign w:val="center"/>
          </w:tcPr>
          <w:p w14:paraId="67D2AA32" w14:textId="77777777" w:rsidR="00340B2B" w:rsidRPr="00DD590A" w:rsidRDefault="00340B2B" w:rsidP="00985518">
            <w:pPr>
              <w:rPr>
                <w:rFonts w:cstheme="minorHAnsi"/>
                <w:b/>
              </w:rPr>
            </w:pPr>
            <w:r w:rsidRPr="00DD590A">
              <w:rPr>
                <w:rFonts w:cstheme="minorHAnsi"/>
                <w:b/>
              </w:rPr>
              <w:t>Susitikimas su Tiekėjais:</w:t>
            </w:r>
          </w:p>
        </w:tc>
        <w:tc>
          <w:tcPr>
            <w:tcW w:w="8691" w:type="dxa"/>
          </w:tcPr>
          <w:p w14:paraId="17D826D2" w14:textId="77777777" w:rsidR="00340B2B" w:rsidRPr="00DD590A" w:rsidRDefault="00340B2B" w:rsidP="00985518">
            <w:pPr>
              <w:jc w:val="both"/>
              <w:rPr>
                <w:rFonts w:cstheme="minorHAnsi"/>
                <w:bCs/>
              </w:rPr>
            </w:pPr>
            <w:r w:rsidRPr="00DD590A">
              <w:rPr>
                <w:rFonts w:cstheme="minorHAnsi"/>
                <w:bCs/>
              </w:rPr>
              <w:t xml:space="preserve">Atsižvelgdama į gautus pasiūlymus ir pastabas, Perkančioji organizacija </w:t>
            </w:r>
            <w:r w:rsidRPr="00DD590A">
              <w:rPr>
                <w:rFonts w:cstheme="minorHAnsi"/>
                <w:b/>
              </w:rPr>
              <w:t xml:space="preserve">gali </w:t>
            </w:r>
            <w:r w:rsidRPr="00DD590A">
              <w:rPr>
                <w:rFonts w:cstheme="minorHAnsi"/>
                <w:b/>
                <w:u w:val="single"/>
              </w:rPr>
              <w:t>(bet neprivalo)</w:t>
            </w:r>
            <w:r w:rsidRPr="00DD590A">
              <w:rPr>
                <w:rFonts w:cstheme="minorHAnsi"/>
                <w:bCs/>
              </w:rPr>
              <w:t xml:space="preserve"> pasiūlyti susitikimą su tiekėju (-</w:t>
            </w:r>
            <w:proofErr w:type="spellStart"/>
            <w:r w:rsidRPr="00DD590A">
              <w:rPr>
                <w:rFonts w:cstheme="minorHAnsi"/>
                <w:bCs/>
              </w:rPr>
              <w:t>iais</w:t>
            </w:r>
            <w:proofErr w:type="spellEnd"/>
            <w:r w:rsidRPr="00DD590A">
              <w:rPr>
                <w:rFonts w:cstheme="minorHAnsi"/>
                <w:bCs/>
              </w:rPr>
              <w:t>). Jei bus organizuojamas susitikimas (-ai), Perkančioji organizacija Tiekėjus informuos CVP IS susirašinėjimo priemonėmis, nurodydama susitikimo (-ų) laiką ir vietą. Jei Tiekėjas neregistruotas CVP IS ir atsiliepimą pateikė elektroniniu paštu, jis apie susitikimą bus informuojamas jo rašte (elektroniniame laiške) nurodytu kontaktiniu elektroniniu pašto adresu. Susitikimų metu Tiekėjų pateikta informacija bus laikoma konfidencialia.</w:t>
            </w:r>
          </w:p>
        </w:tc>
      </w:tr>
      <w:tr w:rsidR="00340B2B" w:rsidRPr="00DD590A" w14:paraId="6D8174EE" w14:textId="77777777" w:rsidTr="00985518">
        <w:tc>
          <w:tcPr>
            <w:tcW w:w="1271" w:type="dxa"/>
            <w:vAlign w:val="center"/>
          </w:tcPr>
          <w:p w14:paraId="2E7B6FF7" w14:textId="77777777" w:rsidR="00340B2B" w:rsidRPr="00DD590A" w:rsidRDefault="00340B2B" w:rsidP="00985518">
            <w:pPr>
              <w:rPr>
                <w:rFonts w:cstheme="minorHAnsi"/>
                <w:b/>
              </w:rPr>
            </w:pPr>
            <w:r w:rsidRPr="00DD590A">
              <w:rPr>
                <w:rFonts w:cstheme="minorHAnsi"/>
                <w:b/>
              </w:rPr>
              <w:t>Pastabos</w:t>
            </w:r>
          </w:p>
          <w:p w14:paraId="5083184B" w14:textId="77777777" w:rsidR="00340B2B" w:rsidRPr="00DD590A" w:rsidRDefault="00340B2B" w:rsidP="00985518">
            <w:pPr>
              <w:rPr>
                <w:rFonts w:cstheme="minorHAnsi"/>
                <w:b/>
              </w:rPr>
            </w:pPr>
            <w:r w:rsidRPr="00DD590A">
              <w:rPr>
                <w:rFonts w:cstheme="minorHAnsi"/>
                <w:b/>
              </w:rPr>
              <w:t>(pasiūlymai):</w:t>
            </w:r>
          </w:p>
        </w:tc>
        <w:tc>
          <w:tcPr>
            <w:tcW w:w="8691" w:type="dxa"/>
          </w:tcPr>
          <w:p w14:paraId="5047CC9D" w14:textId="1EAAFB0F" w:rsidR="00340B2B" w:rsidRPr="00DD590A" w:rsidRDefault="00340B2B" w:rsidP="00985518">
            <w:pPr>
              <w:jc w:val="both"/>
              <w:rPr>
                <w:rFonts w:cstheme="minorHAnsi"/>
                <w:bCs/>
              </w:rPr>
            </w:pPr>
            <w:r w:rsidRPr="00DD590A">
              <w:rPr>
                <w:rFonts w:cstheme="minorHAnsi"/>
                <w:bCs/>
              </w:rPr>
              <w:t>Perkančioji organizacija prašo Tiekėjų teikti konkrečias pastabas (siūlymus), nurodant tikslią siūlomą koreguotiną vietą, ir pateikti savo siūlymo pagrindimą (pastabas galima žymėti ir pačiuose dokumentuose ir juos pateikti kartu su klausimynu). Prašoma atsakyti laisva forma į 1 priede pateikiamus klausimus, pateikti savo nuomonę/siūlymus/rekomendacijas dėl techninės specifikacijos ir gerosios praktikos pavyzdžių apie taikomus sprendimus. Atsakymai pateikiami rinkos konsultacijos CVP IS priemonėmis arba elektroniniu paštu</w:t>
            </w:r>
            <w:r>
              <w:t xml:space="preserve"> </w:t>
            </w:r>
            <w:hyperlink r:id="rId9" w:history="1">
              <w:r w:rsidRPr="00FB1C26">
                <w:rPr>
                  <w:rStyle w:val="Hipersaitas"/>
                </w:rPr>
                <w:t>liubov.lavrinovic@rvpl.lt</w:t>
              </w:r>
            </w:hyperlink>
            <w:r w:rsidRPr="00DD590A">
              <w:rPr>
                <w:rFonts w:cstheme="minorHAnsi"/>
                <w:bCs/>
              </w:rPr>
              <w:t xml:space="preserve">. </w:t>
            </w:r>
          </w:p>
        </w:tc>
      </w:tr>
      <w:tr w:rsidR="00340B2B" w:rsidRPr="00DD590A" w14:paraId="324A767C" w14:textId="77777777" w:rsidTr="00690C37">
        <w:tc>
          <w:tcPr>
            <w:tcW w:w="1271" w:type="dxa"/>
            <w:vAlign w:val="center"/>
          </w:tcPr>
          <w:p w14:paraId="1A6FBCC2" w14:textId="77777777" w:rsidR="00340B2B" w:rsidRPr="00DD590A" w:rsidRDefault="00340B2B" w:rsidP="00985518">
            <w:pPr>
              <w:rPr>
                <w:rFonts w:cstheme="minorHAnsi"/>
                <w:b/>
              </w:rPr>
            </w:pPr>
            <w:r w:rsidRPr="00DD590A">
              <w:rPr>
                <w:rFonts w:cstheme="minorHAnsi"/>
                <w:b/>
              </w:rPr>
              <w:t>Laikas bei pastabų ir pasiūlymų pateikimo terminas:</w:t>
            </w:r>
          </w:p>
        </w:tc>
        <w:tc>
          <w:tcPr>
            <w:tcW w:w="8691" w:type="dxa"/>
          </w:tcPr>
          <w:p w14:paraId="4BA92057" w14:textId="4FD7B6FA" w:rsidR="00340B2B" w:rsidRPr="00DD590A" w:rsidRDefault="00340B2B" w:rsidP="00690C37">
            <w:pPr>
              <w:rPr>
                <w:rFonts w:cstheme="minorHAnsi"/>
                <w:bCs/>
              </w:rPr>
            </w:pPr>
            <w:r w:rsidRPr="00DD590A">
              <w:rPr>
                <w:rFonts w:cstheme="minorHAnsi"/>
                <w:bCs/>
              </w:rPr>
              <w:t xml:space="preserve">Tiekėjai prašomi ne vėliau kaip iki </w:t>
            </w:r>
            <w:r w:rsidRPr="00DD590A">
              <w:rPr>
                <w:rFonts w:cstheme="minorHAnsi"/>
                <w:b/>
              </w:rPr>
              <w:t>2026 m</w:t>
            </w:r>
            <w:r w:rsidRPr="00437F31">
              <w:rPr>
                <w:rFonts w:cstheme="minorHAnsi"/>
                <w:b/>
              </w:rPr>
              <w:t xml:space="preserve">. </w:t>
            </w:r>
            <w:r>
              <w:rPr>
                <w:rFonts w:cstheme="minorHAnsi"/>
                <w:b/>
              </w:rPr>
              <w:t xml:space="preserve">liepos </w:t>
            </w:r>
            <w:r w:rsidR="00A27626">
              <w:rPr>
                <w:rFonts w:cstheme="minorHAnsi"/>
                <w:b/>
              </w:rPr>
              <w:t xml:space="preserve">2 </w:t>
            </w:r>
            <w:r w:rsidRPr="00FC55A4">
              <w:rPr>
                <w:rFonts w:cstheme="minorHAnsi"/>
                <w:b/>
              </w:rPr>
              <w:t>d. 17:00 val.</w:t>
            </w:r>
            <w:r w:rsidRPr="00FC55A4">
              <w:rPr>
                <w:rFonts w:cstheme="minorHAnsi"/>
                <w:bCs/>
              </w:rPr>
              <w:t xml:space="preserve"> pateikti</w:t>
            </w:r>
            <w:r w:rsidRPr="00DD590A">
              <w:rPr>
                <w:rFonts w:cstheme="minorHAnsi"/>
                <w:bCs/>
              </w:rPr>
              <w:t xml:space="preserve"> siūlymus. Klausimai, pastabos, siūlymai, gauti pasibaigus aukščiau nurodytam terminui, gali būti nenagrinėjami.</w:t>
            </w:r>
          </w:p>
        </w:tc>
      </w:tr>
      <w:tr w:rsidR="00340B2B" w:rsidRPr="00DD590A" w14:paraId="7CB6A9BF" w14:textId="77777777" w:rsidTr="00985518">
        <w:tc>
          <w:tcPr>
            <w:tcW w:w="1271" w:type="dxa"/>
            <w:vAlign w:val="center"/>
          </w:tcPr>
          <w:p w14:paraId="6DB03475" w14:textId="77777777" w:rsidR="00340B2B" w:rsidRPr="00DD590A" w:rsidRDefault="00340B2B" w:rsidP="00985518">
            <w:pPr>
              <w:rPr>
                <w:rFonts w:cstheme="minorHAnsi"/>
                <w:b/>
              </w:rPr>
            </w:pPr>
            <w:r w:rsidRPr="00DD590A">
              <w:rPr>
                <w:rFonts w:cstheme="minorHAnsi"/>
                <w:b/>
              </w:rPr>
              <w:lastRenderedPageBreak/>
              <w:t xml:space="preserve">Suinteresuotų asmenų informavimas, </w:t>
            </w:r>
            <w:proofErr w:type="spellStart"/>
            <w:r w:rsidRPr="00DD590A">
              <w:rPr>
                <w:rFonts w:cstheme="minorHAnsi"/>
                <w:b/>
              </w:rPr>
              <w:t>konfidencia-lumas</w:t>
            </w:r>
            <w:proofErr w:type="spellEnd"/>
            <w:r w:rsidRPr="00DD590A">
              <w:rPr>
                <w:rFonts w:cstheme="minorHAnsi"/>
                <w:b/>
              </w:rPr>
              <w:t>:</w:t>
            </w:r>
          </w:p>
        </w:tc>
        <w:tc>
          <w:tcPr>
            <w:tcW w:w="8691" w:type="dxa"/>
          </w:tcPr>
          <w:p w14:paraId="1BD95C4D" w14:textId="77777777" w:rsidR="00340B2B" w:rsidRPr="00DD590A" w:rsidRDefault="00340B2B" w:rsidP="00985518">
            <w:pPr>
              <w:jc w:val="both"/>
              <w:rPr>
                <w:rFonts w:cstheme="minorHAnsi"/>
                <w:bCs/>
              </w:rPr>
            </w:pPr>
            <w:r w:rsidRPr="00DD590A">
              <w:rPr>
                <w:rFonts w:cstheme="minorHAnsi"/>
                <w:bCs/>
              </w:rPr>
              <w:t>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konfidencialūs (pvz. asmens duomenys).</w:t>
            </w:r>
          </w:p>
        </w:tc>
      </w:tr>
      <w:tr w:rsidR="00340B2B" w:rsidRPr="00DD590A" w14:paraId="15206367" w14:textId="77777777" w:rsidTr="00985518">
        <w:tc>
          <w:tcPr>
            <w:tcW w:w="1271" w:type="dxa"/>
            <w:vAlign w:val="center"/>
          </w:tcPr>
          <w:p w14:paraId="069AF1F0" w14:textId="77777777" w:rsidR="00340B2B" w:rsidRPr="00DD590A" w:rsidRDefault="00340B2B" w:rsidP="00985518">
            <w:pPr>
              <w:rPr>
                <w:rFonts w:cstheme="minorHAnsi"/>
                <w:b/>
              </w:rPr>
            </w:pPr>
            <w:r w:rsidRPr="00DD590A">
              <w:rPr>
                <w:rFonts w:cstheme="minorHAnsi"/>
                <w:b/>
              </w:rPr>
              <w:t>Kontaktinis asmuo:</w:t>
            </w:r>
          </w:p>
        </w:tc>
        <w:tc>
          <w:tcPr>
            <w:tcW w:w="8691" w:type="dxa"/>
          </w:tcPr>
          <w:p w14:paraId="014026E2" w14:textId="5DA82D6E" w:rsidR="00340B2B" w:rsidRPr="00DD590A" w:rsidRDefault="00340B2B" w:rsidP="00985518">
            <w:pPr>
              <w:jc w:val="both"/>
              <w:rPr>
                <w:rFonts w:cstheme="minorHAnsi"/>
                <w:bCs/>
              </w:rPr>
            </w:pPr>
            <w:r w:rsidRPr="00DD590A">
              <w:rPr>
                <w:rFonts w:cstheme="minorHAnsi"/>
                <w:bCs/>
              </w:rPr>
              <w:t xml:space="preserve">Asmuo, atsakingas už procedūrų CVP IS vykdymą – </w:t>
            </w:r>
            <w:r>
              <w:rPr>
                <w:rFonts w:cstheme="minorHAnsi"/>
                <w:bCs/>
              </w:rPr>
              <w:t>Teisės ir viešųjų pirkimų skyriaus viešųjų pirkimų specialistė Liubov Lavrinovič</w:t>
            </w:r>
            <w:r w:rsidRPr="00DD590A">
              <w:rPr>
                <w:rFonts w:cstheme="minorHAnsi"/>
                <w:bCs/>
              </w:rPr>
              <w:t>, tel. +370</w:t>
            </w:r>
            <w:r>
              <w:rPr>
                <w:rFonts w:cstheme="minorHAnsi"/>
                <w:bCs/>
              </w:rPr>
              <w:t> 699 74739</w:t>
            </w:r>
            <w:r w:rsidRPr="00DD590A">
              <w:rPr>
                <w:rFonts w:cstheme="minorHAnsi"/>
                <w:bCs/>
              </w:rPr>
              <w:t>, el. p</w:t>
            </w:r>
            <w:r>
              <w:rPr>
                <w:rFonts w:cstheme="minorHAnsi"/>
                <w:bCs/>
              </w:rPr>
              <w:t xml:space="preserve">aštas </w:t>
            </w:r>
            <w:hyperlink r:id="rId10" w:history="1">
              <w:r w:rsidRPr="00FB1C26">
                <w:rPr>
                  <w:rStyle w:val="Hipersaitas"/>
                  <w:rFonts w:cstheme="minorHAnsi"/>
                  <w:bCs/>
                </w:rPr>
                <w:t>liubov.lavrinovic@rvpl.lt</w:t>
              </w:r>
            </w:hyperlink>
            <w:r w:rsidRPr="00DD590A">
              <w:rPr>
                <w:rFonts w:cstheme="minorHAnsi"/>
                <w:bCs/>
              </w:rPr>
              <w:t xml:space="preserve">. </w:t>
            </w:r>
          </w:p>
        </w:tc>
      </w:tr>
    </w:tbl>
    <w:p w14:paraId="16921BD9" w14:textId="77777777" w:rsidR="00340B2B" w:rsidRPr="00DD590A" w:rsidRDefault="00340B2B" w:rsidP="00340B2B">
      <w:pPr>
        <w:jc w:val="both"/>
        <w:rPr>
          <w:rFonts w:cstheme="minorHAnsi"/>
          <w:bCs/>
        </w:rPr>
      </w:pPr>
    </w:p>
    <w:p w14:paraId="7E430000" w14:textId="77777777" w:rsidR="00340B2B" w:rsidRPr="00DD590A" w:rsidRDefault="00340B2B" w:rsidP="00340B2B">
      <w:pPr>
        <w:ind w:firstLine="720"/>
        <w:jc w:val="both"/>
        <w:rPr>
          <w:rFonts w:cstheme="minorHAnsi"/>
          <w:bCs/>
        </w:rPr>
      </w:pPr>
      <w:r w:rsidRPr="00DD590A">
        <w:rPr>
          <w:rFonts w:cstheme="minorHAnsi"/>
          <w:bC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B63EFFA" w14:textId="77777777" w:rsidR="00340B2B" w:rsidRPr="00DD590A" w:rsidRDefault="00340B2B" w:rsidP="00340B2B">
      <w:pPr>
        <w:ind w:firstLine="720"/>
        <w:jc w:val="both"/>
        <w:rPr>
          <w:rFonts w:cstheme="minorHAnsi"/>
          <w:bCs/>
        </w:rPr>
      </w:pPr>
      <w:r w:rsidRPr="00DD590A">
        <w:rPr>
          <w:rFonts w:cstheme="minorHAnsi"/>
          <w:bCs/>
        </w:rPr>
        <w:t>Tiekėjai konsultacijas teikia neatlygintinai. Jokios išlaidos Tiekėjams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73FA48AC" w14:textId="77777777" w:rsidR="00340B2B" w:rsidRPr="00DD590A" w:rsidRDefault="00340B2B" w:rsidP="00340B2B">
      <w:pPr>
        <w:jc w:val="both"/>
        <w:rPr>
          <w:rFonts w:cstheme="minorHAnsi"/>
          <w:bCs/>
        </w:rPr>
      </w:pPr>
    </w:p>
    <w:p w14:paraId="63C2DC41" w14:textId="77777777" w:rsidR="00340B2B" w:rsidRPr="00DD590A" w:rsidRDefault="00340B2B" w:rsidP="00340B2B">
      <w:pPr>
        <w:ind w:firstLine="720"/>
        <w:jc w:val="both"/>
        <w:rPr>
          <w:rFonts w:cstheme="minorHAnsi"/>
        </w:rPr>
      </w:pPr>
    </w:p>
    <w:p w14:paraId="45888780" w14:textId="77777777" w:rsidR="00340B2B" w:rsidRPr="004F41FB" w:rsidRDefault="00340B2B" w:rsidP="00A27626">
      <w:pPr>
        <w:jc w:val="both"/>
        <w:rPr>
          <w:rFonts w:cstheme="minorHAnsi"/>
        </w:rPr>
      </w:pPr>
      <w:r w:rsidRPr="004F41FB">
        <w:rPr>
          <w:rFonts w:cstheme="minorHAnsi"/>
        </w:rPr>
        <w:t>PRIDEDAMA:</w:t>
      </w:r>
    </w:p>
    <w:p w14:paraId="21C303D5" w14:textId="54FFC0A8" w:rsidR="00340B2B" w:rsidRPr="00A27626" w:rsidRDefault="00340B2B" w:rsidP="00A27626">
      <w:pPr>
        <w:jc w:val="both"/>
        <w:rPr>
          <w:rFonts w:cstheme="minorHAnsi"/>
        </w:rPr>
      </w:pPr>
      <w:r w:rsidRPr="00A27626">
        <w:rPr>
          <w:rFonts w:cstheme="minorHAnsi"/>
        </w:rPr>
        <w:t>1 priedas. Pagrindiniai klausimai rinkos dalyviams, 1 lapas;</w:t>
      </w:r>
    </w:p>
    <w:p w14:paraId="533F57D0" w14:textId="3612709B" w:rsidR="00340B2B" w:rsidRPr="00A27626" w:rsidRDefault="00340B2B" w:rsidP="00A27626">
      <w:pPr>
        <w:jc w:val="both"/>
        <w:rPr>
          <w:rFonts w:cstheme="minorHAnsi"/>
        </w:rPr>
      </w:pPr>
      <w:r w:rsidRPr="00A27626">
        <w:rPr>
          <w:rFonts w:cstheme="minorHAnsi"/>
        </w:rPr>
        <w:t>2 priedas. Techninė specifikacija, 21 lapas</w:t>
      </w:r>
      <w:r w:rsidR="00A27626" w:rsidRPr="00A27626">
        <w:rPr>
          <w:rFonts w:cstheme="minorHAnsi"/>
        </w:rPr>
        <w:t>.</w:t>
      </w:r>
    </w:p>
    <w:p w14:paraId="129AA6EB" w14:textId="77777777" w:rsidR="00340B2B" w:rsidRPr="00DD590A" w:rsidRDefault="00340B2B" w:rsidP="00340B2B">
      <w:pPr>
        <w:pStyle w:val="Sraopastraipa"/>
        <w:ind w:left="1080"/>
        <w:jc w:val="both"/>
        <w:rPr>
          <w:rFonts w:cstheme="minorHAnsi"/>
        </w:rPr>
      </w:pPr>
    </w:p>
    <w:p w14:paraId="714A19E1" w14:textId="77777777" w:rsidR="00E20415" w:rsidRPr="00340B2B" w:rsidRDefault="00E20415" w:rsidP="00E20415">
      <w:pPr>
        <w:pStyle w:val="Sraopastraipa"/>
        <w:tabs>
          <w:tab w:val="left" w:pos="284"/>
          <w:tab w:val="left" w:pos="993"/>
        </w:tabs>
        <w:ind w:left="709"/>
        <w:jc w:val="both"/>
        <w:rPr>
          <w:b/>
          <w:iCs/>
        </w:rPr>
      </w:pPr>
    </w:p>
    <w:sectPr w:rsidR="00E20415" w:rsidRPr="00340B2B" w:rsidSect="00294DD1">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B46A" w14:textId="77777777" w:rsidR="006D3F1F" w:rsidRDefault="006D3F1F" w:rsidP="00200543">
      <w:r>
        <w:separator/>
      </w:r>
    </w:p>
  </w:endnote>
  <w:endnote w:type="continuationSeparator" w:id="0">
    <w:p w14:paraId="3C64F7B6" w14:textId="77777777" w:rsidR="006D3F1F" w:rsidRDefault="006D3F1F" w:rsidP="0020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C7EB" w14:textId="77777777" w:rsidR="006D3F1F" w:rsidRDefault="006D3F1F" w:rsidP="00200543">
      <w:r>
        <w:separator/>
      </w:r>
    </w:p>
  </w:footnote>
  <w:footnote w:type="continuationSeparator" w:id="0">
    <w:p w14:paraId="5F032F02" w14:textId="77777777" w:rsidR="006D3F1F" w:rsidRDefault="006D3F1F" w:rsidP="00200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7456A"/>
    <w:multiLevelType w:val="hybridMultilevel"/>
    <w:tmpl w:val="B6044B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20EC1"/>
    <w:multiLevelType w:val="hybridMultilevel"/>
    <w:tmpl w:val="120CD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394875"/>
    <w:multiLevelType w:val="multilevel"/>
    <w:tmpl w:val="E272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CD6342"/>
    <w:multiLevelType w:val="multilevel"/>
    <w:tmpl w:val="9B80F5FC"/>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BAE593C"/>
    <w:multiLevelType w:val="hybridMultilevel"/>
    <w:tmpl w:val="61A8E0B6"/>
    <w:lvl w:ilvl="0" w:tplc="B5E23A6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5D584959"/>
    <w:multiLevelType w:val="hybridMultilevel"/>
    <w:tmpl w:val="FC90CDF6"/>
    <w:lvl w:ilvl="0" w:tplc="9B6886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B2E19C6"/>
    <w:multiLevelType w:val="hybridMultilevel"/>
    <w:tmpl w:val="EEA86AA4"/>
    <w:lvl w:ilvl="0" w:tplc="B5E23A6C">
      <w:start w:val="1"/>
      <w:numFmt w:val="decimal"/>
      <w:lvlText w:val="%1."/>
      <w:lvlJc w:val="left"/>
      <w:pPr>
        <w:ind w:left="165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8010514">
    <w:abstractNumId w:val="2"/>
  </w:num>
  <w:num w:numId="2" w16cid:durableId="1139498048">
    <w:abstractNumId w:val="0"/>
  </w:num>
  <w:num w:numId="3" w16cid:durableId="1884436319">
    <w:abstractNumId w:val="1"/>
  </w:num>
  <w:num w:numId="4" w16cid:durableId="316812880">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5216024">
    <w:abstractNumId w:val="4"/>
  </w:num>
  <w:num w:numId="6" w16cid:durableId="2020809318">
    <w:abstractNumId w:val="6"/>
  </w:num>
  <w:num w:numId="7" w16cid:durableId="1499928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43"/>
    <w:rsid w:val="000110AC"/>
    <w:rsid w:val="0002383D"/>
    <w:rsid w:val="00050C8F"/>
    <w:rsid w:val="00066510"/>
    <w:rsid w:val="000A0FC9"/>
    <w:rsid w:val="000A2323"/>
    <w:rsid w:val="000C6D2C"/>
    <w:rsid w:val="000C7C3E"/>
    <w:rsid w:val="001004C9"/>
    <w:rsid w:val="00104437"/>
    <w:rsid w:val="001116DA"/>
    <w:rsid w:val="001B0DC9"/>
    <w:rsid w:val="001C2329"/>
    <w:rsid w:val="00200543"/>
    <w:rsid w:val="0020669F"/>
    <w:rsid w:val="00250A7D"/>
    <w:rsid w:val="00273B1C"/>
    <w:rsid w:val="00294DD1"/>
    <w:rsid w:val="00304925"/>
    <w:rsid w:val="00312E57"/>
    <w:rsid w:val="00325BB8"/>
    <w:rsid w:val="00340B2B"/>
    <w:rsid w:val="00373D22"/>
    <w:rsid w:val="00394EB6"/>
    <w:rsid w:val="003A24CD"/>
    <w:rsid w:val="003C1722"/>
    <w:rsid w:val="003E4FC4"/>
    <w:rsid w:val="003E78E0"/>
    <w:rsid w:val="003F7A68"/>
    <w:rsid w:val="00447FA4"/>
    <w:rsid w:val="00451C42"/>
    <w:rsid w:val="00472B49"/>
    <w:rsid w:val="0047420C"/>
    <w:rsid w:val="004924A0"/>
    <w:rsid w:val="004A2D2C"/>
    <w:rsid w:val="004D6843"/>
    <w:rsid w:val="005032A9"/>
    <w:rsid w:val="005541A0"/>
    <w:rsid w:val="0056378E"/>
    <w:rsid w:val="005820AE"/>
    <w:rsid w:val="005C1437"/>
    <w:rsid w:val="005C32B2"/>
    <w:rsid w:val="005E6A18"/>
    <w:rsid w:val="005F77A3"/>
    <w:rsid w:val="00602B41"/>
    <w:rsid w:val="00604095"/>
    <w:rsid w:val="00634A15"/>
    <w:rsid w:val="00651CB9"/>
    <w:rsid w:val="00656642"/>
    <w:rsid w:val="00684022"/>
    <w:rsid w:val="00690C37"/>
    <w:rsid w:val="006B5F9F"/>
    <w:rsid w:val="006D3F1F"/>
    <w:rsid w:val="006D5F47"/>
    <w:rsid w:val="006F671F"/>
    <w:rsid w:val="00727EBE"/>
    <w:rsid w:val="00732D8B"/>
    <w:rsid w:val="00742275"/>
    <w:rsid w:val="00754D85"/>
    <w:rsid w:val="007653ED"/>
    <w:rsid w:val="00784015"/>
    <w:rsid w:val="00784529"/>
    <w:rsid w:val="007A1565"/>
    <w:rsid w:val="007B2BB6"/>
    <w:rsid w:val="0081015E"/>
    <w:rsid w:val="008203E3"/>
    <w:rsid w:val="00843029"/>
    <w:rsid w:val="008459CF"/>
    <w:rsid w:val="00874567"/>
    <w:rsid w:val="00893B04"/>
    <w:rsid w:val="00897078"/>
    <w:rsid w:val="008D22DD"/>
    <w:rsid w:val="008D3985"/>
    <w:rsid w:val="008D4BC0"/>
    <w:rsid w:val="00905DBB"/>
    <w:rsid w:val="009467F6"/>
    <w:rsid w:val="009514FE"/>
    <w:rsid w:val="009A46EE"/>
    <w:rsid w:val="009C04B6"/>
    <w:rsid w:val="009C133A"/>
    <w:rsid w:val="009E5E69"/>
    <w:rsid w:val="00A067B5"/>
    <w:rsid w:val="00A07156"/>
    <w:rsid w:val="00A13DEB"/>
    <w:rsid w:val="00A27626"/>
    <w:rsid w:val="00A31E3D"/>
    <w:rsid w:val="00AA570C"/>
    <w:rsid w:val="00AB43D2"/>
    <w:rsid w:val="00AF24AD"/>
    <w:rsid w:val="00B12B06"/>
    <w:rsid w:val="00B41A63"/>
    <w:rsid w:val="00B52694"/>
    <w:rsid w:val="00B66F35"/>
    <w:rsid w:val="00B80ACD"/>
    <w:rsid w:val="00BB12FA"/>
    <w:rsid w:val="00BB2B7D"/>
    <w:rsid w:val="00BD5AF5"/>
    <w:rsid w:val="00BF41D9"/>
    <w:rsid w:val="00C410F2"/>
    <w:rsid w:val="00C9203A"/>
    <w:rsid w:val="00D013F9"/>
    <w:rsid w:val="00D2293C"/>
    <w:rsid w:val="00D475D8"/>
    <w:rsid w:val="00D9334A"/>
    <w:rsid w:val="00DA4D61"/>
    <w:rsid w:val="00DD58CD"/>
    <w:rsid w:val="00DF0DE8"/>
    <w:rsid w:val="00E14BAE"/>
    <w:rsid w:val="00E20415"/>
    <w:rsid w:val="00E21D4E"/>
    <w:rsid w:val="00E37B77"/>
    <w:rsid w:val="00E723D2"/>
    <w:rsid w:val="00E86F85"/>
    <w:rsid w:val="00ED13D1"/>
    <w:rsid w:val="00F03AB4"/>
    <w:rsid w:val="00F121AF"/>
    <w:rsid w:val="00F338E7"/>
    <w:rsid w:val="00F42E02"/>
    <w:rsid w:val="00F7298A"/>
    <w:rsid w:val="00F8037B"/>
    <w:rsid w:val="00F804D5"/>
    <w:rsid w:val="00F8695E"/>
    <w:rsid w:val="00F87F4A"/>
    <w:rsid w:val="00FC5D9A"/>
    <w:rsid w:val="00FE3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41B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0543"/>
    <w:rPr>
      <w:rFonts w:eastAsia="Times New Roman"/>
      <w:sz w:val="24"/>
      <w:szCs w:val="24"/>
      <w:lang w:eastAsia="en-US"/>
    </w:rPr>
  </w:style>
  <w:style w:type="paragraph" w:styleId="Antrat1">
    <w:name w:val="heading 1"/>
    <w:basedOn w:val="prastasis"/>
    <w:next w:val="prastasis"/>
    <w:link w:val="Antrat1Diagrama"/>
    <w:qFormat/>
    <w:rsid w:val="00200543"/>
    <w:pPr>
      <w:keepNext/>
      <w:jc w:val="center"/>
      <w:outlineLvl w:val="0"/>
    </w:pPr>
    <w:rPr>
      <w:b/>
      <w:bCs/>
      <w:color w:val="000000"/>
      <w:sz w:val="16"/>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00543"/>
    <w:pPr>
      <w:tabs>
        <w:tab w:val="center" w:pos="4819"/>
        <w:tab w:val="right" w:pos="9638"/>
      </w:tabs>
    </w:pPr>
  </w:style>
  <w:style w:type="character" w:customStyle="1" w:styleId="AntratsDiagrama">
    <w:name w:val="Antraštės Diagrama"/>
    <w:basedOn w:val="Numatytasispastraiposriftas"/>
    <w:link w:val="Antrats"/>
    <w:uiPriority w:val="99"/>
    <w:rsid w:val="00200543"/>
  </w:style>
  <w:style w:type="paragraph" w:styleId="Porat">
    <w:name w:val="footer"/>
    <w:basedOn w:val="prastasis"/>
    <w:link w:val="PoratDiagrama"/>
    <w:uiPriority w:val="99"/>
    <w:unhideWhenUsed/>
    <w:rsid w:val="00200543"/>
    <w:pPr>
      <w:tabs>
        <w:tab w:val="center" w:pos="4819"/>
        <w:tab w:val="right" w:pos="9638"/>
      </w:tabs>
    </w:pPr>
  </w:style>
  <w:style w:type="character" w:customStyle="1" w:styleId="PoratDiagrama">
    <w:name w:val="Poraštė Diagrama"/>
    <w:basedOn w:val="Numatytasispastraiposriftas"/>
    <w:link w:val="Porat"/>
    <w:uiPriority w:val="99"/>
    <w:rsid w:val="00200543"/>
  </w:style>
  <w:style w:type="character" w:customStyle="1" w:styleId="Antrat1Diagrama">
    <w:name w:val="Antraštė 1 Diagrama"/>
    <w:link w:val="Antrat1"/>
    <w:rsid w:val="00200543"/>
    <w:rPr>
      <w:rFonts w:eastAsia="Times New Roman" w:cs="Times New Roman"/>
      <w:b/>
      <w:bCs/>
      <w:color w:val="000000"/>
      <w:w w:val="100"/>
      <w:sz w:val="16"/>
      <w:szCs w:val="24"/>
      <w:u w:val="single"/>
    </w:rPr>
  </w:style>
  <w:style w:type="paragraph" w:customStyle="1" w:styleId="FR1">
    <w:name w:val="FR1"/>
    <w:rsid w:val="00200543"/>
    <w:pPr>
      <w:widowControl w:val="0"/>
      <w:autoSpaceDE w:val="0"/>
      <w:autoSpaceDN w:val="0"/>
      <w:adjustRightInd w:val="0"/>
      <w:jc w:val="center"/>
    </w:pPr>
    <w:rPr>
      <w:rFonts w:eastAsia="Times New Roman"/>
      <w:sz w:val="32"/>
      <w:szCs w:val="32"/>
      <w:lang w:eastAsia="en-US"/>
    </w:rPr>
  </w:style>
  <w:style w:type="character" w:styleId="Hipersaitas">
    <w:name w:val="Hyperlink"/>
    <w:rsid w:val="00200543"/>
    <w:rPr>
      <w:color w:val="0000FF"/>
      <w:u w:val="single"/>
    </w:rPr>
  </w:style>
  <w:style w:type="table" w:styleId="Lentelstinklelis">
    <w:name w:val="Table Grid"/>
    <w:basedOn w:val="prastojilentel"/>
    <w:uiPriority w:val="39"/>
    <w:rsid w:val="00A06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FE34D1"/>
    <w:rPr>
      <w:i/>
      <w:iCs/>
    </w:rPr>
  </w:style>
  <w:style w:type="paragraph" w:styleId="Sraopastraipa">
    <w:name w:val="List Paragraph"/>
    <w:aliases w:val="Bullet EY,List Paragraph Red,Numbering,ERP-List Paragraph,List Paragraph11,List Paragraph2,Buletai,List Paragraph21,lp1,Use Case List Paragraph,List Paragraph111,Lentele,List Paragraph1,Bullet 1,Paragraph,List not in Table"/>
    <w:basedOn w:val="prastasis"/>
    <w:link w:val="SraopastraipaDiagrama"/>
    <w:uiPriority w:val="34"/>
    <w:qFormat/>
    <w:rsid w:val="00FE34D1"/>
    <w:pPr>
      <w:ind w:left="720"/>
      <w:contextualSpacing/>
    </w:p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qFormat/>
    <w:locked/>
    <w:rsid w:val="00651CB9"/>
    <w:rPr>
      <w:rFonts w:eastAsia="Times New Roman"/>
      <w:sz w:val="24"/>
      <w:szCs w:val="24"/>
      <w:lang w:eastAsia="en-US"/>
    </w:rPr>
  </w:style>
  <w:style w:type="character" w:customStyle="1" w:styleId="BetarpDiagrama">
    <w:name w:val="Be tarpų Diagrama"/>
    <w:link w:val="Betarp"/>
    <w:uiPriority w:val="1"/>
    <w:locked/>
    <w:rsid w:val="00651CB9"/>
    <w:rPr>
      <w:rFonts w:ascii="Calibri" w:eastAsia="Times New Roman" w:hAnsi="Calibri"/>
      <w:sz w:val="24"/>
      <w:szCs w:val="24"/>
    </w:rPr>
  </w:style>
  <w:style w:type="paragraph" w:styleId="Betarp">
    <w:name w:val="No Spacing"/>
    <w:link w:val="BetarpDiagrama"/>
    <w:uiPriority w:val="1"/>
    <w:qFormat/>
    <w:rsid w:val="00651CB9"/>
    <w:pPr>
      <w:jc w:val="both"/>
    </w:pPr>
    <w:rPr>
      <w:rFonts w:ascii="Calibri" w:eastAsia="Times New Roman" w:hAnsi="Calibri"/>
      <w:sz w:val="24"/>
      <w:szCs w:val="24"/>
    </w:rPr>
  </w:style>
  <w:style w:type="character" w:styleId="Neapdorotaspaminjimas">
    <w:name w:val="Unresolved Mention"/>
    <w:basedOn w:val="Numatytasispastraiposriftas"/>
    <w:uiPriority w:val="99"/>
    <w:semiHidden/>
    <w:unhideWhenUsed/>
    <w:rsid w:val="00340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49452">
      <w:bodyDiv w:val="1"/>
      <w:marLeft w:val="0"/>
      <w:marRight w:val="0"/>
      <w:marTop w:val="0"/>
      <w:marBottom w:val="0"/>
      <w:divBdr>
        <w:top w:val="none" w:sz="0" w:space="0" w:color="auto"/>
        <w:left w:val="none" w:sz="0" w:space="0" w:color="auto"/>
        <w:bottom w:val="none" w:sz="0" w:space="0" w:color="auto"/>
        <w:right w:val="none" w:sz="0" w:space="0" w:color="auto"/>
      </w:divBdr>
    </w:div>
    <w:div w:id="273177150">
      <w:bodyDiv w:val="1"/>
      <w:marLeft w:val="0"/>
      <w:marRight w:val="0"/>
      <w:marTop w:val="0"/>
      <w:marBottom w:val="0"/>
      <w:divBdr>
        <w:top w:val="none" w:sz="0" w:space="0" w:color="auto"/>
        <w:left w:val="none" w:sz="0" w:space="0" w:color="auto"/>
        <w:bottom w:val="none" w:sz="0" w:space="0" w:color="auto"/>
        <w:right w:val="none" w:sz="0" w:space="0" w:color="auto"/>
      </w:divBdr>
    </w:div>
    <w:div w:id="886649171">
      <w:bodyDiv w:val="1"/>
      <w:marLeft w:val="0"/>
      <w:marRight w:val="0"/>
      <w:marTop w:val="0"/>
      <w:marBottom w:val="0"/>
      <w:divBdr>
        <w:top w:val="none" w:sz="0" w:space="0" w:color="auto"/>
        <w:left w:val="none" w:sz="0" w:space="0" w:color="auto"/>
        <w:bottom w:val="none" w:sz="0" w:space="0" w:color="auto"/>
        <w:right w:val="none" w:sz="0" w:space="0" w:color="auto"/>
      </w:divBdr>
    </w:div>
    <w:div w:id="1002048881">
      <w:bodyDiv w:val="1"/>
      <w:marLeft w:val="0"/>
      <w:marRight w:val="0"/>
      <w:marTop w:val="0"/>
      <w:marBottom w:val="0"/>
      <w:divBdr>
        <w:top w:val="none" w:sz="0" w:space="0" w:color="auto"/>
        <w:left w:val="none" w:sz="0" w:space="0" w:color="auto"/>
        <w:bottom w:val="none" w:sz="0" w:space="0" w:color="auto"/>
        <w:right w:val="none" w:sz="0" w:space="0" w:color="auto"/>
      </w:divBdr>
    </w:div>
    <w:div w:id="1656643785">
      <w:bodyDiv w:val="1"/>
      <w:marLeft w:val="0"/>
      <w:marRight w:val="0"/>
      <w:marTop w:val="0"/>
      <w:marBottom w:val="0"/>
      <w:divBdr>
        <w:top w:val="none" w:sz="0" w:space="0" w:color="auto"/>
        <w:left w:val="none" w:sz="0" w:space="0" w:color="auto"/>
        <w:bottom w:val="none" w:sz="0" w:space="0" w:color="auto"/>
        <w:right w:val="none" w:sz="0" w:space="0" w:color="auto"/>
      </w:divBdr>
    </w:div>
    <w:div w:id="18483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ichiatrija@rvpl.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ubov.lavrinovic@rvpl.lt" TargetMode="External"/><Relationship Id="rId4" Type="http://schemas.openxmlformats.org/officeDocument/2006/relationships/webSettings" Target="webSettings.xml"/><Relationship Id="rId9" Type="http://schemas.openxmlformats.org/officeDocument/2006/relationships/hyperlink" Target="mailto:liubov.lavrinovic@rvp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2729</Words>
  <Characters>1557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4278</CharactersWithSpaces>
  <SharedDoc>false</SharedDoc>
  <HLinks>
    <vt:vector size="6" baseType="variant">
      <vt:variant>
        <vt:i4>6029411</vt:i4>
      </vt:variant>
      <vt:variant>
        <vt:i4>0</vt:i4>
      </vt:variant>
      <vt:variant>
        <vt:i4>0</vt:i4>
      </vt:variant>
      <vt:variant>
        <vt:i4>5</vt:i4>
      </vt:variant>
      <vt:variant>
        <vt:lpwstr>mailto:psichiatrija@rvpl.lt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2026-06-21T15:28:00Z</dcterms:created>
  <dcterms:modified xsi:type="dcterms:W3CDTF">2026-06-25T18:48:00Z</dcterms:modified>
</cp:coreProperties>
</file>