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77682" w14:textId="76F98602" w:rsidR="00960963" w:rsidRDefault="00962C24">
      <w:pPr>
        <w:spacing w:line="257" w:lineRule="atLeast"/>
        <w:jc w:val="center"/>
        <w:rPr>
          <w:color w:val="000000"/>
          <w:szCs w:val="24"/>
        </w:rPr>
      </w:pPr>
      <w:bookmarkStart w:id="0" w:name="_GoBack"/>
      <w:bookmarkEnd w:id="0"/>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 xml:space="preserve">3.1.3. Tiekėjas taip pat atsako už tai, kad Tiekėjas, Sutartį tiesiogiai vykdantys </w:t>
      </w:r>
      <w:proofErr w:type="spellStart"/>
      <w:r>
        <w:rPr>
          <w:color w:val="000000"/>
          <w:szCs w:val="24"/>
        </w:rPr>
        <w:t>subtiekėjai</w:t>
      </w:r>
      <w:proofErr w:type="spellEnd"/>
      <w:r>
        <w:rPr>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proofErr w:type="spellStart"/>
      <w:r>
        <w:rPr>
          <w:b/>
          <w:bCs/>
          <w:color w:val="000000"/>
          <w:szCs w:val="24"/>
        </w:rPr>
        <w:t>Subtiekėjų</w:t>
      </w:r>
      <w:proofErr w:type="spellEnd"/>
      <w:r>
        <w:rPr>
          <w:b/>
          <w:bCs/>
          <w:color w:val="000000"/>
          <w:szCs w:val="24"/>
        </w:rPr>
        <w:t xml:space="preserve">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w:t>
      </w:r>
      <w:proofErr w:type="spellStart"/>
      <w:r>
        <w:rPr>
          <w:rFonts w:eastAsia="Arial"/>
          <w:kern w:val="2"/>
          <w:szCs w:val="24"/>
        </w:rPr>
        <w:t>subtiekėjai</w:t>
      </w:r>
      <w:proofErr w:type="spellEnd"/>
      <w:r>
        <w:rPr>
          <w:rFonts w:eastAsia="Arial"/>
          <w:kern w:val="2"/>
          <w:szCs w:val="24"/>
        </w:rPr>
        <w:t xml:space="preserve"> ir (ar) specialistai. Šių asmenų veiksmai vykdant Sutartį Tiekėjui sukelia tokias pačias pasekmes ir atsakomybę, kaip jo paties veiksmai. Tiekėjas atsako už savo </w:t>
      </w:r>
      <w:proofErr w:type="spellStart"/>
      <w:r>
        <w:rPr>
          <w:rFonts w:eastAsia="Arial"/>
          <w:kern w:val="2"/>
          <w:szCs w:val="24"/>
        </w:rPr>
        <w:t>subtiekėjų</w:t>
      </w:r>
      <w:proofErr w:type="spellEnd"/>
      <w:r>
        <w:rPr>
          <w:rFonts w:eastAsia="Arial"/>
          <w:kern w:val="2"/>
          <w:szCs w:val="24"/>
        </w:rPr>
        <w:t xml:space="preserve">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3.2.2. Sutarties vykdymui pasitelkiami </w:t>
      </w:r>
      <w:proofErr w:type="spellStart"/>
      <w:r>
        <w:rPr>
          <w:rFonts w:eastAsia="Arial"/>
          <w:kern w:val="2"/>
          <w:szCs w:val="24"/>
        </w:rPr>
        <w:t>subtiekėjai</w:t>
      </w:r>
      <w:proofErr w:type="spellEnd"/>
      <w:r>
        <w:rPr>
          <w:rFonts w:eastAsia="Arial"/>
          <w:kern w:val="2"/>
          <w:szCs w:val="24"/>
        </w:rPr>
        <w:t xml:space="preserve">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 xml:space="preserve">3.2.3. Tiekėjas gali keisti ir (ar) pasitelkti </w:t>
      </w:r>
      <w:proofErr w:type="spellStart"/>
      <w:r>
        <w:rPr>
          <w:rFonts w:eastAsia="Arial"/>
          <w:kern w:val="2"/>
          <w:szCs w:val="24"/>
        </w:rPr>
        <w:t>subtiekėjus</w:t>
      </w:r>
      <w:proofErr w:type="spellEnd"/>
      <w:r>
        <w:rPr>
          <w:rFonts w:eastAsia="Arial"/>
          <w:kern w:val="2"/>
          <w:szCs w:val="24"/>
        </w:rPr>
        <w:t xml:space="preserve">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 xml:space="preserve">3.2.4. Naujas </w:t>
      </w:r>
      <w:proofErr w:type="spellStart"/>
      <w:r>
        <w:rPr>
          <w:rFonts w:eastAsia="Cambria"/>
          <w:kern w:val="2"/>
          <w:szCs w:val="24"/>
        </w:rPr>
        <w:t>subtiekėjas</w:t>
      </w:r>
      <w:proofErr w:type="spellEnd"/>
      <w:r>
        <w:rPr>
          <w:rFonts w:eastAsia="Cambria"/>
          <w:kern w:val="2"/>
          <w:szCs w:val="24"/>
        </w:rPr>
        <w:t xml:space="preserve">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w:t>
      </w:r>
      <w:proofErr w:type="spellStart"/>
      <w:r>
        <w:rPr>
          <w:rFonts w:eastAsia="Cambria"/>
          <w:kern w:val="2"/>
          <w:szCs w:val="24"/>
        </w:rPr>
        <w:t>subtiekėją</w:t>
      </w:r>
      <w:proofErr w:type="spellEnd"/>
      <w:r>
        <w:rPr>
          <w:rFonts w:eastAsia="Cambria"/>
          <w:kern w:val="2"/>
          <w:szCs w:val="24"/>
        </w:rPr>
        <w:t xml:space="preserve"> arba pakeičia esamą </w:t>
      </w:r>
      <w:proofErr w:type="spellStart"/>
      <w:r>
        <w:rPr>
          <w:rFonts w:eastAsia="Cambria"/>
          <w:kern w:val="2"/>
          <w:szCs w:val="24"/>
        </w:rPr>
        <w:t>subtiekėją</w:t>
      </w:r>
      <w:proofErr w:type="spellEnd"/>
      <w:r>
        <w:rPr>
          <w:rFonts w:eastAsia="Cambria"/>
          <w:kern w:val="2"/>
          <w:szCs w:val="24"/>
        </w:rPr>
        <w:t xml:space="preserve"> ir (ar) specialistą, negavęs Pirkėjo raštiško sutikimo, arba sutartinius įsipareigojimus pagal Sutartį vykdo </w:t>
      </w:r>
      <w:proofErr w:type="spellStart"/>
      <w:r>
        <w:rPr>
          <w:rFonts w:eastAsia="Cambria"/>
          <w:kern w:val="2"/>
          <w:szCs w:val="24"/>
        </w:rPr>
        <w:t>subtiekėjai</w:t>
      </w:r>
      <w:proofErr w:type="spellEnd"/>
      <w:r>
        <w:rPr>
          <w:rFonts w:eastAsia="Cambri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proofErr w:type="spellStart"/>
      <w:r>
        <w:rPr>
          <w:rFonts w:eastAsia="Arial"/>
          <w:kern w:val="2"/>
          <w:szCs w:val="24"/>
        </w:rPr>
        <w:t>subtiekėjus</w:t>
      </w:r>
      <w:proofErr w:type="spellEnd"/>
      <w:r>
        <w:rPr>
          <w:rFonts w:eastAsia="Arial"/>
          <w:kern w:val="2"/>
          <w:szCs w:val="24"/>
        </w:rPr>
        <w:t xml:space="preserve">,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w:t>
      </w:r>
      <w:proofErr w:type="spellStart"/>
      <w:r>
        <w:rPr>
          <w:rFonts w:eastAsia="Arial"/>
          <w:kern w:val="2"/>
          <w:szCs w:val="24"/>
        </w:rPr>
        <w:t>subtiekėjų</w:t>
      </w:r>
      <w:proofErr w:type="spellEnd"/>
      <w:r>
        <w:rPr>
          <w:rFonts w:eastAsia="Arial"/>
          <w:kern w:val="2"/>
          <w:szCs w:val="24"/>
        </w:rPr>
        <w:t xml:space="preserve">,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w:t>
      </w:r>
      <w:proofErr w:type="spellStart"/>
      <w:r>
        <w:rPr>
          <w:rFonts w:eastAsia="Cambria"/>
          <w:kern w:val="2"/>
          <w:szCs w:val="24"/>
        </w:rPr>
        <w:t>subtiekėjus</w:t>
      </w:r>
      <w:proofErr w:type="spellEnd"/>
      <w:r>
        <w:rPr>
          <w:rFonts w:eastAsia="Cambria"/>
          <w:kern w:val="2"/>
          <w:szCs w:val="24"/>
        </w:rPr>
        <w:t>,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w:t>
      </w:r>
      <w:proofErr w:type="spellStart"/>
      <w:r>
        <w:rPr>
          <w:rFonts w:eastAsia="Arial"/>
          <w:kern w:val="2"/>
          <w:szCs w:val="24"/>
        </w:rPr>
        <w:t>subtiekėjo</w:t>
      </w:r>
      <w:proofErr w:type="spellEnd"/>
      <w:r>
        <w:rPr>
          <w:rFonts w:eastAsia="Arial"/>
          <w:kern w:val="2"/>
          <w:szCs w:val="24"/>
        </w:rPr>
        <w:t xml:space="preserve">,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proofErr w:type="spellStart"/>
      <w:r>
        <w:rPr>
          <w:rFonts w:eastAsia="Cambria"/>
          <w:kern w:val="2"/>
          <w:szCs w:val="24"/>
        </w:rPr>
        <w:t>subtiekėjo</w:t>
      </w:r>
      <w:proofErr w:type="spellEnd"/>
      <w:r>
        <w:rPr>
          <w:rFonts w:eastAsia="Cambria"/>
          <w:kern w:val="2"/>
          <w:szCs w:val="24"/>
        </w:rPr>
        <w:t xml:space="preserve"> pašalinimo pagrindų ir </w:t>
      </w:r>
      <w:proofErr w:type="spellStart"/>
      <w:r>
        <w:rPr>
          <w:rFonts w:eastAsia="Cambria"/>
          <w:kern w:val="2"/>
          <w:szCs w:val="24"/>
        </w:rPr>
        <w:t>subtiekėjo</w:t>
      </w:r>
      <w:proofErr w:type="spellEnd"/>
      <w:r>
        <w:rPr>
          <w:rFonts w:eastAsia="Cambria"/>
          <w:kern w:val="2"/>
          <w:szCs w:val="24"/>
        </w:rPr>
        <w:t xml:space="preserve">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proofErr w:type="spellStart"/>
      <w:r>
        <w:rPr>
          <w:rFonts w:eastAsia="Cambria"/>
          <w:kern w:val="2"/>
          <w:szCs w:val="24"/>
        </w:rPr>
        <w:t>subtiekėjo</w:t>
      </w:r>
      <w:proofErr w:type="spellEnd"/>
      <w:r>
        <w:rPr>
          <w:rFonts w:eastAsia="Cambria"/>
          <w:kern w:val="2"/>
          <w:szCs w:val="24"/>
        </w:rPr>
        <w:t xml:space="preserve"> padėtis neatitinka bent vieno iš nurodytų reikalavimų, Pirkėjas reikalauja pakeisti šį </w:t>
      </w:r>
      <w:proofErr w:type="spellStart"/>
      <w:r>
        <w:rPr>
          <w:rFonts w:eastAsia="Cambria"/>
          <w:kern w:val="2"/>
          <w:szCs w:val="24"/>
        </w:rPr>
        <w:t>subtiekėją</w:t>
      </w:r>
      <w:proofErr w:type="spellEnd"/>
      <w:r>
        <w:rPr>
          <w:rFonts w:eastAsia="Cambria"/>
          <w:kern w:val="2"/>
          <w:szCs w:val="24"/>
        </w:rPr>
        <w:t xml:space="preserve">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w:t>
      </w:r>
      <w:proofErr w:type="spellStart"/>
      <w:r>
        <w:rPr>
          <w:rFonts w:eastAsia="Calibri"/>
          <w:kern w:val="2"/>
          <w:szCs w:val="24"/>
        </w:rPr>
        <w:t>subtiekėją</w:t>
      </w:r>
      <w:proofErr w:type="spellEnd"/>
      <w:r>
        <w:rPr>
          <w:rFonts w:eastAsia="Calibri"/>
          <w:kern w:val="2"/>
          <w:szCs w:val="24"/>
        </w:rPr>
        <w:t xml:space="preserve">,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w:t>
      </w:r>
      <w:proofErr w:type="spellStart"/>
      <w:r>
        <w:rPr>
          <w:rFonts w:eastAsia="Arial"/>
          <w:kern w:val="2"/>
          <w:szCs w:val="24"/>
        </w:rPr>
        <w:t>Subtiekėjai</w:t>
      </w:r>
      <w:proofErr w:type="spellEnd"/>
      <w:r>
        <w:rPr>
          <w:rFonts w:eastAsia="Arial"/>
          <w:kern w:val="2"/>
          <w:szCs w:val="24"/>
        </w:rPr>
        <w:t>,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w:t>
      </w:r>
      <w:proofErr w:type="spellStart"/>
      <w:r>
        <w:rPr>
          <w:rFonts w:eastAsia="Cambria"/>
          <w:kern w:val="2"/>
          <w:szCs w:val="24"/>
        </w:rPr>
        <w:t>subtiekėjui</w:t>
      </w:r>
      <w:proofErr w:type="spellEnd"/>
      <w:r>
        <w:rPr>
          <w:rFonts w:eastAsia="Cambria"/>
          <w:kern w:val="2"/>
          <w:szCs w:val="24"/>
        </w:rPr>
        <w:t xml:space="preserve">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3.2.10.2. kai </w:t>
      </w:r>
      <w:proofErr w:type="spellStart"/>
      <w:r>
        <w:rPr>
          <w:rFonts w:eastAsia="Cambria"/>
          <w:kern w:val="2"/>
          <w:szCs w:val="24"/>
        </w:rPr>
        <w:t>subtiekėjas</w:t>
      </w:r>
      <w:proofErr w:type="spellEnd"/>
      <w:r>
        <w:rPr>
          <w:rFonts w:eastAsia="Cambria"/>
          <w:kern w:val="2"/>
          <w:szCs w:val="24"/>
        </w:rPr>
        <w:t xml:space="preserve"> dėl objektyvių priežasčių (pavyzdžiui, </w:t>
      </w:r>
      <w:proofErr w:type="spellStart"/>
      <w:r>
        <w:rPr>
          <w:rFonts w:eastAsia="Cambria"/>
          <w:kern w:val="2"/>
          <w:szCs w:val="24"/>
        </w:rPr>
        <w:t>subtiekėjui</w:t>
      </w:r>
      <w:proofErr w:type="spellEnd"/>
      <w:r>
        <w:rPr>
          <w:rFonts w:eastAsia="Cambria"/>
          <w:kern w:val="2"/>
          <w:szCs w:val="24"/>
        </w:rPr>
        <w:t xml:space="preserve">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3.2.10.3. Tiekėjas ar </w:t>
      </w:r>
      <w:proofErr w:type="spellStart"/>
      <w:r>
        <w:rPr>
          <w:rFonts w:eastAsia="Cambria"/>
          <w:kern w:val="2"/>
          <w:szCs w:val="24"/>
        </w:rPr>
        <w:t>subtiekėjas</w:t>
      </w:r>
      <w:proofErr w:type="spellEnd"/>
      <w:r>
        <w:rPr>
          <w:rFonts w:eastAsia="Cambria"/>
          <w:kern w:val="2"/>
          <w:szCs w:val="24"/>
        </w:rPr>
        <w:t xml:space="preserve"> privalo pakeisti </w:t>
      </w:r>
      <w:proofErr w:type="spellStart"/>
      <w:r>
        <w:rPr>
          <w:rFonts w:eastAsia="Cambria"/>
          <w:kern w:val="2"/>
          <w:szCs w:val="24"/>
        </w:rPr>
        <w:t>subtiekėją</w:t>
      </w:r>
      <w:proofErr w:type="spellEnd"/>
      <w:r>
        <w:rPr>
          <w:rFonts w:eastAsia="Cambria"/>
          <w:kern w:val="2"/>
          <w:szCs w:val="24"/>
        </w:rPr>
        <w:t>,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 xml:space="preserve">Tiekėjo (ar </w:t>
      </w:r>
      <w:proofErr w:type="spellStart"/>
      <w:r>
        <w:rPr>
          <w:rFonts w:eastAsia="Cambria"/>
          <w:kern w:val="2"/>
          <w:szCs w:val="24"/>
        </w:rPr>
        <w:t>subtiekėjų</w:t>
      </w:r>
      <w:proofErr w:type="spellEnd"/>
      <w:r>
        <w:rPr>
          <w:rFonts w:eastAsia="Cambria"/>
          <w:kern w:val="2"/>
          <w:szCs w:val="24"/>
        </w:rPr>
        <w:t>)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 xml:space="preserve">3.2.11.3. Tiekėjas ar </w:t>
      </w:r>
      <w:proofErr w:type="spellStart"/>
      <w:r>
        <w:rPr>
          <w:rFonts w:eastAsia="Cambria"/>
          <w:kern w:val="2"/>
          <w:szCs w:val="24"/>
        </w:rPr>
        <w:t>subtiekėjas</w:t>
      </w:r>
      <w:proofErr w:type="spellEnd"/>
      <w:r>
        <w:rPr>
          <w:rFonts w:eastAsia="Cambria"/>
          <w:kern w:val="2"/>
          <w:szCs w:val="24"/>
        </w:rPr>
        <w:t xml:space="preserve">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w:t>
      </w:r>
      <w:proofErr w:type="spellStart"/>
      <w:r>
        <w:rPr>
          <w:rFonts w:eastAsia="Cambria"/>
          <w:color w:val="000000"/>
          <w:kern w:val="2"/>
        </w:rPr>
        <w:t>subtiekėjas</w:t>
      </w:r>
      <w:proofErr w:type="spellEnd"/>
      <w:r>
        <w:rPr>
          <w:rFonts w:eastAsia="Cambria"/>
          <w:color w:val="000000"/>
          <w:kern w:val="2"/>
        </w:rPr>
        <w:t xml:space="preserve"> Tiekėjo prašymo pakeisti specialistą ir (ar) </w:t>
      </w:r>
      <w:proofErr w:type="spellStart"/>
      <w:r>
        <w:rPr>
          <w:rFonts w:eastAsia="Cambria"/>
          <w:color w:val="000000"/>
          <w:kern w:val="2"/>
        </w:rPr>
        <w:t>subtiekėją</w:t>
      </w:r>
      <w:proofErr w:type="spellEnd"/>
      <w:r>
        <w:rPr>
          <w:rFonts w:eastAsia="Cambria"/>
          <w:color w:val="000000"/>
          <w:kern w:val="2"/>
        </w:rPr>
        <w:t xml:space="preserve"> pateikimo metu turi atitikti pirkimo dokumentuose specialistui ir (ar) </w:t>
      </w:r>
      <w:proofErr w:type="spellStart"/>
      <w:r>
        <w:rPr>
          <w:rFonts w:eastAsia="Cambria"/>
          <w:color w:val="000000"/>
          <w:kern w:val="2"/>
        </w:rPr>
        <w:t>subtiekėjui</w:t>
      </w:r>
      <w:proofErr w:type="spellEnd"/>
      <w:r>
        <w:rPr>
          <w:rFonts w:eastAsia="Cambria"/>
          <w:color w:val="000000"/>
          <w:kern w:val="2"/>
        </w:rPr>
        <w:t xml:space="preserve">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w:t>
      </w:r>
      <w:proofErr w:type="spellStart"/>
      <w:r>
        <w:rPr>
          <w:rFonts w:eastAsia="Cambria"/>
          <w:kern w:val="2"/>
          <w:szCs w:val="24"/>
        </w:rPr>
        <w:t>subtiekėjo</w:t>
      </w:r>
      <w:proofErr w:type="spellEnd"/>
      <w:r>
        <w:rPr>
          <w:rFonts w:eastAsia="Cambria"/>
          <w:kern w:val="2"/>
          <w:szCs w:val="24"/>
        </w:rPr>
        <w:t xml:space="preserve">,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w:t>
      </w:r>
      <w:proofErr w:type="spellStart"/>
      <w:r>
        <w:rPr>
          <w:rFonts w:eastAsia="Cambria"/>
          <w:kern w:val="2"/>
          <w:szCs w:val="24"/>
        </w:rPr>
        <w:t>subtiekėją</w:t>
      </w:r>
      <w:proofErr w:type="spellEnd"/>
      <w:r>
        <w:rPr>
          <w:rFonts w:eastAsia="Cambria"/>
          <w:kern w:val="2"/>
          <w:szCs w:val="24"/>
        </w:rPr>
        <w:t xml:space="preserve">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w:t>
      </w:r>
      <w:proofErr w:type="spellStart"/>
      <w:r>
        <w:rPr>
          <w:rFonts w:eastAsia="Cambria"/>
          <w:kern w:val="2"/>
          <w:szCs w:val="24"/>
        </w:rPr>
        <w:t>subtiekėjo</w:t>
      </w:r>
      <w:proofErr w:type="spellEnd"/>
      <w:r>
        <w:rPr>
          <w:rFonts w:eastAsia="Cambri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Pr>
          <w:rFonts w:eastAsia="Cambria"/>
          <w:kern w:val="2"/>
          <w:szCs w:val="24"/>
        </w:rPr>
        <w:t>subtiekėją</w:t>
      </w:r>
      <w:proofErr w:type="spellEnd"/>
      <w:r>
        <w:rPr>
          <w:rFonts w:eastAsia="Cambria"/>
          <w:kern w:val="2"/>
          <w:szCs w:val="24"/>
        </w:rPr>
        <w:t xml:space="preserve">,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 xml:space="preserve">3.4.  Susitarimai dėl tiesioginio atsiskaitymo su </w:t>
      </w:r>
      <w:proofErr w:type="spellStart"/>
      <w:r>
        <w:rPr>
          <w:b/>
          <w:bCs/>
          <w:color w:val="000000"/>
          <w:szCs w:val="24"/>
        </w:rPr>
        <w:t>subtiekėjais</w:t>
      </w:r>
      <w:proofErr w:type="spellEnd"/>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proofErr w:type="spellStart"/>
      <w:r>
        <w:rPr>
          <w:color w:val="000000"/>
          <w:szCs w:val="24"/>
          <w:shd w:val="clear" w:color="auto" w:fill="FFFFFF"/>
        </w:rPr>
        <w:t>Subtiekėjams</w:t>
      </w:r>
      <w:proofErr w:type="spellEnd"/>
      <w:r>
        <w:rPr>
          <w:color w:val="000000"/>
          <w:szCs w:val="24"/>
          <w:shd w:val="clear" w:color="auto" w:fill="FFFFFF"/>
        </w:rPr>
        <w:t xml:space="preserve"> pageidaujant, Pirkėjas su jais atsiskaitys tiesiogiai. Pirkėjas numato tiesioginio atsiskaitymo galimybę su Sutartyje nurodytais </w:t>
      </w:r>
      <w:proofErr w:type="spellStart"/>
      <w:r>
        <w:rPr>
          <w:color w:val="000000"/>
          <w:szCs w:val="24"/>
          <w:shd w:val="clear" w:color="auto" w:fill="FFFFFF"/>
        </w:rPr>
        <w:t>subtiekėjais</w:t>
      </w:r>
      <w:proofErr w:type="spellEnd"/>
      <w:r>
        <w:rPr>
          <w:color w:val="000000"/>
          <w:szCs w:val="24"/>
          <w:shd w:val="clear" w:color="auto" w:fill="FFFFFF"/>
        </w:rPr>
        <w:t xml:space="preserve">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w:t>
      </w:r>
      <w:proofErr w:type="spellStart"/>
      <w:r>
        <w:rPr>
          <w:color w:val="000000"/>
          <w:szCs w:val="24"/>
          <w:shd w:val="clear" w:color="auto" w:fill="FFFFFF"/>
        </w:rPr>
        <w:t>subtiekėjų</w:t>
      </w:r>
      <w:proofErr w:type="spellEnd"/>
      <w:r>
        <w:rPr>
          <w:color w:val="000000"/>
          <w:szCs w:val="24"/>
          <w:shd w:val="clear" w:color="auto" w:fill="FFFFFF"/>
        </w:rPr>
        <w:t xml:space="preserve">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 xml:space="preserve">naujų </w:t>
      </w:r>
      <w:proofErr w:type="spellStart"/>
      <w:r>
        <w:rPr>
          <w:color w:val="000000"/>
          <w:szCs w:val="24"/>
          <w:shd w:val="clear" w:color="auto" w:fill="FFFFFF"/>
        </w:rPr>
        <w:t>subtiekėjų</w:t>
      </w:r>
      <w:proofErr w:type="spellEnd"/>
      <w:r>
        <w:rPr>
          <w:color w:val="000000"/>
          <w:szCs w:val="24"/>
          <w:shd w:val="clear" w:color="auto" w:fill="FFFFFF"/>
        </w:rPr>
        <w:t xml:space="preserve">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 xml:space="preserve">Pirkėjas ne vėliau kaip per 3 (tris) darbo dienas nuo Bendrųjų sąlygų 3.4.1.1 papunktyje nurodytos informacijos gavimo dienos raštu informuoja </w:t>
      </w:r>
      <w:proofErr w:type="spellStart"/>
      <w:r>
        <w:rPr>
          <w:color w:val="000000"/>
          <w:szCs w:val="24"/>
          <w:shd w:val="clear" w:color="auto" w:fill="FFFFFF"/>
        </w:rPr>
        <w:t>subtiekėjus</w:t>
      </w:r>
      <w:proofErr w:type="spellEnd"/>
      <w:r>
        <w:rPr>
          <w:color w:val="000000"/>
          <w:szCs w:val="24"/>
          <w:shd w:val="clear" w:color="auto" w:fill="FFFFFF"/>
        </w:rPr>
        <w:t xml:space="preserve">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proofErr w:type="spellStart"/>
      <w:r>
        <w:rPr>
          <w:color w:val="000000"/>
          <w:szCs w:val="24"/>
          <w:shd w:val="clear" w:color="auto" w:fill="FFFFFF"/>
        </w:rPr>
        <w:t>subtiekėjas</w:t>
      </w:r>
      <w:proofErr w:type="spellEnd"/>
      <w:r>
        <w:rPr>
          <w:color w:val="000000"/>
          <w:szCs w:val="24"/>
          <w:shd w:val="clear" w:color="auto" w:fill="FFFFFF"/>
        </w:rPr>
        <w:t xml:space="preserve">, norėdamas pasinaudoti tokia galimybe, raštu pateikia prašymą Pirkėjui. Kai </w:t>
      </w:r>
      <w:proofErr w:type="spellStart"/>
      <w:r>
        <w:rPr>
          <w:color w:val="000000"/>
          <w:szCs w:val="24"/>
          <w:shd w:val="clear" w:color="auto" w:fill="FFFFFF"/>
        </w:rPr>
        <w:t>subtiekėjas</w:t>
      </w:r>
      <w:proofErr w:type="spellEnd"/>
      <w:r>
        <w:rPr>
          <w:color w:val="000000"/>
          <w:szCs w:val="24"/>
          <w:shd w:val="clear" w:color="auto" w:fill="FFFFFF"/>
        </w:rPr>
        <w:t xml:space="preserve"> išreiškia norą pasinaudoti tiesioginio atsiskaitymo galimybe, sudaroma trišalė sutartis tarp Pirkėjo, Tiekėjo ir šio </w:t>
      </w:r>
      <w:proofErr w:type="spellStart"/>
      <w:r>
        <w:rPr>
          <w:color w:val="000000"/>
          <w:szCs w:val="24"/>
          <w:shd w:val="clear" w:color="auto" w:fill="FFFFFF"/>
        </w:rPr>
        <w:t>subtiekėjo</w:t>
      </w:r>
      <w:proofErr w:type="spellEnd"/>
      <w:r>
        <w:rPr>
          <w:color w:val="000000"/>
          <w:szCs w:val="24"/>
          <w:shd w:val="clear" w:color="auto" w:fill="FFFFFF"/>
        </w:rPr>
        <w:t xml:space="preserve">,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 xml:space="preserve">tiesioginio atsiskaitymo su </w:t>
      </w:r>
      <w:proofErr w:type="spellStart"/>
      <w:r>
        <w:rPr>
          <w:color w:val="000000"/>
          <w:szCs w:val="24"/>
          <w:shd w:val="clear" w:color="auto" w:fill="FFFFFF"/>
        </w:rPr>
        <w:t>subtiekėjais</w:t>
      </w:r>
      <w:proofErr w:type="spellEnd"/>
      <w:r>
        <w:rPr>
          <w:color w:val="000000"/>
          <w:szCs w:val="24"/>
          <w:shd w:val="clear" w:color="auto" w:fill="FFFFFF"/>
        </w:rPr>
        <w:t xml:space="preserve">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lastRenderedPageBreak/>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lastRenderedPageBreak/>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w:t>
      </w:r>
      <w:proofErr w:type="spellStart"/>
      <w:r>
        <w:rPr>
          <w:color w:val="000000"/>
          <w:szCs w:val="24"/>
        </w:rPr>
        <w:t>sintaksių</w:t>
      </w:r>
      <w:proofErr w:type="spellEnd"/>
      <w:r>
        <w:rPr>
          <w:color w:val="000000"/>
          <w:szCs w:val="24"/>
        </w:rPr>
        <w:t xml:space="preserve">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 xml:space="preserve">12.2.7. Jeigu Šalys sudaro trišalį susitarimą su subtiekėju, Pirkėjas privalo pervesti </w:t>
      </w:r>
      <w:proofErr w:type="spellStart"/>
      <w:r>
        <w:rPr>
          <w:color w:val="000000"/>
          <w:szCs w:val="24"/>
        </w:rPr>
        <w:t>subtiekėjui</w:t>
      </w:r>
      <w:proofErr w:type="spellEnd"/>
      <w:r>
        <w:rPr>
          <w:color w:val="000000"/>
          <w:szCs w:val="24"/>
        </w:rPr>
        <w:t xml:space="preserve"> mokėtiną sumą į </w:t>
      </w:r>
      <w:proofErr w:type="spellStart"/>
      <w:r>
        <w:rPr>
          <w:color w:val="000000"/>
          <w:szCs w:val="24"/>
        </w:rPr>
        <w:t>subtiekėjo</w:t>
      </w:r>
      <w:proofErr w:type="spellEnd"/>
      <w:r>
        <w:rPr>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 xml:space="preserve">16.2. Tiekėjas papildomai pareiškia ir garantuoja Pirkėjui, kad Tiekėjas, </w:t>
      </w:r>
      <w:proofErr w:type="spellStart"/>
      <w:r>
        <w:rPr>
          <w:color w:val="000000"/>
          <w:szCs w:val="24"/>
        </w:rPr>
        <w:t>subtiekėjai</w:t>
      </w:r>
      <w:proofErr w:type="spellEnd"/>
      <w:r>
        <w:rPr>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proofErr w:type="spellStart"/>
      <w:r>
        <w:rPr>
          <w:i/>
          <w:iCs/>
          <w:color w:val="000000"/>
          <w:szCs w:val="24"/>
        </w:rPr>
        <w:t>force</w:t>
      </w:r>
      <w:proofErr w:type="spellEnd"/>
      <w:r>
        <w:rPr>
          <w:i/>
          <w:iCs/>
          <w:color w:val="000000"/>
          <w:szCs w:val="24"/>
        </w:rPr>
        <w:t xml:space="preserve"> majeure</w:t>
      </w:r>
      <w:r>
        <w:rPr>
          <w:color w:val="000000"/>
          <w:szCs w:val="24"/>
        </w:rPr>
        <w:t>) – taikomos Lietuvos Respublikos civilinio kodekso 6.212 straipsnio ir Lietuvos Respublikos Vyriausybės 1996 m. liepos 15 d. nutarimu Nr. 840 „Dėl Atleidimo nuo atsakomybės esant nenugalimos jėgos (</w:t>
      </w:r>
      <w:proofErr w:type="spellStart"/>
      <w:r>
        <w:rPr>
          <w:i/>
          <w:iCs/>
          <w:color w:val="000000"/>
          <w:szCs w:val="24"/>
        </w:rPr>
        <w:t>force</w:t>
      </w:r>
      <w:proofErr w:type="spellEnd"/>
      <w:r>
        <w:rPr>
          <w:i/>
          <w:iCs/>
          <w:color w:val="000000"/>
          <w:szCs w:val="24"/>
        </w:rPr>
        <w:t xml:space="preserv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color w:val="000000"/>
          <w:szCs w:val="24"/>
        </w:rPr>
        <w:lastRenderedPageBreak/>
        <w:t>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proofErr w:type="spellStart"/>
      <w:r>
        <w:rPr>
          <w:i/>
          <w:iCs/>
          <w:color w:val="000000"/>
          <w:szCs w:val="24"/>
        </w:rPr>
        <w:t>force</w:t>
      </w:r>
      <w:proofErr w:type="spellEnd"/>
      <w:r>
        <w:rPr>
          <w:i/>
          <w:iCs/>
          <w:color w:val="000000"/>
          <w:szCs w:val="24"/>
        </w:rPr>
        <w:t xml:space="preserv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 xml:space="preserve">20.5. Specialiosiose sąlygose nurodytų duomenų apie kontaktinius asmenis bei rekvizitų pasikeitimas nelaikomas Sutarties pakeitimu (išskyrus Tiekėjo, jungtinės veiklos Partnerio, </w:t>
      </w:r>
      <w:proofErr w:type="spellStart"/>
      <w:r>
        <w:rPr>
          <w:color w:val="000000"/>
          <w:szCs w:val="24"/>
        </w:rPr>
        <w:t>subtiekėjo</w:t>
      </w:r>
      <w:proofErr w:type="spellEnd"/>
      <w:r>
        <w:rPr>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lastRenderedPageBreak/>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lastRenderedPageBreak/>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E5048" w14:textId="77777777" w:rsidR="00592D13" w:rsidRDefault="00592D13">
      <w:pPr>
        <w:rPr>
          <w:kern w:val="2"/>
          <w:sz w:val="22"/>
          <w:szCs w:val="22"/>
          <w:lang w:val="en-US"/>
        </w:rPr>
      </w:pPr>
      <w:r>
        <w:rPr>
          <w:kern w:val="2"/>
          <w:sz w:val="22"/>
          <w:szCs w:val="22"/>
          <w:lang w:val="en-US"/>
        </w:rPr>
        <w:separator/>
      </w:r>
    </w:p>
  </w:endnote>
  <w:endnote w:type="continuationSeparator" w:id="0">
    <w:p w14:paraId="6C45508B" w14:textId="77777777" w:rsidR="00592D13" w:rsidRDefault="00592D13">
      <w:pPr>
        <w:rPr>
          <w:kern w:val="2"/>
          <w:sz w:val="22"/>
          <w:szCs w:val="22"/>
          <w:lang w:val="en-US"/>
        </w:rPr>
      </w:pPr>
      <w:r>
        <w:rPr>
          <w:kern w:val="2"/>
          <w:sz w:val="22"/>
          <w:szCs w:val="22"/>
          <w:lang w:val="en-US"/>
        </w:rPr>
        <w:continuationSeparator/>
      </w:r>
    </w:p>
  </w:endnote>
  <w:endnote w:type="continuationNotice" w:id="1">
    <w:p w14:paraId="58127378" w14:textId="77777777" w:rsidR="00592D13" w:rsidRDefault="00592D1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63564" w14:textId="77777777" w:rsidR="00592D13" w:rsidRDefault="00592D13">
      <w:pPr>
        <w:rPr>
          <w:kern w:val="2"/>
          <w:sz w:val="22"/>
          <w:szCs w:val="22"/>
          <w:lang w:val="en-US"/>
        </w:rPr>
      </w:pPr>
      <w:r>
        <w:rPr>
          <w:kern w:val="2"/>
          <w:sz w:val="22"/>
          <w:szCs w:val="22"/>
          <w:lang w:val="en-US"/>
        </w:rPr>
        <w:separator/>
      </w:r>
    </w:p>
  </w:footnote>
  <w:footnote w:type="continuationSeparator" w:id="0">
    <w:p w14:paraId="745A0B56" w14:textId="77777777" w:rsidR="00592D13" w:rsidRDefault="00592D13">
      <w:pPr>
        <w:rPr>
          <w:kern w:val="2"/>
          <w:sz w:val="22"/>
          <w:szCs w:val="22"/>
          <w:lang w:val="en-US"/>
        </w:rPr>
      </w:pPr>
      <w:r>
        <w:rPr>
          <w:kern w:val="2"/>
          <w:sz w:val="22"/>
          <w:szCs w:val="22"/>
          <w:lang w:val="en-US"/>
        </w:rPr>
        <w:continuationSeparator/>
      </w:r>
    </w:p>
  </w:footnote>
  <w:footnote w:type="continuationNotice" w:id="1">
    <w:p w14:paraId="5636DF0B" w14:textId="77777777" w:rsidR="00592D13" w:rsidRDefault="00592D13">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4A27A7">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FF"/>
    <w:rsid w:val="00045237"/>
    <w:rsid w:val="001B0C4A"/>
    <w:rsid w:val="001B2EB7"/>
    <w:rsid w:val="002A03FF"/>
    <w:rsid w:val="00406BBC"/>
    <w:rsid w:val="004A27A7"/>
    <w:rsid w:val="004A67D9"/>
    <w:rsid w:val="00592D13"/>
    <w:rsid w:val="0060776F"/>
    <w:rsid w:val="006D59D1"/>
    <w:rsid w:val="00704CA1"/>
    <w:rsid w:val="007D0D83"/>
    <w:rsid w:val="00872E9C"/>
    <w:rsid w:val="00876BBA"/>
    <w:rsid w:val="00960963"/>
    <w:rsid w:val="00962C24"/>
    <w:rsid w:val="00DC1C44"/>
    <w:rsid w:val="00E563BA"/>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53587</Words>
  <Characters>30545</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83965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2026-06-15T08:06:00Z</dcterms:created>
  <dcterms:modified xsi:type="dcterms:W3CDTF">2026-06-15T08:06:00Z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