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CE81" w14:textId="5B9C721F" w:rsidR="002E3132" w:rsidRPr="00164696" w:rsidRDefault="002E3132" w:rsidP="002E3132">
      <w:pPr>
        <w:spacing w:after="0"/>
        <w:jc w:val="right"/>
        <w:rPr>
          <w:rFonts w:ascii="Times New Roman" w:hAnsi="Times New Roman" w:cs="Times New Roman"/>
          <w:i/>
          <w:iCs/>
          <w:snapToGrid w:val="0"/>
          <w:lang w:val="lt-LT"/>
        </w:rPr>
      </w:pPr>
      <w:r w:rsidRPr="00164696">
        <w:rPr>
          <w:rFonts w:ascii="Times New Roman" w:hAnsi="Times New Roman" w:cs="Times New Roman"/>
          <w:i/>
          <w:iCs/>
          <w:snapToGrid w:val="0"/>
          <w:lang w:val="lt-LT"/>
        </w:rPr>
        <w:t>Pirkimo sąlygų 6 priedas</w:t>
      </w:r>
    </w:p>
    <w:p w14:paraId="63E8126E" w14:textId="77777777" w:rsidR="002E3132" w:rsidRPr="00164696" w:rsidRDefault="002E3132" w:rsidP="0041365C">
      <w:pPr>
        <w:spacing w:after="0" w:line="240" w:lineRule="auto"/>
        <w:ind w:firstLine="567"/>
        <w:jc w:val="center"/>
        <w:rPr>
          <w:rFonts w:ascii="Times New Roman" w:hAnsi="Times New Roman" w:cs="Times New Roman"/>
          <w:b/>
          <w:lang w:val="lt-LT"/>
        </w:rPr>
      </w:pPr>
    </w:p>
    <w:p w14:paraId="7DBC9F61" w14:textId="257DBDD3" w:rsidR="00C76B51" w:rsidRPr="00164696" w:rsidRDefault="00C76B51" w:rsidP="0041365C">
      <w:pPr>
        <w:spacing w:after="0" w:line="240" w:lineRule="auto"/>
        <w:ind w:firstLine="567"/>
        <w:jc w:val="center"/>
        <w:rPr>
          <w:rFonts w:ascii="Times New Roman" w:hAnsi="Times New Roman" w:cs="Times New Roman"/>
          <w:b/>
          <w:lang w:val="lt-LT"/>
        </w:rPr>
      </w:pPr>
      <w:r w:rsidRPr="00164696">
        <w:rPr>
          <w:rFonts w:ascii="Times New Roman" w:hAnsi="Times New Roman" w:cs="Times New Roman"/>
          <w:b/>
          <w:lang w:val="lt-LT"/>
        </w:rPr>
        <w:t>TIEKĖJŲ PASIŪLYMŲ VERTINIMO KRITERIJAI IR TVARKA</w:t>
      </w:r>
    </w:p>
    <w:p w14:paraId="483B489E" w14:textId="77777777" w:rsidR="00C76B51" w:rsidRPr="00164696" w:rsidRDefault="00C76B51" w:rsidP="009A418D">
      <w:pPr>
        <w:spacing w:after="0" w:line="240" w:lineRule="auto"/>
        <w:ind w:firstLine="567"/>
        <w:jc w:val="both"/>
        <w:rPr>
          <w:rFonts w:ascii="Times New Roman" w:hAnsi="Times New Roman" w:cs="Times New Roman"/>
          <w:bCs/>
          <w:lang w:val="lt-LT"/>
        </w:rPr>
      </w:pPr>
    </w:p>
    <w:p w14:paraId="17669DC8" w14:textId="77777777" w:rsidR="00C76B51" w:rsidRPr="00164696" w:rsidRDefault="00C76B51" w:rsidP="00C3675E">
      <w:pPr>
        <w:numPr>
          <w:ilvl w:val="0"/>
          <w:numId w:val="15"/>
        </w:numPr>
        <w:tabs>
          <w:tab w:val="left" w:pos="709"/>
          <w:tab w:val="left" w:pos="851"/>
          <w:tab w:val="left" w:pos="993"/>
        </w:tabs>
        <w:spacing w:after="0" w:line="240" w:lineRule="auto"/>
        <w:ind w:left="0" w:firstLine="567"/>
        <w:jc w:val="both"/>
        <w:rPr>
          <w:rFonts w:ascii="Times New Roman" w:hAnsi="Times New Roman" w:cs="Times New Roman"/>
          <w:lang w:val="lt-LT"/>
        </w:rPr>
      </w:pPr>
      <w:r w:rsidRPr="00164696">
        <w:rPr>
          <w:rFonts w:ascii="Times New Roman" w:hAnsi="Times New Roman" w:cs="Times New Roman"/>
          <w:lang w:val="lt-LT"/>
        </w:rPr>
        <w:t>Ekonomiškai naudingiausias pasiūlymas išrenkamas pagal kainos ir kokybės (pasirinktas kokybės vertinimo charakteristikas įvertinamos kiekybiškai) santykį. Pasiūlymų vertinimo kriterijai:</w:t>
      </w:r>
    </w:p>
    <w:p w14:paraId="191CCFEF" w14:textId="272F5BA6" w:rsidR="000401E1" w:rsidRPr="00164696" w:rsidRDefault="000401E1" w:rsidP="000401E1">
      <w:pPr>
        <w:tabs>
          <w:tab w:val="left" w:pos="709"/>
          <w:tab w:val="left" w:pos="993"/>
        </w:tabs>
        <w:spacing w:after="0" w:line="240" w:lineRule="auto"/>
        <w:ind w:left="567"/>
        <w:jc w:val="both"/>
        <w:rPr>
          <w:rFonts w:ascii="Times New Roman" w:hAnsi="Times New Roman" w:cs="Times New Roman"/>
          <w:b/>
          <w:bCs/>
          <w:lang w:val="lt-LT"/>
        </w:rPr>
      </w:pPr>
      <w:r w:rsidRPr="00164696">
        <w:rPr>
          <w:rFonts w:ascii="Times New Roman" w:hAnsi="Times New Roman" w:cs="Times New Roman"/>
          <w:b/>
          <w:bCs/>
          <w:lang w:val="lt-LT"/>
        </w:rPr>
        <w:t>Lentelė Nr. 1</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1348"/>
        <w:gridCol w:w="5899"/>
        <w:gridCol w:w="2243"/>
      </w:tblGrid>
      <w:tr w:rsidR="00C76B51" w:rsidRPr="00164696" w14:paraId="4B4BD621" w14:textId="77777777" w:rsidTr="3089872A">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56BFC730" w14:textId="77777777" w:rsidR="00C76B51" w:rsidRPr="00164696" w:rsidRDefault="00C76B51" w:rsidP="002E3132">
            <w:pPr>
              <w:spacing w:after="0" w:line="240" w:lineRule="auto"/>
              <w:jc w:val="both"/>
              <w:rPr>
                <w:rFonts w:ascii="Times New Roman" w:hAnsi="Times New Roman" w:cs="Times New Roman"/>
                <w:b/>
                <w:bCs/>
                <w:lang w:val="lt-LT"/>
              </w:rPr>
            </w:pPr>
            <w:r w:rsidRPr="00164696">
              <w:rPr>
                <w:rFonts w:ascii="Times New Roman" w:hAnsi="Times New Roman" w:cs="Times New Roman"/>
                <w:b/>
                <w:bCs/>
                <w:lang w:val="lt-LT"/>
              </w:rPr>
              <w:t>Eil. Nr.</w:t>
            </w:r>
          </w:p>
        </w:tc>
        <w:tc>
          <w:tcPr>
            <w:tcW w:w="5899"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16496BDC" w14:textId="77777777" w:rsidR="00C76B51" w:rsidRPr="00164696" w:rsidRDefault="00C76B51" w:rsidP="002E3132">
            <w:pPr>
              <w:spacing w:after="0" w:line="240" w:lineRule="auto"/>
              <w:jc w:val="both"/>
              <w:rPr>
                <w:rFonts w:ascii="Times New Roman" w:hAnsi="Times New Roman" w:cs="Times New Roman"/>
                <w:b/>
                <w:bCs/>
                <w:lang w:val="lt-LT"/>
              </w:rPr>
            </w:pPr>
            <w:r w:rsidRPr="00164696">
              <w:rPr>
                <w:rFonts w:ascii="Times New Roman" w:hAnsi="Times New Roman" w:cs="Times New Roman"/>
                <w:b/>
                <w:bCs/>
                <w:lang w:val="lt-LT"/>
              </w:rPr>
              <w:t>Vertinimo kriterijai</w:t>
            </w:r>
          </w:p>
        </w:tc>
        <w:tc>
          <w:tcPr>
            <w:tcW w:w="2243"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19BB8E39" w14:textId="77777777" w:rsidR="00C76B51" w:rsidRPr="00164696" w:rsidRDefault="00C76B51" w:rsidP="002E3132">
            <w:pPr>
              <w:spacing w:after="0" w:line="240" w:lineRule="auto"/>
              <w:jc w:val="both"/>
              <w:rPr>
                <w:rFonts w:ascii="Times New Roman" w:hAnsi="Times New Roman" w:cs="Times New Roman"/>
                <w:b/>
                <w:bCs/>
                <w:lang w:val="lt-LT"/>
              </w:rPr>
            </w:pPr>
            <w:r w:rsidRPr="00164696">
              <w:rPr>
                <w:rFonts w:ascii="Times New Roman" w:hAnsi="Times New Roman" w:cs="Times New Roman"/>
                <w:b/>
                <w:bCs/>
                <w:lang w:val="lt-LT"/>
              </w:rPr>
              <w:t>Lyginamasis svoris ekonominio naudingumo įvertinime</w:t>
            </w:r>
          </w:p>
        </w:tc>
      </w:tr>
      <w:tr w:rsidR="00C76B51" w:rsidRPr="00164696" w14:paraId="4D5151AA" w14:textId="77777777" w:rsidTr="3089872A">
        <w:trPr>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37629D62" w14:textId="77777777" w:rsidR="00C76B51" w:rsidRPr="00164696" w:rsidRDefault="00C76B51" w:rsidP="002E3132">
            <w:pPr>
              <w:spacing w:after="0" w:line="240" w:lineRule="auto"/>
              <w:ind w:firstLine="567"/>
              <w:jc w:val="both"/>
              <w:rPr>
                <w:rFonts w:ascii="Times New Roman" w:hAnsi="Times New Roman" w:cs="Times New Roman"/>
                <w:lang w:val="lt-LT"/>
              </w:rPr>
            </w:pPr>
            <w:r w:rsidRPr="00164696">
              <w:rPr>
                <w:rFonts w:ascii="Times New Roman" w:hAnsi="Times New Roman" w:cs="Times New Roman"/>
                <w:lang w:val="lt-LT"/>
              </w:rPr>
              <w:t>1.</w:t>
            </w:r>
          </w:p>
        </w:tc>
        <w:tc>
          <w:tcPr>
            <w:tcW w:w="5899" w:type="dxa"/>
            <w:tcBorders>
              <w:top w:val="outset" w:sz="6" w:space="0" w:color="00000A"/>
              <w:left w:val="outset" w:sz="6" w:space="0" w:color="00000A"/>
              <w:bottom w:val="outset" w:sz="6" w:space="0" w:color="00000A"/>
              <w:right w:val="outset" w:sz="6" w:space="0" w:color="00000A"/>
            </w:tcBorders>
            <w:shd w:val="clear" w:color="auto" w:fill="F3F3F3"/>
          </w:tcPr>
          <w:p w14:paraId="5D3C99EF" w14:textId="77777777" w:rsidR="00C76B51" w:rsidRPr="00164696" w:rsidRDefault="00C76B51" w:rsidP="002E3132">
            <w:pPr>
              <w:spacing w:after="0" w:line="240" w:lineRule="auto"/>
              <w:jc w:val="both"/>
              <w:rPr>
                <w:rFonts w:ascii="Times New Roman" w:hAnsi="Times New Roman" w:cs="Times New Roman"/>
                <w:b/>
                <w:bCs/>
                <w:lang w:val="lt-LT"/>
              </w:rPr>
            </w:pPr>
            <w:r w:rsidRPr="00164696">
              <w:rPr>
                <w:rFonts w:ascii="Times New Roman" w:hAnsi="Times New Roman" w:cs="Times New Roman"/>
                <w:b/>
                <w:bCs/>
                <w:lang w:val="lt-LT"/>
              </w:rPr>
              <w:t>Pasiūlymo palyginamojo kaina (C)</w:t>
            </w:r>
          </w:p>
        </w:tc>
        <w:tc>
          <w:tcPr>
            <w:tcW w:w="22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78EA3DC9" w14:textId="1AD15E3C" w:rsidR="00C76B51" w:rsidRPr="00164696" w:rsidRDefault="00C76B51" w:rsidP="002E3132">
            <w:pPr>
              <w:spacing w:after="0" w:line="240" w:lineRule="auto"/>
              <w:ind w:firstLine="567"/>
              <w:jc w:val="both"/>
              <w:rPr>
                <w:rFonts w:ascii="Times New Roman" w:hAnsi="Times New Roman" w:cs="Times New Roman"/>
                <w:lang w:val="lt-LT"/>
              </w:rPr>
            </w:pPr>
            <w:r w:rsidRPr="00164696">
              <w:rPr>
                <w:rFonts w:ascii="Times New Roman" w:hAnsi="Times New Roman" w:cs="Times New Roman"/>
                <w:lang w:val="lt-LT"/>
              </w:rPr>
              <w:t>X=30</w:t>
            </w:r>
          </w:p>
        </w:tc>
      </w:tr>
      <w:tr w:rsidR="00C76B51" w:rsidRPr="00164696" w14:paraId="35D584EE" w14:textId="77777777" w:rsidTr="3089872A">
        <w:trPr>
          <w:trHeight w:val="451"/>
          <w:tblCellSpacing w:w="0" w:type="dxa"/>
          <w:jc w:val="center"/>
        </w:trPr>
        <w:tc>
          <w:tcPr>
            <w:tcW w:w="1348"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43B6B429" w14:textId="77777777" w:rsidR="00C76B51" w:rsidRPr="00164696" w:rsidRDefault="00C76B51" w:rsidP="002E3132">
            <w:pPr>
              <w:spacing w:after="0" w:line="240" w:lineRule="auto"/>
              <w:ind w:firstLine="567"/>
              <w:jc w:val="both"/>
              <w:rPr>
                <w:rFonts w:ascii="Times New Roman" w:hAnsi="Times New Roman" w:cs="Times New Roman"/>
                <w:lang w:val="lt-LT"/>
              </w:rPr>
            </w:pPr>
            <w:r w:rsidRPr="00164696">
              <w:rPr>
                <w:rFonts w:ascii="Times New Roman" w:hAnsi="Times New Roman" w:cs="Times New Roman"/>
                <w:lang w:val="lt-LT"/>
              </w:rPr>
              <w:t>2.</w:t>
            </w:r>
          </w:p>
        </w:tc>
        <w:tc>
          <w:tcPr>
            <w:tcW w:w="5899" w:type="dxa"/>
            <w:tcBorders>
              <w:top w:val="outset" w:sz="6" w:space="0" w:color="00000A"/>
              <w:left w:val="outset" w:sz="6" w:space="0" w:color="00000A"/>
              <w:bottom w:val="outset" w:sz="6" w:space="0" w:color="00000A"/>
              <w:right w:val="outset" w:sz="6" w:space="0" w:color="00000A"/>
            </w:tcBorders>
            <w:shd w:val="clear" w:color="auto" w:fill="F3F3F3"/>
          </w:tcPr>
          <w:p w14:paraId="22409510" w14:textId="63795FE3" w:rsidR="00C76B51" w:rsidRPr="00164696" w:rsidRDefault="00C76B51" w:rsidP="002E3132">
            <w:pPr>
              <w:spacing w:after="0" w:line="240" w:lineRule="auto"/>
              <w:jc w:val="both"/>
              <w:rPr>
                <w:rFonts w:ascii="Times New Roman" w:hAnsi="Times New Roman" w:cs="Times New Roman"/>
                <w:lang w:val="lt-LT"/>
              </w:rPr>
            </w:pPr>
            <w:r w:rsidRPr="00164696">
              <w:rPr>
                <w:rFonts w:ascii="Times New Roman" w:hAnsi="Times New Roman" w:cs="Times New Roman"/>
                <w:b/>
                <w:bCs/>
                <w:lang w:val="lt-LT"/>
              </w:rPr>
              <w:t>Kokybės kriterijus (T)</w:t>
            </w:r>
            <w:r w:rsidRPr="00164696">
              <w:rPr>
                <w:rFonts w:ascii="Times New Roman" w:hAnsi="Times New Roman" w:cs="Times New Roman"/>
                <w:lang w:val="lt-LT"/>
              </w:rPr>
              <w:t xml:space="preserve">: </w:t>
            </w:r>
            <w:r w:rsidR="407DEB4D" w:rsidRPr="00164696">
              <w:rPr>
                <w:rFonts w:ascii="Times New Roman" w:hAnsi="Times New Roman" w:cs="Times New Roman"/>
                <w:lang w:val="lt-LT"/>
              </w:rPr>
              <w:t>Vaidybinių vaizdo klipų</w:t>
            </w:r>
            <w:r w:rsidR="52870826" w:rsidRPr="00164696">
              <w:rPr>
                <w:rFonts w:ascii="Times New Roman" w:hAnsi="Times New Roman" w:cs="Times New Roman"/>
                <w:lang w:val="lt-LT"/>
              </w:rPr>
              <w:t xml:space="preserve"> </w:t>
            </w:r>
            <w:r w:rsidR="407DEB4D" w:rsidRPr="00164696">
              <w:rPr>
                <w:rFonts w:ascii="Times New Roman" w:hAnsi="Times New Roman" w:cs="Times New Roman"/>
                <w:lang w:val="lt-LT"/>
              </w:rPr>
              <w:t>scenarijai (scenarijų konceptai)</w:t>
            </w:r>
          </w:p>
          <w:p w14:paraId="532A54B9" w14:textId="56936212" w:rsidR="00591491" w:rsidRPr="00164696" w:rsidRDefault="00591491" w:rsidP="002E3132">
            <w:pPr>
              <w:spacing w:after="0" w:line="240" w:lineRule="auto"/>
              <w:jc w:val="both"/>
              <w:rPr>
                <w:rFonts w:ascii="Times New Roman" w:hAnsi="Times New Roman" w:cs="Times New Roman"/>
                <w:lang w:val="lt-LT"/>
              </w:rPr>
            </w:pPr>
            <w:r w:rsidRPr="00164696">
              <w:rPr>
                <w:rFonts w:ascii="Times New Roman" w:hAnsi="Times New Roman" w:cs="Times New Roman"/>
                <w:b/>
                <w:bCs/>
                <w:lang w:val="lt-LT"/>
              </w:rPr>
              <w:t>Vaizdo klipų idėjos originalumas ir komunikacinis aiškumas</w:t>
            </w:r>
          </w:p>
        </w:tc>
        <w:tc>
          <w:tcPr>
            <w:tcW w:w="22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1A011028" w14:textId="6DFE86CC" w:rsidR="00C76B51" w:rsidRPr="00164696" w:rsidRDefault="00C76B51" w:rsidP="002E3132">
            <w:pPr>
              <w:spacing w:after="0" w:line="240" w:lineRule="auto"/>
              <w:ind w:firstLine="567"/>
              <w:jc w:val="both"/>
              <w:rPr>
                <w:rFonts w:ascii="Times New Roman" w:hAnsi="Times New Roman" w:cs="Times New Roman"/>
                <w:lang w:val="lt-LT"/>
              </w:rPr>
            </w:pPr>
            <w:r w:rsidRPr="00164696">
              <w:rPr>
                <w:rFonts w:ascii="Times New Roman" w:hAnsi="Times New Roman" w:cs="Times New Roman"/>
                <w:lang w:val="lt-LT"/>
              </w:rPr>
              <w:t>Y=70</w:t>
            </w:r>
          </w:p>
        </w:tc>
      </w:tr>
    </w:tbl>
    <w:p w14:paraId="11804D6F" w14:textId="0220392A" w:rsidR="002D2249" w:rsidRPr="00164696" w:rsidRDefault="002D2249" w:rsidP="009A418D">
      <w:pPr>
        <w:spacing w:after="0" w:line="240" w:lineRule="auto"/>
        <w:ind w:firstLine="567"/>
        <w:jc w:val="both"/>
        <w:rPr>
          <w:rFonts w:ascii="Times New Roman" w:hAnsi="Times New Roman" w:cs="Times New Roman"/>
          <w:bCs/>
          <w:lang w:val="lt-LT"/>
        </w:rPr>
      </w:pPr>
    </w:p>
    <w:p w14:paraId="4C1CBDBE" w14:textId="1EC61309" w:rsidR="00AC72BC" w:rsidRPr="00164696" w:rsidRDefault="00AC72BC" w:rsidP="00036456">
      <w:pPr>
        <w:pStyle w:val="ListParagraph"/>
        <w:numPr>
          <w:ilvl w:val="0"/>
          <w:numId w:val="15"/>
        </w:numPr>
        <w:tabs>
          <w:tab w:val="left" w:pos="709"/>
          <w:tab w:val="left" w:pos="851"/>
        </w:tabs>
        <w:spacing w:after="0" w:line="240" w:lineRule="auto"/>
        <w:ind w:left="0" w:firstLine="567"/>
        <w:jc w:val="both"/>
        <w:rPr>
          <w:rFonts w:ascii="Times New Roman" w:hAnsi="Times New Roman" w:cs="Times New Roman"/>
          <w:lang w:val="lt-LT"/>
        </w:rPr>
      </w:pPr>
      <w:r w:rsidRPr="00164696">
        <w:rPr>
          <w:rFonts w:ascii="Times New Roman" w:hAnsi="Times New Roman" w:cs="Times New Roman"/>
          <w:lang w:val="lt-LT"/>
        </w:rPr>
        <w:t xml:space="preserve">Tiekėjas kartu su pasiūlymu turi pateikti </w:t>
      </w:r>
      <w:r w:rsidRPr="00164696">
        <w:rPr>
          <w:rFonts w:ascii="Times New Roman" w:hAnsi="Times New Roman" w:cs="Times New Roman"/>
          <w:b/>
          <w:lang w:val="lt-LT"/>
        </w:rPr>
        <w:t>2 (dviejų) vaidybinių vaizdo klipų</w:t>
      </w:r>
      <w:r w:rsidR="778B9C06" w:rsidRPr="00164696">
        <w:rPr>
          <w:rFonts w:ascii="Times New Roman" w:hAnsi="Times New Roman" w:cs="Times New Roman"/>
          <w:b/>
          <w:lang w:val="lt-LT"/>
        </w:rPr>
        <w:t xml:space="preserve"> </w:t>
      </w:r>
      <w:r w:rsidRPr="00164696">
        <w:rPr>
          <w:rFonts w:ascii="Times New Roman" w:hAnsi="Times New Roman" w:cs="Times New Roman"/>
          <w:b/>
          <w:lang w:val="lt-LT"/>
        </w:rPr>
        <w:t>scenarijus (scenarijų konceptus)</w:t>
      </w:r>
      <w:r w:rsidRPr="00164696">
        <w:rPr>
          <w:rFonts w:ascii="Times New Roman" w:hAnsi="Times New Roman" w:cs="Times New Roman"/>
          <w:lang w:val="lt-LT"/>
        </w:rPr>
        <w:t xml:space="preserve">. Kiekvienam scenarijui turi būti pateiktas aiškus, nuoseklus </w:t>
      </w:r>
      <w:r w:rsidRPr="00164696">
        <w:rPr>
          <w:rFonts w:ascii="Times New Roman" w:hAnsi="Times New Roman" w:cs="Times New Roman"/>
          <w:b/>
          <w:lang w:val="lt-LT"/>
        </w:rPr>
        <w:t>aprašymas</w:t>
      </w:r>
      <w:r w:rsidR="00F8597B" w:rsidRPr="00164696">
        <w:rPr>
          <w:rFonts w:ascii="Times New Roman" w:hAnsi="Times New Roman" w:cs="Times New Roman"/>
          <w:b/>
          <w:lang w:val="lt-LT"/>
        </w:rPr>
        <w:t xml:space="preserve"> apie vaizdo </w:t>
      </w:r>
      <w:r w:rsidR="002C2D48" w:rsidRPr="00164696">
        <w:rPr>
          <w:rFonts w:ascii="Times New Roman" w:hAnsi="Times New Roman" w:cs="Times New Roman"/>
          <w:b/>
          <w:lang w:val="lt-LT"/>
        </w:rPr>
        <w:t xml:space="preserve">klipo </w:t>
      </w:r>
      <w:r w:rsidR="005502FA" w:rsidRPr="00164696">
        <w:rPr>
          <w:rFonts w:ascii="Times New Roman" w:hAnsi="Times New Roman" w:cs="Times New Roman"/>
          <w:b/>
          <w:lang w:val="lt-LT"/>
        </w:rPr>
        <w:t>idėjos originalumą ir komunikacinį aiškumą</w:t>
      </w:r>
      <w:r w:rsidR="37116042" w:rsidRPr="00164696">
        <w:rPr>
          <w:rFonts w:ascii="Times New Roman" w:hAnsi="Times New Roman" w:cs="Times New Roman"/>
          <w:b/>
          <w:lang w:val="lt-LT"/>
        </w:rPr>
        <w:t xml:space="preserve"> (turi būti aprašyta pagrindinė kūrybinė idėja, jos išskirtinumas bei kaip ji perteikia pagrindinę komunikacinę žinutę be dviprasmybių)</w:t>
      </w:r>
      <w:r w:rsidRPr="00164696">
        <w:rPr>
          <w:rFonts w:ascii="Times New Roman" w:hAnsi="Times New Roman" w:cs="Times New Roman"/>
          <w:lang w:val="lt-LT"/>
        </w:rPr>
        <w:t>,</w:t>
      </w:r>
      <w:r w:rsidR="00965A6B" w:rsidRPr="00164696">
        <w:rPr>
          <w:rFonts w:ascii="Times New Roman" w:hAnsi="Times New Roman" w:cs="Times New Roman"/>
          <w:lang w:val="lt-LT"/>
        </w:rPr>
        <w:t xml:space="preserve"> </w:t>
      </w:r>
      <w:r w:rsidRPr="00164696">
        <w:rPr>
          <w:rFonts w:ascii="Times New Roman" w:hAnsi="Times New Roman" w:cs="Times New Roman"/>
          <w:lang w:val="lt-LT"/>
        </w:rPr>
        <w:t xml:space="preserve">kad būtų galima objektyviai įvertinti jo įgyvendinimą </w:t>
      </w:r>
      <w:r w:rsidRPr="00164696">
        <w:rPr>
          <w:rFonts w:ascii="Times New Roman" w:hAnsi="Times New Roman" w:cs="Times New Roman"/>
          <w:b/>
          <w:lang w:val="lt-LT"/>
        </w:rPr>
        <w:t>(</w:t>
      </w:r>
      <w:r w:rsidR="00BB4905" w:rsidRPr="00164696">
        <w:rPr>
          <w:rFonts w:ascii="Times New Roman" w:hAnsi="Times New Roman" w:cs="Times New Roman"/>
          <w:b/>
          <w:lang w:val="lt-LT"/>
        </w:rPr>
        <w:t>2 scenarijų</w:t>
      </w:r>
      <w:r w:rsidRPr="00164696">
        <w:rPr>
          <w:rFonts w:ascii="Times New Roman" w:hAnsi="Times New Roman" w:cs="Times New Roman"/>
          <w:b/>
          <w:lang w:val="lt-LT"/>
        </w:rPr>
        <w:t xml:space="preserve"> apimtis – iki 15 puslapių</w:t>
      </w:r>
      <w:r w:rsidR="007F2248" w:rsidRPr="00164696">
        <w:rPr>
          <w:rFonts w:ascii="Times New Roman" w:hAnsi="Times New Roman" w:cs="Times New Roman"/>
          <w:b/>
          <w:lang w:val="lt-LT"/>
        </w:rPr>
        <w:t xml:space="preserve"> (</w:t>
      </w:r>
      <w:r w:rsidR="0091557E" w:rsidRPr="00164696">
        <w:rPr>
          <w:rFonts w:ascii="Times New Roman" w:hAnsi="Times New Roman" w:cs="Times New Roman"/>
          <w:b/>
          <w:lang w:val="lt-LT"/>
        </w:rPr>
        <w:t xml:space="preserve">Siekiant užtikrinti vienodą reikalavimo taikymą visiems tiekėjams ir objektyvų pasiūlymų vertinimą keliami reikalavimai: </w:t>
      </w:r>
      <w:r w:rsidR="007F2248" w:rsidRPr="00164696">
        <w:rPr>
          <w:rFonts w:ascii="Times New Roman" w:hAnsi="Times New Roman" w:cs="Times New Roman"/>
          <w:b/>
          <w:lang w:val="lt-LT"/>
        </w:rPr>
        <w:t xml:space="preserve">lapo formatas – A4, </w:t>
      </w:r>
      <w:r w:rsidR="008E4E9F" w:rsidRPr="00164696">
        <w:rPr>
          <w:rFonts w:ascii="Times New Roman" w:hAnsi="Times New Roman" w:cs="Times New Roman"/>
          <w:b/>
          <w:lang w:val="lt-LT"/>
        </w:rPr>
        <w:t xml:space="preserve">teksto šriftas </w:t>
      </w:r>
      <w:proofErr w:type="spellStart"/>
      <w:r w:rsidR="00963F03" w:rsidRPr="00164696">
        <w:rPr>
          <w:rFonts w:ascii="Times New Roman" w:hAnsi="Times New Roman" w:cs="Times New Roman"/>
          <w:b/>
          <w:lang w:val="lt-LT"/>
        </w:rPr>
        <w:t>Times</w:t>
      </w:r>
      <w:proofErr w:type="spellEnd"/>
      <w:r w:rsidR="00963F03" w:rsidRPr="00164696">
        <w:rPr>
          <w:rFonts w:ascii="Times New Roman" w:hAnsi="Times New Roman" w:cs="Times New Roman"/>
          <w:b/>
          <w:lang w:val="lt-LT"/>
        </w:rPr>
        <w:t xml:space="preserve"> </w:t>
      </w:r>
      <w:proofErr w:type="spellStart"/>
      <w:r w:rsidR="00963F03" w:rsidRPr="00164696">
        <w:rPr>
          <w:rFonts w:ascii="Times New Roman" w:hAnsi="Times New Roman" w:cs="Times New Roman"/>
          <w:b/>
          <w:lang w:val="lt-LT"/>
        </w:rPr>
        <w:t>New</w:t>
      </w:r>
      <w:proofErr w:type="spellEnd"/>
      <w:r w:rsidR="00963F03" w:rsidRPr="00164696">
        <w:rPr>
          <w:rFonts w:ascii="Times New Roman" w:hAnsi="Times New Roman" w:cs="Times New Roman"/>
          <w:b/>
          <w:lang w:val="lt-LT"/>
        </w:rPr>
        <w:t xml:space="preserve"> Roman 12 </w:t>
      </w:r>
      <w:proofErr w:type="spellStart"/>
      <w:r w:rsidR="00963F03" w:rsidRPr="00164696">
        <w:rPr>
          <w:rFonts w:ascii="Times New Roman" w:hAnsi="Times New Roman" w:cs="Times New Roman"/>
          <w:b/>
          <w:lang w:val="lt-LT"/>
        </w:rPr>
        <w:t>pt</w:t>
      </w:r>
      <w:proofErr w:type="spellEnd"/>
      <w:r w:rsidR="00067F5A" w:rsidRPr="00164696">
        <w:rPr>
          <w:rFonts w:ascii="Times New Roman" w:hAnsi="Times New Roman" w:cs="Times New Roman"/>
          <w:b/>
          <w:lang w:val="lt-LT"/>
        </w:rPr>
        <w:t>;</w:t>
      </w:r>
      <w:r w:rsidR="003C5AEA" w:rsidRPr="00164696">
        <w:rPr>
          <w:rFonts w:ascii="Times New Roman" w:hAnsi="Times New Roman" w:cs="Times New Roman"/>
          <w:b/>
          <w:lang w:val="lt-LT"/>
        </w:rPr>
        <w:t xml:space="preserve"> </w:t>
      </w:r>
      <w:r w:rsidR="00EB049B" w:rsidRPr="00164696">
        <w:rPr>
          <w:rFonts w:ascii="Times New Roman" w:hAnsi="Times New Roman" w:cs="Times New Roman"/>
          <w:b/>
          <w:lang w:val="lt-LT"/>
        </w:rPr>
        <w:t>t</w:t>
      </w:r>
      <w:r w:rsidR="003C5AEA" w:rsidRPr="00164696">
        <w:rPr>
          <w:rFonts w:ascii="Times New Roman" w:hAnsi="Times New Roman" w:cs="Times New Roman"/>
          <w:b/>
          <w:lang w:val="lt-LT"/>
        </w:rPr>
        <w:t>eksto lygiavimas – pagal abu kraštus</w:t>
      </w:r>
      <w:r w:rsidR="00EB049B" w:rsidRPr="00164696">
        <w:rPr>
          <w:rFonts w:ascii="Times New Roman" w:hAnsi="Times New Roman" w:cs="Times New Roman"/>
          <w:b/>
          <w:lang w:val="lt-LT"/>
        </w:rPr>
        <w:t>;</w:t>
      </w:r>
      <w:r w:rsidR="003C5AEA" w:rsidRPr="00164696">
        <w:rPr>
          <w:rFonts w:ascii="Times New Roman" w:hAnsi="Times New Roman" w:cs="Times New Roman"/>
          <w:b/>
          <w:lang w:val="lt-LT"/>
        </w:rPr>
        <w:t xml:space="preserve"> </w:t>
      </w:r>
      <w:r w:rsidR="00067F5A" w:rsidRPr="00164696">
        <w:rPr>
          <w:rFonts w:ascii="Times New Roman" w:hAnsi="Times New Roman" w:cs="Times New Roman"/>
          <w:b/>
          <w:lang w:val="lt-LT"/>
        </w:rPr>
        <w:t>į 15 puslapių skaičių įtraukiami titulinis lapas, turinys, iliustracijos, schemos ir pan</w:t>
      </w:r>
      <w:r w:rsidR="00890DC0" w:rsidRPr="00164696">
        <w:rPr>
          <w:rFonts w:ascii="Times New Roman" w:hAnsi="Times New Roman" w:cs="Times New Roman"/>
          <w:b/>
          <w:lang w:val="lt-LT"/>
        </w:rPr>
        <w:t>., eilučių intervalas – viengubas</w:t>
      </w:r>
      <w:r w:rsidRPr="00164696">
        <w:rPr>
          <w:rFonts w:ascii="Times New Roman" w:hAnsi="Times New Roman" w:cs="Times New Roman"/>
          <w:b/>
          <w:lang w:val="lt-LT"/>
        </w:rPr>
        <w:t>)</w:t>
      </w:r>
      <w:r w:rsidR="002342C2" w:rsidRPr="00164696">
        <w:rPr>
          <w:rFonts w:ascii="Times New Roman" w:hAnsi="Times New Roman" w:cs="Times New Roman"/>
          <w:lang w:val="lt-LT"/>
        </w:rPr>
        <w:t>.</w:t>
      </w:r>
      <w:r w:rsidR="009C7000" w:rsidRPr="00164696">
        <w:rPr>
          <w:rFonts w:ascii="Times New Roman" w:hAnsi="Times New Roman" w:cs="Times New Roman"/>
          <w:lang w:val="lt-LT"/>
        </w:rPr>
        <w:t xml:space="preserve"> Jeigu bus pateiktas daugiau nei 15 puslapių aprašymas – vertinama bus tik 15 puslapių (perviršio dalis nebus vertinama).</w:t>
      </w:r>
    </w:p>
    <w:p w14:paraId="17216885" w14:textId="76D3D1F0" w:rsidR="001015F5" w:rsidRPr="00164696" w:rsidRDefault="006958AA" w:rsidP="00F03E47">
      <w:pPr>
        <w:pStyle w:val="ListParagraph"/>
        <w:numPr>
          <w:ilvl w:val="0"/>
          <w:numId w:val="15"/>
        </w:numPr>
        <w:tabs>
          <w:tab w:val="left" w:pos="851"/>
        </w:tabs>
        <w:spacing w:after="0" w:line="240" w:lineRule="auto"/>
        <w:ind w:left="0" w:firstLine="567"/>
        <w:jc w:val="both"/>
        <w:rPr>
          <w:rFonts w:ascii="Times New Roman" w:hAnsi="Times New Roman" w:cs="Times New Roman"/>
          <w:b/>
          <w:lang w:val="lt-LT"/>
        </w:rPr>
      </w:pPr>
      <w:r w:rsidRPr="00164696">
        <w:rPr>
          <w:rFonts w:ascii="Times New Roman" w:hAnsi="Times New Roman" w:cs="Times New Roman"/>
          <w:b/>
          <w:lang w:val="lt-LT"/>
        </w:rPr>
        <w:t>Ekspertai pateiktus scenarijus vertins vadovaudamiesi ši</w:t>
      </w:r>
      <w:r w:rsidR="007D39EA" w:rsidRPr="00164696">
        <w:rPr>
          <w:rFonts w:ascii="Times New Roman" w:hAnsi="Times New Roman" w:cs="Times New Roman"/>
          <w:b/>
          <w:lang w:val="lt-LT"/>
        </w:rPr>
        <w:t>omis taisyklėmis</w:t>
      </w:r>
      <w:r w:rsidR="0071207C" w:rsidRPr="00164696">
        <w:rPr>
          <w:rFonts w:ascii="Times New Roman" w:hAnsi="Times New Roman" w:cs="Times New Roman"/>
          <w:b/>
          <w:lang w:val="lt-LT"/>
        </w:rPr>
        <w:t xml:space="preserve"> </w:t>
      </w:r>
      <w:r w:rsidRPr="00164696">
        <w:rPr>
          <w:rFonts w:ascii="Times New Roman" w:hAnsi="Times New Roman" w:cs="Times New Roman"/>
          <w:b/>
          <w:lang w:val="lt-LT"/>
        </w:rPr>
        <w:t xml:space="preserve">pagal </w:t>
      </w:r>
      <w:r w:rsidR="000401E1" w:rsidRPr="00164696">
        <w:rPr>
          <w:rFonts w:ascii="Times New Roman" w:hAnsi="Times New Roman" w:cs="Times New Roman"/>
          <w:b/>
          <w:lang w:val="lt-LT"/>
        </w:rPr>
        <w:t>šios</w:t>
      </w:r>
      <w:r w:rsidR="00EC3DE6" w:rsidRPr="00164696">
        <w:rPr>
          <w:rFonts w:ascii="Times New Roman" w:hAnsi="Times New Roman" w:cs="Times New Roman"/>
          <w:b/>
          <w:lang w:val="lt-LT"/>
        </w:rPr>
        <w:t xml:space="preserve"> vertinimo</w:t>
      </w:r>
      <w:r w:rsidR="000401E1" w:rsidRPr="00164696">
        <w:rPr>
          <w:rFonts w:ascii="Times New Roman" w:hAnsi="Times New Roman" w:cs="Times New Roman"/>
          <w:b/>
          <w:lang w:val="lt-LT"/>
        </w:rPr>
        <w:t xml:space="preserve"> tvarkos</w:t>
      </w:r>
      <w:r w:rsidRPr="00164696">
        <w:rPr>
          <w:rFonts w:ascii="Times New Roman" w:hAnsi="Times New Roman" w:cs="Times New Roman"/>
          <w:b/>
          <w:lang w:val="lt-LT"/>
        </w:rPr>
        <w:t xml:space="preserve"> 2 lentelėje nustatytą balų skalę.</w:t>
      </w:r>
    </w:p>
    <w:p w14:paraId="4DB22F34" w14:textId="3729CE10" w:rsidR="005C3AB5" w:rsidRPr="00164696" w:rsidRDefault="009656BF" w:rsidP="00036456">
      <w:pPr>
        <w:pStyle w:val="ListParagraph"/>
        <w:tabs>
          <w:tab w:val="left" w:pos="851"/>
        </w:tabs>
        <w:spacing w:after="0" w:line="240" w:lineRule="auto"/>
        <w:ind w:left="0" w:firstLine="567"/>
        <w:jc w:val="both"/>
        <w:rPr>
          <w:rFonts w:ascii="Times New Roman" w:hAnsi="Times New Roman" w:cs="Times New Roman"/>
          <w:lang w:val="lt-LT"/>
        </w:rPr>
      </w:pPr>
      <w:r w:rsidRPr="00164696">
        <w:rPr>
          <w:rFonts w:ascii="Times New Roman" w:hAnsi="Times New Roman" w:cs="Times New Roman"/>
          <w:lang w:val="lt-LT"/>
        </w:rPr>
        <w:t xml:space="preserve">3.1. </w:t>
      </w:r>
      <w:r w:rsidR="001015F5" w:rsidRPr="00164696">
        <w:rPr>
          <w:rFonts w:ascii="Times New Roman" w:hAnsi="Times New Roman" w:cs="Times New Roman"/>
          <w:lang w:val="lt-LT"/>
        </w:rPr>
        <w:t>Perkančioji organizacija Vaidybinių vaizdo klipų</w:t>
      </w:r>
      <w:r w:rsidR="3AFC48B9" w:rsidRPr="00164696">
        <w:rPr>
          <w:rFonts w:ascii="Times New Roman" w:hAnsi="Times New Roman" w:cs="Times New Roman"/>
          <w:lang w:val="lt-LT"/>
        </w:rPr>
        <w:t xml:space="preserve"> </w:t>
      </w:r>
      <w:r w:rsidR="001015F5" w:rsidRPr="00164696">
        <w:rPr>
          <w:rFonts w:ascii="Times New Roman" w:hAnsi="Times New Roman" w:cs="Times New Roman"/>
          <w:lang w:val="lt-LT"/>
        </w:rPr>
        <w:t xml:space="preserve">scenarijui (scenarijų konceptų) </w:t>
      </w:r>
      <w:r w:rsidR="000467B6" w:rsidRPr="00164696">
        <w:rPr>
          <w:rFonts w:ascii="Times New Roman" w:hAnsi="Times New Roman" w:cs="Times New Roman"/>
          <w:lang w:val="lt-LT"/>
        </w:rPr>
        <w:t xml:space="preserve">(toliau – Scenarijai) </w:t>
      </w:r>
      <w:r w:rsidR="001015F5" w:rsidRPr="00164696">
        <w:rPr>
          <w:rFonts w:ascii="Times New Roman" w:hAnsi="Times New Roman" w:cs="Times New Roman"/>
          <w:lang w:val="lt-LT"/>
        </w:rPr>
        <w:t xml:space="preserve">įvertinimui skiria </w:t>
      </w:r>
      <w:r w:rsidR="53A4D11E" w:rsidRPr="00164696">
        <w:rPr>
          <w:rFonts w:ascii="Times New Roman" w:hAnsi="Times New Roman" w:cs="Times New Roman"/>
          <w:lang w:val="lt-LT"/>
        </w:rPr>
        <w:t xml:space="preserve">bent </w:t>
      </w:r>
      <w:r w:rsidR="26D18D01" w:rsidRPr="00164696">
        <w:rPr>
          <w:rFonts w:ascii="Times New Roman" w:hAnsi="Times New Roman" w:cs="Times New Roman"/>
          <w:lang w:val="lt-LT"/>
        </w:rPr>
        <w:t>5</w:t>
      </w:r>
      <w:r w:rsidR="001015F5" w:rsidRPr="00164696">
        <w:rPr>
          <w:rFonts w:ascii="Times New Roman" w:hAnsi="Times New Roman" w:cs="Times New Roman"/>
          <w:lang w:val="lt-LT"/>
        </w:rPr>
        <w:t xml:space="preserve"> ekspertus iš Perkančiosios organizacijos atstovų. </w:t>
      </w:r>
    </w:p>
    <w:p w14:paraId="27E25959" w14:textId="0D9416EB" w:rsidR="001015F5" w:rsidRPr="00164696" w:rsidRDefault="009656BF" w:rsidP="009656BF">
      <w:pPr>
        <w:pStyle w:val="ListParagraph"/>
        <w:tabs>
          <w:tab w:val="left" w:pos="851"/>
        </w:tabs>
        <w:spacing w:after="0" w:line="240" w:lineRule="auto"/>
        <w:ind w:left="0" w:firstLine="567"/>
        <w:jc w:val="both"/>
        <w:rPr>
          <w:rFonts w:ascii="Times New Roman" w:hAnsi="Times New Roman" w:cs="Times New Roman"/>
          <w:bCs/>
          <w:lang w:val="lt-LT"/>
        </w:rPr>
      </w:pPr>
      <w:r w:rsidRPr="00164696">
        <w:rPr>
          <w:rFonts w:ascii="Times New Roman" w:hAnsi="Times New Roman" w:cs="Times New Roman"/>
          <w:bCs/>
          <w:lang w:val="lt-LT"/>
        </w:rPr>
        <w:t xml:space="preserve">3.2. </w:t>
      </w:r>
      <w:r w:rsidR="001015F5" w:rsidRPr="00164696">
        <w:rPr>
          <w:rFonts w:ascii="Times New Roman" w:hAnsi="Times New Roman" w:cs="Times New Roman"/>
          <w:bCs/>
          <w:lang w:val="lt-LT"/>
        </w:rPr>
        <w:t>Kiekvienas ekspertas</w:t>
      </w:r>
      <w:r w:rsidR="00F20A05" w:rsidRPr="00164696">
        <w:rPr>
          <w:rFonts w:ascii="Times New Roman" w:hAnsi="Times New Roman" w:cs="Times New Roman"/>
          <w:bCs/>
          <w:lang w:val="lt-LT"/>
        </w:rPr>
        <w:t xml:space="preserve"> </w:t>
      </w:r>
      <w:r w:rsidR="17417006" w:rsidRPr="00164696">
        <w:rPr>
          <w:rFonts w:ascii="Times New Roman" w:hAnsi="Times New Roman" w:cs="Times New Roman"/>
          <w:lang w:val="lt-LT"/>
        </w:rPr>
        <w:t xml:space="preserve">kiekvieną </w:t>
      </w:r>
      <w:r w:rsidR="000467B6" w:rsidRPr="00164696">
        <w:rPr>
          <w:rFonts w:ascii="Times New Roman" w:hAnsi="Times New Roman" w:cs="Times New Roman"/>
          <w:lang w:val="lt-LT"/>
        </w:rPr>
        <w:t>Scenarij</w:t>
      </w:r>
      <w:r w:rsidR="009A6082" w:rsidRPr="00164696">
        <w:rPr>
          <w:rFonts w:ascii="Times New Roman" w:hAnsi="Times New Roman" w:cs="Times New Roman"/>
          <w:lang w:val="lt-LT"/>
        </w:rPr>
        <w:t>ų</w:t>
      </w:r>
      <w:r w:rsidR="00F20A05" w:rsidRPr="00164696">
        <w:rPr>
          <w:rFonts w:ascii="Times New Roman" w:hAnsi="Times New Roman" w:cs="Times New Roman"/>
          <w:bCs/>
          <w:lang w:val="lt-LT"/>
        </w:rPr>
        <w:t xml:space="preserve"> vertina</w:t>
      </w:r>
      <w:r w:rsidR="001015F5" w:rsidRPr="00164696">
        <w:rPr>
          <w:rFonts w:ascii="Times New Roman" w:hAnsi="Times New Roman" w:cs="Times New Roman"/>
          <w:bCs/>
          <w:lang w:val="lt-LT"/>
        </w:rPr>
        <w:t xml:space="preserve"> </w:t>
      </w:r>
      <w:r w:rsidR="00F20A05" w:rsidRPr="00164696">
        <w:rPr>
          <w:rFonts w:ascii="Times New Roman" w:hAnsi="Times New Roman" w:cs="Times New Roman"/>
          <w:bCs/>
          <w:lang w:val="lt-LT"/>
        </w:rPr>
        <w:t>individualiai</w:t>
      </w:r>
      <w:r w:rsidR="001015F5" w:rsidRPr="00164696">
        <w:rPr>
          <w:rFonts w:ascii="Times New Roman" w:hAnsi="Times New Roman" w:cs="Times New Roman"/>
          <w:bCs/>
          <w:lang w:val="lt-LT"/>
        </w:rPr>
        <w:t xml:space="preserve"> balais nuo 0 iki 3. </w:t>
      </w:r>
      <w:r w:rsidR="2263DDA4" w:rsidRPr="00164696">
        <w:rPr>
          <w:rFonts w:ascii="Times New Roman" w:hAnsi="Times New Roman" w:cs="Times New Roman"/>
          <w:lang w:val="lt-LT"/>
        </w:rPr>
        <w:t>(Pvz.: Ekspertas</w:t>
      </w:r>
      <w:r w:rsidR="00E8459A" w:rsidRPr="00164696">
        <w:rPr>
          <w:rFonts w:ascii="Times New Roman" w:hAnsi="Times New Roman" w:cs="Times New Roman"/>
          <w:lang w:val="lt-LT"/>
        </w:rPr>
        <w:t xml:space="preserve"> Nr. 1</w:t>
      </w:r>
      <w:r w:rsidR="2263DDA4" w:rsidRPr="00164696">
        <w:rPr>
          <w:rFonts w:ascii="Times New Roman" w:hAnsi="Times New Roman" w:cs="Times New Roman"/>
          <w:lang w:val="lt-LT"/>
        </w:rPr>
        <w:t xml:space="preserve"> tiekėjo W </w:t>
      </w:r>
      <w:r w:rsidR="7F52A394" w:rsidRPr="00164696">
        <w:rPr>
          <w:rFonts w:ascii="Times New Roman" w:hAnsi="Times New Roman" w:cs="Times New Roman"/>
          <w:lang w:val="lt-LT"/>
        </w:rPr>
        <w:t xml:space="preserve">vieną </w:t>
      </w:r>
      <w:r w:rsidR="2263DDA4" w:rsidRPr="00164696">
        <w:rPr>
          <w:rFonts w:ascii="Times New Roman" w:hAnsi="Times New Roman" w:cs="Times New Roman"/>
          <w:lang w:val="lt-LT"/>
        </w:rPr>
        <w:t xml:space="preserve">scenarijų įvertina </w:t>
      </w:r>
      <w:r w:rsidR="12601520" w:rsidRPr="00164696">
        <w:rPr>
          <w:rFonts w:ascii="Times New Roman" w:hAnsi="Times New Roman" w:cs="Times New Roman"/>
          <w:lang w:val="lt-LT"/>
        </w:rPr>
        <w:t xml:space="preserve">3 balais, o antrą scenarijų įvertina 1 balu). Tada išvedamas to eksperto vertintų abiejų </w:t>
      </w:r>
      <w:r w:rsidR="008E0143" w:rsidRPr="00164696">
        <w:rPr>
          <w:rFonts w:ascii="Times New Roman" w:hAnsi="Times New Roman" w:cs="Times New Roman"/>
          <w:lang w:val="lt-LT"/>
        </w:rPr>
        <w:t>S</w:t>
      </w:r>
      <w:r w:rsidR="68E950AE" w:rsidRPr="00164696">
        <w:rPr>
          <w:rFonts w:ascii="Times New Roman" w:hAnsi="Times New Roman" w:cs="Times New Roman"/>
          <w:lang w:val="lt-LT"/>
        </w:rPr>
        <w:t xml:space="preserve">cenarijų </w:t>
      </w:r>
      <w:r w:rsidR="00AF59F8" w:rsidRPr="00164696">
        <w:rPr>
          <w:rFonts w:ascii="Times New Roman" w:hAnsi="Times New Roman" w:cs="Times New Roman"/>
          <w:lang w:val="lt-LT"/>
        </w:rPr>
        <w:t xml:space="preserve">aritmetinis </w:t>
      </w:r>
      <w:r w:rsidR="68E950AE" w:rsidRPr="00164696">
        <w:rPr>
          <w:rFonts w:ascii="Times New Roman" w:hAnsi="Times New Roman" w:cs="Times New Roman"/>
          <w:lang w:val="lt-LT"/>
        </w:rPr>
        <w:t xml:space="preserve">vidurkis (minėtu pavyzdžiu </w:t>
      </w:r>
      <w:r w:rsidR="00D058FD" w:rsidRPr="00164696">
        <w:rPr>
          <w:rFonts w:ascii="Times New Roman" w:hAnsi="Times New Roman" w:cs="Times New Roman"/>
          <w:lang w:val="lt-LT"/>
        </w:rPr>
        <w:t>(</w:t>
      </w:r>
      <w:r w:rsidR="68E950AE" w:rsidRPr="00164696">
        <w:rPr>
          <w:rFonts w:ascii="Times New Roman" w:hAnsi="Times New Roman" w:cs="Times New Roman"/>
          <w:lang w:val="lt-LT"/>
        </w:rPr>
        <w:t>3</w:t>
      </w:r>
      <w:r w:rsidR="31266748" w:rsidRPr="00164696">
        <w:rPr>
          <w:rFonts w:ascii="Times New Roman" w:hAnsi="Times New Roman" w:cs="Times New Roman"/>
          <w:lang w:val="lt-LT"/>
        </w:rPr>
        <w:t>+1</w:t>
      </w:r>
      <w:r w:rsidR="00D058FD" w:rsidRPr="00164696">
        <w:rPr>
          <w:rFonts w:ascii="Times New Roman" w:hAnsi="Times New Roman" w:cs="Times New Roman"/>
          <w:lang w:val="lt-LT"/>
        </w:rPr>
        <w:t>):2</w:t>
      </w:r>
      <w:r w:rsidR="008E0143" w:rsidRPr="00164696">
        <w:rPr>
          <w:rFonts w:ascii="Times New Roman" w:hAnsi="Times New Roman" w:cs="Times New Roman"/>
          <w:lang w:val="lt-LT"/>
        </w:rPr>
        <w:t>=</w:t>
      </w:r>
      <w:r w:rsidR="00D058FD" w:rsidRPr="00164696">
        <w:rPr>
          <w:rFonts w:ascii="Times New Roman" w:hAnsi="Times New Roman" w:cs="Times New Roman"/>
          <w:lang w:val="lt-LT"/>
        </w:rPr>
        <w:t xml:space="preserve">2 </w:t>
      </w:r>
      <w:r w:rsidR="00016C94" w:rsidRPr="00164696">
        <w:rPr>
          <w:rFonts w:ascii="Times New Roman" w:hAnsi="Times New Roman" w:cs="Times New Roman"/>
          <w:lang w:val="lt-LT"/>
        </w:rPr>
        <w:t>balai</w:t>
      </w:r>
      <w:r w:rsidR="003A3FDE" w:rsidRPr="00164696">
        <w:rPr>
          <w:rFonts w:ascii="Times New Roman" w:hAnsi="Times New Roman" w:cs="Times New Roman"/>
          <w:lang w:val="lt-LT"/>
        </w:rPr>
        <w:t>).</w:t>
      </w:r>
      <w:r w:rsidR="00016C94" w:rsidRPr="00164696">
        <w:rPr>
          <w:rFonts w:ascii="Times New Roman" w:hAnsi="Times New Roman" w:cs="Times New Roman"/>
          <w:lang w:val="lt-LT"/>
        </w:rPr>
        <w:t xml:space="preserve"> </w:t>
      </w:r>
      <w:r w:rsidR="00F20A05" w:rsidRPr="00164696">
        <w:rPr>
          <w:rFonts w:ascii="Times New Roman" w:hAnsi="Times New Roman" w:cs="Times New Roman"/>
          <w:lang w:val="lt-LT"/>
        </w:rPr>
        <w:t>G</w:t>
      </w:r>
      <w:r w:rsidR="001015F5" w:rsidRPr="00164696">
        <w:rPr>
          <w:rFonts w:ascii="Times New Roman" w:hAnsi="Times New Roman" w:cs="Times New Roman"/>
          <w:lang w:val="lt-LT"/>
        </w:rPr>
        <w:t>alutinis</w:t>
      </w:r>
      <w:r w:rsidR="001015F5" w:rsidRPr="00164696">
        <w:rPr>
          <w:rFonts w:ascii="Times New Roman" w:hAnsi="Times New Roman" w:cs="Times New Roman"/>
          <w:bCs/>
          <w:lang w:val="lt-LT"/>
        </w:rPr>
        <w:t xml:space="preserve"> balas nustatomas kaip visų Perkančiosios organizacijos </w:t>
      </w:r>
      <w:r w:rsidR="00F20A05" w:rsidRPr="00164696">
        <w:rPr>
          <w:rFonts w:ascii="Times New Roman" w:hAnsi="Times New Roman" w:cs="Times New Roman"/>
          <w:bCs/>
          <w:lang w:val="lt-LT"/>
        </w:rPr>
        <w:t>ekspertų</w:t>
      </w:r>
      <w:r w:rsidR="001015F5" w:rsidRPr="00164696">
        <w:rPr>
          <w:rFonts w:ascii="Times New Roman" w:hAnsi="Times New Roman" w:cs="Times New Roman"/>
          <w:bCs/>
          <w:lang w:val="lt-LT"/>
        </w:rPr>
        <w:t xml:space="preserve"> individualiai suteiktų balų aritmetinis vidurkis</w:t>
      </w:r>
      <w:r w:rsidR="00D02140" w:rsidRPr="00164696">
        <w:rPr>
          <w:rFonts w:ascii="Times New Roman" w:hAnsi="Times New Roman" w:cs="Times New Roman"/>
          <w:bCs/>
          <w:lang w:val="lt-LT"/>
        </w:rPr>
        <w:t>, suapvalintas iki dviejų skaičių po kablelio.</w:t>
      </w:r>
      <w:r w:rsidR="00046133" w:rsidRPr="00164696">
        <w:rPr>
          <w:rFonts w:ascii="Times New Roman" w:hAnsi="Times New Roman" w:cs="Times New Roman"/>
          <w:bCs/>
          <w:lang w:val="lt-LT"/>
        </w:rPr>
        <w:t xml:space="preserve"> </w:t>
      </w:r>
    </w:p>
    <w:p w14:paraId="0CD84EB2" w14:textId="77777777" w:rsidR="0026437D" w:rsidRPr="00164696" w:rsidRDefault="0026437D" w:rsidP="00036456">
      <w:pPr>
        <w:pStyle w:val="ListParagraph"/>
        <w:tabs>
          <w:tab w:val="left" w:pos="993"/>
        </w:tabs>
        <w:spacing w:after="0" w:line="240" w:lineRule="auto"/>
        <w:ind w:left="567"/>
        <w:jc w:val="both"/>
        <w:rPr>
          <w:rFonts w:ascii="Times New Roman" w:hAnsi="Times New Roman" w:cs="Times New Roman"/>
          <w:i/>
          <w:iCs/>
          <w:lang w:val="lt-LT"/>
        </w:rPr>
      </w:pPr>
      <w:r w:rsidRPr="00164696">
        <w:rPr>
          <w:rFonts w:ascii="Times New Roman" w:hAnsi="Times New Roman" w:cs="Times New Roman"/>
          <w:i/>
          <w:iCs/>
          <w:lang w:val="lt-LT"/>
        </w:rPr>
        <w:t>Vertinimo pavyzdys (pvz. dalyvauja du tiekėjai pirkime: tiekėjas W ir tiekėjas V):</w:t>
      </w:r>
    </w:p>
    <w:p w14:paraId="614FC606" w14:textId="77777777" w:rsidR="0026437D" w:rsidRPr="00164696" w:rsidRDefault="0026437D" w:rsidP="0026437D">
      <w:pPr>
        <w:pStyle w:val="ListParagraph"/>
        <w:tabs>
          <w:tab w:val="left" w:pos="993"/>
        </w:tabs>
        <w:spacing w:after="0" w:line="240" w:lineRule="auto"/>
        <w:ind w:left="567"/>
        <w:jc w:val="both"/>
        <w:rPr>
          <w:rFonts w:ascii="Times New Roman" w:hAnsi="Times New Roman" w:cs="Times New Roman"/>
          <w:i/>
          <w:iCs/>
          <w:lang w:val="lt-LT"/>
        </w:rPr>
      </w:pPr>
      <w:r w:rsidRPr="00164696">
        <w:rPr>
          <w:rFonts w:ascii="Times New Roman" w:hAnsi="Times New Roman" w:cs="Times New Roman"/>
          <w:i/>
          <w:iCs/>
          <w:lang w:val="lt-LT"/>
        </w:rPr>
        <w:t>Tiekėjas W:</w:t>
      </w:r>
    </w:p>
    <w:p w14:paraId="4C6CB955" w14:textId="532ACECE" w:rsidR="0026437D" w:rsidRPr="00164696" w:rsidRDefault="0026437D" w:rsidP="0026437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 Ekspertas </w:t>
      </w:r>
      <w:r w:rsidR="004707AA" w:rsidRPr="00164696">
        <w:rPr>
          <w:rFonts w:ascii="Times New Roman" w:hAnsi="Times New Roman" w:cs="Times New Roman"/>
          <w:i/>
          <w:iCs/>
          <w:lang w:val="lt-LT"/>
        </w:rPr>
        <w:t xml:space="preserve"> Nr. </w:t>
      </w:r>
      <w:r w:rsidRPr="00164696">
        <w:rPr>
          <w:rFonts w:ascii="Times New Roman" w:hAnsi="Times New Roman" w:cs="Times New Roman"/>
          <w:i/>
          <w:iCs/>
          <w:lang w:val="lt-LT"/>
        </w:rPr>
        <w:t>1, skiria balus tiekėjui W - už 1 Scenarijų 3</w:t>
      </w:r>
      <w:r w:rsidR="00C3548D" w:rsidRPr="00164696">
        <w:rPr>
          <w:rFonts w:ascii="Times New Roman" w:hAnsi="Times New Roman" w:cs="Times New Roman"/>
          <w:i/>
          <w:iCs/>
          <w:lang w:val="lt-LT"/>
        </w:rPr>
        <w:t xml:space="preserve"> balus</w:t>
      </w:r>
      <w:r w:rsidRPr="00164696">
        <w:rPr>
          <w:rFonts w:ascii="Times New Roman" w:hAnsi="Times New Roman" w:cs="Times New Roman"/>
          <w:i/>
          <w:iCs/>
          <w:lang w:val="lt-LT"/>
        </w:rPr>
        <w:t>, už antrą Scenarijų 1</w:t>
      </w:r>
      <w:r w:rsidR="00C3548D" w:rsidRPr="00164696">
        <w:rPr>
          <w:rFonts w:ascii="Times New Roman" w:hAnsi="Times New Roman" w:cs="Times New Roman"/>
          <w:i/>
          <w:iCs/>
          <w:lang w:val="lt-LT"/>
        </w:rPr>
        <w:t xml:space="preserve"> balą</w:t>
      </w:r>
      <w:r w:rsidRPr="00164696">
        <w:rPr>
          <w:rFonts w:ascii="Times New Roman" w:hAnsi="Times New Roman" w:cs="Times New Roman"/>
          <w:i/>
          <w:iCs/>
          <w:lang w:val="lt-LT"/>
        </w:rPr>
        <w:t>. Vidurkis</w:t>
      </w:r>
      <w:r w:rsidR="00615AD4" w:rsidRPr="00164696">
        <w:rPr>
          <w:rFonts w:ascii="Times New Roman" w:hAnsi="Times New Roman" w:cs="Times New Roman"/>
          <w:i/>
          <w:iCs/>
          <w:lang w:val="lt-LT"/>
        </w:rPr>
        <w:t xml:space="preserve"> 2</w:t>
      </w:r>
      <w:r w:rsidR="00255FD7" w:rsidRPr="00164696">
        <w:rPr>
          <w:rFonts w:ascii="Times New Roman" w:hAnsi="Times New Roman" w:cs="Times New Roman"/>
          <w:i/>
          <w:iCs/>
          <w:lang w:val="lt-LT"/>
        </w:rPr>
        <w:t xml:space="preserve"> balai</w:t>
      </w:r>
      <w:r w:rsidR="00615AD4" w:rsidRPr="00164696">
        <w:rPr>
          <w:rFonts w:ascii="Times New Roman" w:hAnsi="Times New Roman" w:cs="Times New Roman"/>
          <w:i/>
          <w:iCs/>
          <w:lang w:val="lt-LT"/>
        </w:rPr>
        <w:t>.</w:t>
      </w:r>
    </w:p>
    <w:p w14:paraId="020ED3F7" w14:textId="2E2141BB" w:rsidR="0026437D" w:rsidRPr="00164696" w:rsidRDefault="0026437D" w:rsidP="0026437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 Ekspertas 2, skiria balus tiekėjui W</w:t>
      </w:r>
      <w:r w:rsidR="00C3548D" w:rsidRPr="00164696">
        <w:rPr>
          <w:rFonts w:ascii="Times New Roman" w:hAnsi="Times New Roman" w:cs="Times New Roman"/>
          <w:i/>
          <w:iCs/>
          <w:lang w:val="lt-LT"/>
        </w:rPr>
        <w:t xml:space="preserve"> </w:t>
      </w:r>
      <w:r w:rsidRPr="00164696">
        <w:rPr>
          <w:rFonts w:ascii="Times New Roman" w:hAnsi="Times New Roman" w:cs="Times New Roman"/>
          <w:i/>
          <w:iCs/>
          <w:lang w:val="lt-LT"/>
        </w:rPr>
        <w:t xml:space="preserve">- </w:t>
      </w:r>
      <w:r w:rsidR="00615AD4" w:rsidRPr="00164696">
        <w:rPr>
          <w:rFonts w:ascii="Times New Roman" w:hAnsi="Times New Roman" w:cs="Times New Roman"/>
          <w:i/>
          <w:iCs/>
          <w:lang w:val="lt-LT"/>
        </w:rPr>
        <w:t>už 1 Scenarijų 3</w:t>
      </w:r>
      <w:r w:rsidR="00C3548D" w:rsidRPr="00164696">
        <w:rPr>
          <w:rFonts w:ascii="Times New Roman" w:hAnsi="Times New Roman" w:cs="Times New Roman"/>
          <w:i/>
          <w:iCs/>
          <w:lang w:val="lt-LT"/>
        </w:rPr>
        <w:t xml:space="preserve"> balus</w:t>
      </w:r>
      <w:r w:rsidR="00615AD4" w:rsidRPr="00164696">
        <w:rPr>
          <w:rFonts w:ascii="Times New Roman" w:hAnsi="Times New Roman" w:cs="Times New Roman"/>
          <w:i/>
          <w:iCs/>
          <w:lang w:val="lt-LT"/>
        </w:rPr>
        <w:t>, už antrą Scenarijų 1</w:t>
      </w:r>
      <w:r w:rsidR="00C3548D" w:rsidRPr="00164696">
        <w:rPr>
          <w:rFonts w:ascii="Times New Roman" w:hAnsi="Times New Roman" w:cs="Times New Roman"/>
          <w:i/>
          <w:iCs/>
          <w:lang w:val="lt-LT"/>
        </w:rPr>
        <w:t xml:space="preserve"> balą</w:t>
      </w:r>
      <w:r w:rsidR="00615AD4" w:rsidRPr="00164696">
        <w:rPr>
          <w:rFonts w:ascii="Times New Roman" w:hAnsi="Times New Roman" w:cs="Times New Roman"/>
          <w:i/>
          <w:iCs/>
          <w:lang w:val="lt-LT"/>
        </w:rPr>
        <w:t xml:space="preserve">. Vidurkis </w:t>
      </w:r>
      <w:r w:rsidR="000A563C" w:rsidRPr="00164696">
        <w:rPr>
          <w:rFonts w:ascii="Times New Roman" w:hAnsi="Times New Roman" w:cs="Times New Roman"/>
          <w:i/>
          <w:iCs/>
          <w:lang w:val="lt-LT"/>
        </w:rPr>
        <w:t>2</w:t>
      </w:r>
      <w:r w:rsidR="00255FD7" w:rsidRPr="00164696">
        <w:rPr>
          <w:rFonts w:ascii="Times New Roman" w:hAnsi="Times New Roman" w:cs="Times New Roman"/>
          <w:i/>
          <w:iCs/>
          <w:lang w:val="lt-LT"/>
        </w:rPr>
        <w:t xml:space="preserve"> balai</w:t>
      </w:r>
      <w:r w:rsidR="000A563C" w:rsidRPr="00164696">
        <w:rPr>
          <w:rFonts w:ascii="Times New Roman" w:hAnsi="Times New Roman" w:cs="Times New Roman"/>
          <w:i/>
          <w:iCs/>
          <w:lang w:val="lt-LT"/>
        </w:rPr>
        <w:t>.</w:t>
      </w:r>
    </w:p>
    <w:p w14:paraId="0DE6554B" w14:textId="4BE7E453" w:rsidR="0026437D" w:rsidRPr="00164696" w:rsidRDefault="0026437D" w:rsidP="0026437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Ekspertas 3, skiria balus tiekėjui W - </w:t>
      </w:r>
      <w:r w:rsidR="000A563C" w:rsidRPr="00164696">
        <w:rPr>
          <w:rFonts w:ascii="Times New Roman" w:hAnsi="Times New Roman" w:cs="Times New Roman"/>
          <w:i/>
          <w:iCs/>
          <w:lang w:val="lt-LT"/>
        </w:rPr>
        <w:t>už 1 Scenarijų 3</w:t>
      </w:r>
      <w:r w:rsidR="00C3548D" w:rsidRPr="00164696">
        <w:rPr>
          <w:rFonts w:ascii="Times New Roman" w:hAnsi="Times New Roman" w:cs="Times New Roman"/>
          <w:i/>
          <w:iCs/>
          <w:lang w:val="lt-LT"/>
        </w:rPr>
        <w:t xml:space="preserve"> balus</w:t>
      </w:r>
      <w:r w:rsidR="000A563C" w:rsidRPr="00164696">
        <w:rPr>
          <w:rFonts w:ascii="Times New Roman" w:hAnsi="Times New Roman" w:cs="Times New Roman"/>
          <w:i/>
          <w:iCs/>
          <w:lang w:val="lt-LT"/>
        </w:rPr>
        <w:t xml:space="preserve">, už antrą Scenarijų </w:t>
      </w:r>
      <w:r w:rsidR="00E11A6E" w:rsidRPr="00164696">
        <w:rPr>
          <w:rFonts w:ascii="Times New Roman" w:hAnsi="Times New Roman" w:cs="Times New Roman"/>
          <w:i/>
          <w:iCs/>
          <w:lang w:val="lt-LT"/>
        </w:rPr>
        <w:t>2</w:t>
      </w:r>
      <w:r w:rsidR="00C3548D" w:rsidRPr="00164696">
        <w:rPr>
          <w:rFonts w:ascii="Times New Roman" w:hAnsi="Times New Roman" w:cs="Times New Roman"/>
          <w:i/>
          <w:iCs/>
          <w:lang w:val="lt-LT"/>
        </w:rPr>
        <w:t xml:space="preserve"> balus</w:t>
      </w:r>
      <w:r w:rsidR="000A563C" w:rsidRPr="00164696">
        <w:rPr>
          <w:rFonts w:ascii="Times New Roman" w:hAnsi="Times New Roman" w:cs="Times New Roman"/>
          <w:i/>
          <w:iCs/>
          <w:lang w:val="lt-LT"/>
        </w:rPr>
        <w:t>.</w:t>
      </w:r>
      <w:r w:rsidR="00E11A6E" w:rsidRPr="00164696">
        <w:rPr>
          <w:rFonts w:ascii="Times New Roman" w:hAnsi="Times New Roman" w:cs="Times New Roman"/>
          <w:i/>
          <w:iCs/>
          <w:lang w:val="lt-LT"/>
        </w:rPr>
        <w:t xml:space="preserve"> Vidurkis </w:t>
      </w:r>
      <w:r w:rsidR="00C3548D" w:rsidRPr="00164696">
        <w:rPr>
          <w:rFonts w:ascii="Times New Roman" w:hAnsi="Times New Roman" w:cs="Times New Roman"/>
          <w:i/>
          <w:iCs/>
          <w:lang w:val="lt-LT"/>
        </w:rPr>
        <w:t>2,50</w:t>
      </w:r>
      <w:r w:rsidR="00255FD7" w:rsidRPr="00164696">
        <w:rPr>
          <w:rFonts w:ascii="Times New Roman" w:hAnsi="Times New Roman" w:cs="Times New Roman"/>
          <w:i/>
          <w:iCs/>
          <w:lang w:val="lt-LT"/>
        </w:rPr>
        <w:t xml:space="preserve"> bal</w:t>
      </w:r>
      <w:r w:rsidR="00853F6B" w:rsidRPr="00164696">
        <w:rPr>
          <w:rFonts w:ascii="Times New Roman" w:hAnsi="Times New Roman" w:cs="Times New Roman"/>
          <w:i/>
          <w:iCs/>
          <w:lang w:val="lt-LT"/>
        </w:rPr>
        <w:t>o</w:t>
      </w:r>
      <w:r w:rsidR="00C3548D" w:rsidRPr="00164696">
        <w:rPr>
          <w:rFonts w:ascii="Times New Roman" w:hAnsi="Times New Roman" w:cs="Times New Roman"/>
          <w:i/>
          <w:iCs/>
          <w:lang w:val="lt-LT"/>
        </w:rPr>
        <w:t>.</w:t>
      </w:r>
    </w:p>
    <w:p w14:paraId="5862D851" w14:textId="093EDEBF" w:rsidR="0026437D" w:rsidRPr="00164696" w:rsidRDefault="0026437D" w:rsidP="0026437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Ekspertas 4, skiria balus tiekėjui W </w:t>
      </w:r>
      <w:r w:rsidR="00C3548D" w:rsidRPr="00164696">
        <w:rPr>
          <w:rFonts w:ascii="Times New Roman" w:hAnsi="Times New Roman" w:cs="Times New Roman"/>
          <w:i/>
          <w:iCs/>
          <w:lang w:val="lt-LT"/>
        </w:rPr>
        <w:t>- už 1 Scenarijų 3</w:t>
      </w:r>
      <w:r w:rsidR="004707AA" w:rsidRPr="00164696">
        <w:rPr>
          <w:rFonts w:ascii="Times New Roman" w:hAnsi="Times New Roman" w:cs="Times New Roman"/>
          <w:i/>
          <w:iCs/>
          <w:lang w:val="lt-LT"/>
        </w:rPr>
        <w:t xml:space="preserve"> balus</w:t>
      </w:r>
      <w:r w:rsidR="00C3548D" w:rsidRPr="00164696">
        <w:rPr>
          <w:rFonts w:ascii="Times New Roman" w:hAnsi="Times New Roman" w:cs="Times New Roman"/>
          <w:i/>
          <w:iCs/>
          <w:lang w:val="lt-LT"/>
        </w:rPr>
        <w:t>, už antrą Scenarijų 2</w:t>
      </w:r>
      <w:r w:rsidR="004707AA" w:rsidRPr="00164696">
        <w:rPr>
          <w:rFonts w:ascii="Times New Roman" w:hAnsi="Times New Roman" w:cs="Times New Roman"/>
          <w:i/>
          <w:iCs/>
          <w:lang w:val="lt-LT"/>
        </w:rPr>
        <w:t xml:space="preserve"> balus</w:t>
      </w:r>
      <w:r w:rsidR="00C3548D" w:rsidRPr="00164696">
        <w:rPr>
          <w:rFonts w:ascii="Times New Roman" w:hAnsi="Times New Roman" w:cs="Times New Roman"/>
          <w:i/>
          <w:iCs/>
          <w:lang w:val="lt-LT"/>
        </w:rPr>
        <w:t>.</w:t>
      </w:r>
      <w:r w:rsidR="004707AA" w:rsidRPr="00164696">
        <w:rPr>
          <w:rFonts w:ascii="Times New Roman" w:hAnsi="Times New Roman" w:cs="Times New Roman"/>
          <w:i/>
          <w:iCs/>
          <w:lang w:val="lt-LT"/>
        </w:rPr>
        <w:t xml:space="preserve"> Vidurkis 2,50</w:t>
      </w:r>
      <w:r w:rsidR="00255FD7" w:rsidRPr="00164696">
        <w:rPr>
          <w:rFonts w:ascii="Times New Roman" w:hAnsi="Times New Roman" w:cs="Times New Roman"/>
          <w:i/>
          <w:iCs/>
          <w:lang w:val="lt-LT"/>
        </w:rPr>
        <w:t xml:space="preserve"> balo</w:t>
      </w:r>
      <w:r w:rsidR="004707AA" w:rsidRPr="00164696">
        <w:rPr>
          <w:rFonts w:ascii="Times New Roman" w:hAnsi="Times New Roman" w:cs="Times New Roman"/>
          <w:i/>
          <w:iCs/>
          <w:lang w:val="lt-LT"/>
        </w:rPr>
        <w:t>.</w:t>
      </w:r>
    </w:p>
    <w:p w14:paraId="63118380" w14:textId="5EADF545" w:rsidR="0026437D" w:rsidRPr="00164696" w:rsidRDefault="0026437D" w:rsidP="00F10C5C">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lastRenderedPageBreak/>
        <w:t xml:space="preserve">Ekspertas 5, skiria balus tiekėjui W - </w:t>
      </w:r>
      <w:r w:rsidR="00C202A4" w:rsidRPr="00164696">
        <w:rPr>
          <w:rFonts w:ascii="Times New Roman" w:hAnsi="Times New Roman" w:cs="Times New Roman"/>
          <w:i/>
          <w:iCs/>
          <w:lang w:val="lt-LT"/>
        </w:rPr>
        <w:t xml:space="preserve">už 1 Scenarijų </w:t>
      </w:r>
      <w:r w:rsidR="007332EE" w:rsidRPr="00164696">
        <w:rPr>
          <w:rFonts w:ascii="Times New Roman" w:hAnsi="Times New Roman" w:cs="Times New Roman"/>
          <w:i/>
          <w:iCs/>
          <w:lang w:val="lt-LT"/>
        </w:rPr>
        <w:t>2</w:t>
      </w:r>
      <w:r w:rsidR="00C202A4" w:rsidRPr="00164696">
        <w:rPr>
          <w:rFonts w:ascii="Times New Roman" w:hAnsi="Times New Roman" w:cs="Times New Roman"/>
          <w:i/>
          <w:iCs/>
          <w:lang w:val="lt-LT"/>
        </w:rPr>
        <w:t xml:space="preserve"> balus, už antrą Scenarijų </w:t>
      </w:r>
      <w:r w:rsidR="007332EE" w:rsidRPr="00164696">
        <w:rPr>
          <w:rFonts w:ascii="Times New Roman" w:hAnsi="Times New Roman" w:cs="Times New Roman"/>
          <w:i/>
          <w:iCs/>
          <w:lang w:val="lt-LT"/>
        </w:rPr>
        <w:t>1</w:t>
      </w:r>
      <w:r w:rsidR="00C202A4" w:rsidRPr="00164696">
        <w:rPr>
          <w:rFonts w:ascii="Times New Roman" w:hAnsi="Times New Roman" w:cs="Times New Roman"/>
          <w:i/>
          <w:iCs/>
          <w:lang w:val="lt-LT"/>
        </w:rPr>
        <w:t xml:space="preserve"> bal</w:t>
      </w:r>
      <w:r w:rsidR="007332EE" w:rsidRPr="00164696">
        <w:rPr>
          <w:rFonts w:ascii="Times New Roman" w:hAnsi="Times New Roman" w:cs="Times New Roman"/>
          <w:i/>
          <w:iCs/>
          <w:lang w:val="lt-LT"/>
        </w:rPr>
        <w:t>ą</w:t>
      </w:r>
      <w:r w:rsidR="00C202A4" w:rsidRPr="00164696">
        <w:rPr>
          <w:rFonts w:ascii="Times New Roman" w:hAnsi="Times New Roman" w:cs="Times New Roman"/>
          <w:i/>
          <w:iCs/>
          <w:lang w:val="lt-LT"/>
        </w:rPr>
        <w:t xml:space="preserve">. Vidurkis </w:t>
      </w:r>
      <w:r w:rsidR="00F10C5C" w:rsidRPr="00164696">
        <w:rPr>
          <w:rFonts w:ascii="Times New Roman" w:hAnsi="Times New Roman" w:cs="Times New Roman"/>
          <w:i/>
          <w:iCs/>
          <w:lang w:val="lt-LT"/>
        </w:rPr>
        <w:t>1</w:t>
      </w:r>
      <w:r w:rsidR="00C202A4" w:rsidRPr="00164696">
        <w:rPr>
          <w:rFonts w:ascii="Times New Roman" w:hAnsi="Times New Roman" w:cs="Times New Roman"/>
          <w:i/>
          <w:iCs/>
          <w:lang w:val="lt-LT"/>
        </w:rPr>
        <w:t>,50</w:t>
      </w:r>
      <w:r w:rsidR="00255FD7" w:rsidRPr="00164696">
        <w:rPr>
          <w:rFonts w:ascii="Times New Roman" w:hAnsi="Times New Roman" w:cs="Times New Roman"/>
          <w:i/>
          <w:iCs/>
          <w:lang w:val="lt-LT"/>
        </w:rPr>
        <w:t xml:space="preserve"> balo</w:t>
      </w:r>
      <w:r w:rsidR="00C202A4" w:rsidRPr="00164696">
        <w:rPr>
          <w:rFonts w:ascii="Times New Roman" w:hAnsi="Times New Roman" w:cs="Times New Roman"/>
          <w:i/>
          <w:iCs/>
          <w:lang w:val="lt-LT"/>
        </w:rPr>
        <w:t>.</w:t>
      </w:r>
    </w:p>
    <w:p w14:paraId="31EEAACE" w14:textId="4A17C3FB" w:rsidR="0026437D" w:rsidRPr="00164696" w:rsidRDefault="0026437D" w:rsidP="0026437D">
      <w:pPr>
        <w:pStyle w:val="ListParagraph"/>
        <w:tabs>
          <w:tab w:val="left" w:pos="993"/>
        </w:tabs>
        <w:spacing w:after="0" w:line="240" w:lineRule="auto"/>
        <w:ind w:left="0" w:firstLine="567"/>
        <w:jc w:val="both"/>
        <w:rPr>
          <w:rFonts w:ascii="Times New Roman" w:hAnsi="Times New Roman" w:cs="Times New Roman"/>
          <w:b/>
          <w:bCs/>
          <w:i/>
          <w:iCs/>
          <w:lang w:val="lt-LT"/>
        </w:rPr>
      </w:pPr>
      <w:r w:rsidRPr="00164696">
        <w:rPr>
          <w:rFonts w:ascii="Times New Roman" w:hAnsi="Times New Roman" w:cs="Times New Roman"/>
          <w:b/>
          <w:bCs/>
          <w:i/>
          <w:iCs/>
          <w:lang w:val="lt-LT"/>
        </w:rPr>
        <w:t xml:space="preserve">Apskaičiuojamas </w:t>
      </w:r>
      <w:r w:rsidR="00F10C5C" w:rsidRPr="00164696">
        <w:rPr>
          <w:rFonts w:ascii="Times New Roman" w:hAnsi="Times New Roman" w:cs="Times New Roman"/>
          <w:b/>
          <w:bCs/>
          <w:i/>
          <w:iCs/>
          <w:lang w:val="lt-LT"/>
        </w:rPr>
        <w:t xml:space="preserve">ekspertų balų </w:t>
      </w:r>
      <w:r w:rsidRPr="00164696">
        <w:rPr>
          <w:rFonts w:ascii="Times New Roman" w:hAnsi="Times New Roman" w:cs="Times New Roman"/>
          <w:b/>
          <w:bCs/>
          <w:i/>
          <w:iCs/>
          <w:lang w:val="lt-LT"/>
        </w:rPr>
        <w:t xml:space="preserve">vidurkis: </w:t>
      </w:r>
      <w:r w:rsidR="00D4587C" w:rsidRPr="00164696">
        <w:rPr>
          <w:rFonts w:ascii="Times New Roman" w:hAnsi="Times New Roman" w:cs="Times New Roman"/>
          <w:b/>
          <w:bCs/>
          <w:i/>
          <w:iCs/>
          <w:lang w:val="lt-LT"/>
        </w:rPr>
        <w:t>2+</w:t>
      </w:r>
      <w:r w:rsidR="00FE02CF" w:rsidRPr="00164696">
        <w:rPr>
          <w:rFonts w:ascii="Times New Roman" w:hAnsi="Times New Roman" w:cs="Times New Roman"/>
          <w:b/>
          <w:bCs/>
          <w:i/>
          <w:iCs/>
          <w:lang w:val="lt-LT"/>
        </w:rPr>
        <w:t>2+</w:t>
      </w:r>
      <w:r w:rsidR="00311C85" w:rsidRPr="00164696">
        <w:rPr>
          <w:rFonts w:ascii="Times New Roman" w:hAnsi="Times New Roman" w:cs="Times New Roman"/>
          <w:b/>
          <w:bCs/>
          <w:i/>
          <w:iCs/>
          <w:lang w:val="lt-LT"/>
        </w:rPr>
        <w:t>2,50+</w:t>
      </w:r>
      <w:r w:rsidR="006B44AC" w:rsidRPr="00164696">
        <w:rPr>
          <w:rFonts w:ascii="Times New Roman" w:hAnsi="Times New Roman" w:cs="Times New Roman"/>
          <w:b/>
          <w:bCs/>
          <w:i/>
          <w:iCs/>
          <w:lang w:val="lt-LT"/>
        </w:rPr>
        <w:t>2,50</w:t>
      </w:r>
      <w:r w:rsidR="00B542DA" w:rsidRPr="00164696">
        <w:rPr>
          <w:rFonts w:ascii="Times New Roman" w:hAnsi="Times New Roman" w:cs="Times New Roman"/>
          <w:b/>
          <w:bCs/>
          <w:i/>
          <w:iCs/>
          <w:lang w:val="lt-LT"/>
        </w:rPr>
        <w:t>+1,50</w:t>
      </w:r>
      <w:r w:rsidR="00F45357" w:rsidRPr="00164696">
        <w:rPr>
          <w:rFonts w:ascii="Times New Roman" w:hAnsi="Times New Roman" w:cs="Times New Roman"/>
          <w:b/>
          <w:bCs/>
          <w:i/>
          <w:iCs/>
          <w:lang w:val="lt-LT"/>
        </w:rPr>
        <w:t xml:space="preserve"> </w:t>
      </w:r>
      <w:r w:rsidRPr="00164696">
        <w:rPr>
          <w:rFonts w:ascii="Times New Roman" w:hAnsi="Times New Roman" w:cs="Times New Roman"/>
          <w:b/>
          <w:bCs/>
          <w:i/>
          <w:iCs/>
          <w:lang w:val="lt-LT"/>
        </w:rPr>
        <w:t>=</w:t>
      </w:r>
      <w:r w:rsidR="004851B2" w:rsidRPr="00164696">
        <w:rPr>
          <w:rFonts w:ascii="Times New Roman" w:hAnsi="Times New Roman" w:cs="Times New Roman"/>
          <w:b/>
          <w:bCs/>
          <w:i/>
          <w:iCs/>
          <w:lang w:val="lt-LT"/>
        </w:rPr>
        <w:t>10</w:t>
      </w:r>
      <w:r w:rsidRPr="00164696">
        <w:rPr>
          <w:rFonts w:ascii="Times New Roman" w:hAnsi="Times New Roman" w:cs="Times New Roman"/>
          <w:b/>
          <w:bCs/>
          <w:i/>
          <w:iCs/>
          <w:lang w:val="lt-LT"/>
        </w:rPr>
        <w:t>,</w:t>
      </w:r>
      <w:r w:rsidR="004851B2" w:rsidRPr="00164696">
        <w:rPr>
          <w:rFonts w:ascii="Times New Roman" w:hAnsi="Times New Roman" w:cs="Times New Roman"/>
          <w:b/>
          <w:bCs/>
          <w:i/>
          <w:iCs/>
          <w:lang w:val="lt-LT"/>
        </w:rPr>
        <w:t>50</w:t>
      </w:r>
      <w:r w:rsidRPr="00164696">
        <w:rPr>
          <w:rFonts w:ascii="Times New Roman" w:hAnsi="Times New Roman" w:cs="Times New Roman"/>
          <w:b/>
          <w:bCs/>
          <w:i/>
          <w:iCs/>
          <w:lang w:val="lt-LT"/>
        </w:rPr>
        <w:t xml:space="preserve">; </w:t>
      </w:r>
      <w:r w:rsidR="004851B2" w:rsidRPr="00164696">
        <w:rPr>
          <w:rFonts w:ascii="Times New Roman" w:hAnsi="Times New Roman" w:cs="Times New Roman"/>
          <w:b/>
          <w:bCs/>
          <w:i/>
          <w:iCs/>
          <w:lang w:val="lt-LT"/>
        </w:rPr>
        <w:t>10,50</w:t>
      </w:r>
      <w:r w:rsidRPr="00164696">
        <w:rPr>
          <w:rFonts w:ascii="Times New Roman" w:hAnsi="Times New Roman" w:cs="Times New Roman"/>
          <w:b/>
          <w:bCs/>
          <w:i/>
          <w:iCs/>
          <w:lang w:val="lt-LT"/>
        </w:rPr>
        <w:t>:5=</w:t>
      </w:r>
      <w:r w:rsidR="008448CD" w:rsidRPr="00164696">
        <w:rPr>
          <w:rFonts w:ascii="Times New Roman" w:hAnsi="Times New Roman" w:cs="Times New Roman"/>
          <w:b/>
          <w:bCs/>
          <w:i/>
          <w:iCs/>
          <w:lang w:val="lt-LT"/>
        </w:rPr>
        <w:t>2,10</w:t>
      </w:r>
      <w:r w:rsidR="00842AEC" w:rsidRPr="00164696">
        <w:rPr>
          <w:rFonts w:ascii="Times New Roman" w:hAnsi="Times New Roman" w:cs="Times New Roman"/>
          <w:b/>
          <w:bCs/>
          <w:i/>
          <w:iCs/>
          <w:lang w:val="lt-LT"/>
        </w:rPr>
        <w:t xml:space="preserve"> balo</w:t>
      </w:r>
    </w:p>
    <w:p w14:paraId="2C1B6A7E" w14:textId="77777777" w:rsidR="00BA6916" w:rsidRPr="00164696" w:rsidRDefault="00BA6916" w:rsidP="00BA6916">
      <w:pPr>
        <w:pStyle w:val="ListParagraph"/>
        <w:tabs>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Tiekėjas V:</w:t>
      </w:r>
    </w:p>
    <w:p w14:paraId="651685F8" w14:textId="0C04A864" w:rsidR="00EB758D" w:rsidRPr="00164696" w:rsidRDefault="00EB758D" w:rsidP="00EB758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Ekspertas  Nr. 1, skiria balus tiekėjui W - už 1 Scenarijų </w:t>
      </w:r>
      <w:r w:rsidR="00347CAC" w:rsidRPr="00164696">
        <w:rPr>
          <w:rFonts w:ascii="Times New Roman" w:hAnsi="Times New Roman" w:cs="Times New Roman"/>
          <w:i/>
          <w:iCs/>
          <w:lang w:val="lt-LT"/>
        </w:rPr>
        <w:t>1</w:t>
      </w:r>
      <w:r w:rsidRPr="00164696">
        <w:rPr>
          <w:rFonts w:ascii="Times New Roman" w:hAnsi="Times New Roman" w:cs="Times New Roman"/>
          <w:i/>
          <w:iCs/>
          <w:lang w:val="lt-LT"/>
        </w:rPr>
        <w:t xml:space="preserve"> </w:t>
      </w:r>
      <w:proofErr w:type="spellStart"/>
      <w:r w:rsidRPr="00164696">
        <w:rPr>
          <w:rFonts w:ascii="Times New Roman" w:hAnsi="Times New Roman" w:cs="Times New Roman"/>
          <w:i/>
          <w:iCs/>
          <w:lang w:val="lt-LT"/>
        </w:rPr>
        <w:t>bal</w:t>
      </w:r>
      <w:r w:rsidR="00347CAC" w:rsidRPr="00164696">
        <w:rPr>
          <w:rFonts w:ascii="Times New Roman" w:hAnsi="Times New Roman" w:cs="Times New Roman"/>
          <w:i/>
          <w:iCs/>
          <w:lang w:val="lt-LT"/>
        </w:rPr>
        <w:t>q</w:t>
      </w:r>
      <w:proofErr w:type="spellEnd"/>
      <w:r w:rsidRPr="00164696">
        <w:rPr>
          <w:rFonts w:ascii="Times New Roman" w:hAnsi="Times New Roman" w:cs="Times New Roman"/>
          <w:i/>
          <w:iCs/>
          <w:lang w:val="lt-LT"/>
        </w:rPr>
        <w:t xml:space="preserve">, už antrą Scenarijų 1 balą. Vidurkis </w:t>
      </w:r>
      <w:r w:rsidR="00281FDF" w:rsidRPr="00164696">
        <w:rPr>
          <w:rFonts w:ascii="Times New Roman" w:hAnsi="Times New Roman" w:cs="Times New Roman"/>
          <w:i/>
          <w:iCs/>
          <w:lang w:val="lt-LT"/>
        </w:rPr>
        <w:t>1</w:t>
      </w:r>
      <w:r w:rsidRPr="00164696">
        <w:rPr>
          <w:rFonts w:ascii="Times New Roman" w:hAnsi="Times New Roman" w:cs="Times New Roman"/>
          <w:i/>
          <w:iCs/>
          <w:lang w:val="lt-LT"/>
        </w:rPr>
        <w:t xml:space="preserve"> bala</w:t>
      </w:r>
      <w:r w:rsidR="00281FDF" w:rsidRPr="00164696">
        <w:rPr>
          <w:rFonts w:ascii="Times New Roman" w:hAnsi="Times New Roman" w:cs="Times New Roman"/>
          <w:i/>
          <w:iCs/>
          <w:lang w:val="lt-LT"/>
        </w:rPr>
        <w:t>s</w:t>
      </w:r>
      <w:r w:rsidRPr="00164696">
        <w:rPr>
          <w:rFonts w:ascii="Times New Roman" w:hAnsi="Times New Roman" w:cs="Times New Roman"/>
          <w:i/>
          <w:iCs/>
          <w:lang w:val="lt-LT"/>
        </w:rPr>
        <w:t>.</w:t>
      </w:r>
    </w:p>
    <w:p w14:paraId="2C1E5DA0" w14:textId="14515D84" w:rsidR="00EB758D" w:rsidRPr="00164696" w:rsidRDefault="00EB758D" w:rsidP="00EB758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 Ekspertas 2, skiria balus tiekėjui W - už 1 Scenarijų </w:t>
      </w:r>
      <w:r w:rsidR="005365B3" w:rsidRPr="00164696">
        <w:rPr>
          <w:rFonts w:ascii="Times New Roman" w:hAnsi="Times New Roman" w:cs="Times New Roman"/>
          <w:i/>
          <w:iCs/>
          <w:lang w:val="lt-LT"/>
        </w:rPr>
        <w:t>2</w:t>
      </w:r>
      <w:r w:rsidRPr="00164696">
        <w:rPr>
          <w:rFonts w:ascii="Times New Roman" w:hAnsi="Times New Roman" w:cs="Times New Roman"/>
          <w:i/>
          <w:iCs/>
          <w:lang w:val="lt-LT"/>
        </w:rPr>
        <w:t xml:space="preserve"> balus, už antrą Scenarijų 1 balą. Vidurkis </w:t>
      </w:r>
      <w:r w:rsidR="00475AAC" w:rsidRPr="00164696">
        <w:rPr>
          <w:rFonts w:ascii="Times New Roman" w:hAnsi="Times New Roman" w:cs="Times New Roman"/>
          <w:i/>
          <w:iCs/>
          <w:lang w:val="lt-LT"/>
        </w:rPr>
        <w:t>1,50</w:t>
      </w:r>
      <w:r w:rsidRPr="00164696">
        <w:rPr>
          <w:rFonts w:ascii="Times New Roman" w:hAnsi="Times New Roman" w:cs="Times New Roman"/>
          <w:i/>
          <w:iCs/>
          <w:lang w:val="lt-LT"/>
        </w:rPr>
        <w:t xml:space="preserve"> bal</w:t>
      </w:r>
      <w:r w:rsidR="00475AAC" w:rsidRPr="00164696">
        <w:rPr>
          <w:rFonts w:ascii="Times New Roman" w:hAnsi="Times New Roman" w:cs="Times New Roman"/>
          <w:i/>
          <w:iCs/>
          <w:lang w:val="lt-LT"/>
        </w:rPr>
        <w:t>o</w:t>
      </w:r>
      <w:r w:rsidRPr="00164696">
        <w:rPr>
          <w:rFonts w:ascii="Times New Roman" w:hAnsi="Times New Roman" w:cs="Times New Roman"/>
          <w:i/>
          <w:iCs/>
          <w:lang w:val="lt-LT"/>
        </w:rPr>
        <w:t>.</w:t>
      </w:r>
    </w:p>
    <w:p w14:paraId="23FA977F" w14:textId="36DC2B9E" w:rsidR="00EB758D" w:rsidRPr="00164696" w:rsidRDefault="00EB758D" w:rsidP="00EB758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Ekspertas 3, skiria balus tiekėjui W - už 1 Scenarijų </w:t>
      </w:r>
      <w:r w:rsidR="00475AAC" w:rsidRPr="00164696">
        <w:rPr>
          <w:rFonts w:ascii="Times New Roman" w:hAnsi="Times New Roman" w:cs="Times New Roman"/>
          <w:i/>
          <w:iCs/>
          <w:lang w:val="lt-LT"/>
        </w:rPr>
        <w:t>2</w:t>
      </w:r>
      <w:r w:rsidRPr="00164696">
        <w:rPr>
          <w:rFonts w:ascii="Times New Roman" w:hAnsi="Times New Roman" w:cs="Times New Roman"/>
          <w:i/>
          <w:iCs/>
          <w:lang w:val="lt-LT"/>
        </w:rPr>
        <w:t xml:space="preserve"> balus, už antrą Scenarijų 2 balus. Vidurkis 2 bal</w:t>
      </w:r>
      <w:r w:rsidR="00475AAC" w:rsidRPr="00164696">
        <w:rPr>
          <w:rFonts w:ascii="Times New Roman" w:hAnsi="Times New Roman" w:cs="Times New Roman"/>
          <w:i/>
          <w:iCs/>
          <w:lang w:val="lt-LT"/>
        </w:rPr>
        <w:t>ai</w:t>
      </w:r>
      <w:r w:rsidRPr="00164696">
        <w:rPr>
          <w:rFonts w:ascii="Times New Roman" w:hAnsi="Times New Roman" w:cs="Times New Roman"/>
          <w:i/>
          <w:iCs/>
          <w:lang w:val="lt-LT"/>
        </w:rPr>
        <w:t>.</w:t>
      </w:r>
    </w:p>
    <w:p w14:paraId="5F92AAD7" w14:textId="1B78ED93" w:rsidR="00EB758D" w:rsidRPr="00164696" w:rsidRDefault="00EB758D" w:rsidP="00EB758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 xml:space="preserve">Ekspertas 4, skiria balus tiekėjui W - už 1 Scenarijų </w:t>
      </w:r>
      <w:r w:rsidR="00475AAC" w:rsidRPr="00164696">
        <w:rPr>
          <w:rFonts w:ascii="Times New Roman" w:hAnsi="Times New Roman" w:cs="Times New Roman"/>
          <w:i/>
          <w:iCs/>
          <w:lang w:val="lt-LT"/>
        </w:rPr>
        <w:t>2</w:t>
      </w:r>
      <w:r w:rsidRPr="00164696">
        <w:rPr>
          <w:rFonts w:ascii="Times New Roman" w:hAnsi="Times New Roman" w:cs="Times New Roman"/>
          <w:i/>
          <w:iCs/>
          <w:lang w:val="lt-LT"/>
        </w:rPr>
        <w:t xml:space="preserve"> balus, už antrą Scenarijų </w:t>
      </w:r>
      <w:r w:rsidR="00475AAC" w:rsidRPr="00164696">
        <w:rPr>
          <w:rFonts w:ascii="Times New Roman" w:hAnsi="Times New Roman" w:cs="Times New Roman"/>
          <w:i/>
          <w:iCs/>
          <w:lang w:val="lt-LT"/>
        </w:rPr>
        <w:t>1</w:t>
      </w:r>
      <w:r w:rsidRPr="00164696">
        <w:rPr>
          <w:rFonts w:ascii="Times New Roman" w:hAnsi="Times New Roman" w:cs="Times New Roman"/>
          <w:i/>
          <w:iCs/>
          <w:lang w:val="lt-LT"/>
        </w:rPr>
        <w:t xml:space="preserve"> bal</w:t>
      </w:r>
      <w:r w:rsidR="00475AAC" w:rsidRPr="00164696">
        <w:rPr>
          <w:rFonts w:ascii="Times New Roman" w:hAnsi="Times New Roman" w:cs="Times New Roman"/>
          <w:i/>
          <w:iCs/>
          <w:lang w:val="lt-LT"/>
        </w:rPr>
        <w:t>ą</w:t>
      </w:r>
      <w:r w:rsidRPr="00164696">
        <w:rPr>
          <w:rFonts w:ascii="Times New Roman" w:hAnsi="Times New Roman" w:cs="Times New Roman"/>
          <w:i/>
          <w:iCs/>
          <w:lang w:val="lt-LT"/>
        </w:rPr>
        <w:t xml:space="preserve">. Vidurkis </w:t>
      </w:r>
      <w:r w:rsidR="00842AEC" w:rsidRPr="00164696">
        <w:rPr>
          <w:rFonts w:ascii="Times New Roman" w:hAnsi="Times New Roman" w:cs="Times New Roman"/>
          <w:i/>
          <w:iCs/>
          <w:lang w:val="lt-LT"/>
        </w:rPr>
        <w:t>1</w:t>
      </w:r>
      <w:r w:rsidRPr="00164696">
        <w:rPr>
          <w:rFonts w:ascii="Times New Roman" w:hAnsi="Times New Roman" w:cs="Times New Roman"/>
          <w:i/>
          <w:iCs/>
          <w:lang w:val="lt-LT"/>
        </w:rPr>
        <w:t>,50 balo.</w:t>
      </w:r>
    </w:p>
    <w:p w14:paraId="18B0F3CB" w14:textId="77777777" w:rsidR="00EB758D" w:rsidRPr="00164696" w:rsidRDefault="00EB758D" w:rsidP="00EB758D">
      <w:pPr>
        <w:pStyle w:val="ListParagraph"/>
        <w:tabs>
          <w:tab w:val="left" w:pos="567"/>
          <w:tab w:val="left" w:pos="709"/>
          <w:tab w:val="left" w:pos="993"/>
        </w:tabs>
        <w:spacing w:after="0" w:line="240" w:lineRule="auto"/>
        <w:ind w:left="0" w:firstLine="567"/>
        <w:jc w:val="both"/>
        <w:rPr>
          <w:rFonts w:ascii="Times New Roman" w:hAnsi="Times New Roman" w:cs="Times New Roman"/>
          <w:i/>
          <w:iCs/>
          <w:lang w:val="lt-LT"/>
        </w:rPr>
      </w:pPr>
      <w:r w:rsidRPr="00164696">
        <w:rPr>
          <w:rFonts w:ascii="Times New Roman" w:hAnsi="Times New Roman" w:cs="Times New Roman"/>
          <w:i/>
          <w:iCs/>
          <w:lang w:val="lt-LT"/>
        </w:rPr>
        <w:t>Ekspertas 5, skiria balus tiekėjui W - už 1 Scenarijų 2 balus, už antrą Scenarijų 1 balą. Vidurkis 1,50 balo.</w:t>
      </w:r>
    </w:p>
    <w:p w14:paraId="537D4EFD" w14:textId="409816C8" w:rsidR="00842AEC" w:rsidRPr="00164696" w:rsidRDefault="00842AEC" w:rsidP="00842AEC">
      <w:pPr>
        <w:pStyle w:val="ListParagraph"/>
        <w:tabs>
          <w:tab w:val="left" w:pos="993"/>
        </w:tabs>
        <w:spacing w:after="0" w:line="240" w:lineRule="auto"/>
        <w:ind w:left="0" w:firstLine="567"/>
        <w:jc w:val="both"/>
        <w:rPr>
          <w:rFonts w:ascii="Times New Roman" w:hAnsi="Times New Roman" w:cs="Times New Roman"/>
          <w:b/>
          <w:bCs/>
          <w:i/>
          <w:iCs/>
          <w:lang w:val="lt-LT"/>
        </w:rPr>
      </w:pPr>
      <w:r w:rsidRPr="00164696">
        <w:rPr>
          <w:rFonts w:ascii="Times New Roman" w:hAnsi="Times New Roman" w:cs="Times New Roman"/>
          <w:b/>
          <w:bCs/>
          <w:i/>
          <w:iCs/>
          <w:lang w:val="lt-LT"/>
        </w:rPr>
        <w:t>Apskaičiuojamas ekspertų balų vidurkis: 1+1,50+2+1,50+1,50 =</w:t>
      </w:r>
      <w:r w:rsidR="001343B4" w:rsidRPr="00164696">
        <w:rPr>
          <w:rFonts w:ascii="Times New Roman" w:hAnsi="Times New Roman" w:cs="Times New Roman"/>
          <w:b/>
          <w:bCs/>
          <w:i/>
          <w:iCs/>
          <w:lang w:val="lt-LT"/>
        </w:rPr>
        <w:t>7</w:t>
      </w:r>
      <w:r w:rsidRPr="00164696">
        <w:rPr>
          <w:rFonts w:ascii="Times New Roman" w:hAnsi="Times New Roman" w:cs="Times New Roman"/>
          <w:b/>
          <w:bCs/>
          <w:i/>
          <w:iCs/>
          <w:lang w:val="lt-LT"/>
        </w:rPr>
        <w:t xml:space="preserve">,50; </w:t>
      </w:r>
      <w:r w:rsidR="001343B4" w:rsidRPr="00164696">
        <w:rPr>
          <w:rFonts w:ascii="Times New Roman" w:hAnsi="Times New Roman" w:cs="Times New Roman"/>
          <w:b/>
          <w:bCs/>
          <w:i/>
          <w:iCs/>
          <w:lang w:val="lt-LT"/>
        </w:rPr>
        <w:t>7</w:t>
      </w:r>
      <w:r w:rsidRPr="00164696">
        <w:rPr>
          <w:rFonts w:ascii="Times New Roman" w:hAnsi="Times New Roman" w:cs="Times New Roman"/>
          <w:b/>
          <w:bCs/>
          <w:i/>
          <w:iCs/>
          <w:lang w:val="lt-LT"/>
        </w:rPr>
        <w:t>,50:5</w:t>
      </w:r>
      <w:r w:rsidR="003F2689" w:rsidRPr="00164696">
        <w:rPr>
          <w:rFonts w:ascii="Times New Roman" w:hAnsi="Times New Roman" w:cs="Times New Roman"/>
          <w:b/>
          <w:bCs/>
          <w:i/>
          <w:iCs/>
          <w:lang w:val="lt-LT"/>
        </w:rPr>
        <w:t>=</w:t>
      </w:r>
      <w:r w:rsidR="00090662" w:rsidRPr="00164696">
        <w:rPr>
          <w:rFonts w:ascii="Times New Roman" w:hAnsi="Times New Roman" w:cs="Times New Roman"/>
          <w:b/>
          <w:bCs/>
          <w:i/>
          <w:iCs/>
          <w:lang w:val="lt-LT"/>
        </w:rPr>
        <w:t>1,50</w:t>
      </w:r>
    </w:p>
    <w:p w14:paraId="78B92E28" w14:textId="6CAFBA36" w:rsidR="000B4C4F" w:rsidRPr="00164696" w:rsidRDefault="000B4C4F" w:rsidP="00036456">
      <w:pPr>
        <w:tabs>
          <w:tab w:val="left" w:pos="851"/>
        </w:tabs>
        <w:spacing w:after="0" w:line="240" w:lineRule="auto"/>
        <w:jc w:val="both"/>
        <w:rPr>
          <w:rFonts w:ascii="Times New Roman" w:hAnsi="Times New Roman" w:cs="Times New Roman"/>
          <w:bCs/>
          <w:lang w:val="lt-LT"/>
        </w:rPr>
      </w:pPr>
    </w:p>
    <w:p w14:paraId="7863FE86" w14:textId="77777777" w:rsidR="000B4C4F" w:rsidRPr="00164696" w:rsidRDefault="000B4C4F" w:rsidP="00036456">
      <w:pPr>
        <w:tabs>
          <w:tab w:val="left" w:pos="851"/>
        </w:tabs>
        <w:spacing w:after="0" w:line="240" w:lineRule="auto"/>
        <w:jc w:val="both"/>
        <w:rPr>
          <w:rFonts w:ascii="Times New Roman" w:hAnsi="Times New Roman" w:cs="Times New Roman"/>
          <w:bCs/>
          <w:lang w:val="lt-LT"/>
        </w:rPr>
      </w:pPr>
    </w:p>
    <w:p w14:paraId="7A65B384" w14:textId="3F9485F7" w:rsidR="00EA1CCA" w:rsidRPr="00164696" w:rsidRDefault="00755FC2" w:rsidP="00755FC2">
      <w:pPr>
        <w:pStyle w:val="ListParagraph"/>
        <w:tabs>
          <w:tab w:val="left" w:pos="284"/>
          <w:tab w:val="left" w:pos="709"/>
          <w:tab w:val="left" w:pos="851"/>
        </w:tabs>
        <w:spacing w:after="0" w:line="240" w:lineRule="auto"/>
        <w:ind w:left="0" w:firstLine="567"/>
        <w:jc w:val="both"/>
        <w:rPr>
          <w:rFonts w:ascii="Times New Roman" w:hAnsi="Times New Roman" w:cs="Times New Roman"/>
          <w:lang w:val="lt-LT"/>
        </w:rPr>
      </w:pPr>
      <w:r w:rsidRPr="00164696">
        <w:rPr>
          <w:rFonts w:ascii="Times New Roman" w:hAnsi="Times New Roman" w:cs="Times New Roman"/>
          <w:lang w:val="lt-LT"/>
        </w:rPr>
        <w:t xml:space="preserve">4. </w:t>
      </w:r>
      <w:r w:rsidR="00EA1CCA" w:rsidRPr="00164696">
        <w:rPr>
          <w:rFonts w:ascii="Times New Roman" w:hAnsi="Times New Roman" w:cs="Times New Roman"/>
          <w:lang w:val="lt-LT"/>
        </w:rPr>
        <w:t>Pasiūlymo ekonominis naudingumas (EN) apskaičiuojamas sudedant tiekėjo Pasiūlymo palyginamosios kainos (C) ir kokybės kriterijaus T balus (ekonominio naudingumo balas apvalinimas dviejų skaitmenų po kablelio tikslumu):</w:t>
      </w:r>
    </w:p>
    <w:p w14:paraId="30A919E3" w14:textId="77777777" w:rsidR="00AC0818" w:rsidRPr="00164696" w:rsidRDefault="00AC0818" w:rsidP="00036456">
      <w:pPr>
        <w:pStyle w:val="ListParagraph"/>
        <w:tabs>
          <w:tab w:val="left" w:pos="284"/>
          <w:tab w:val="left" w:pos="709"/>
          <w:tab w:val="left" w:pos="851"/>
        </w:tabs>
        <w:spacing w:after="0" w:line="240" w:lineRule="auto"/>
        <w:ind w:left="0" w:firstLine="567"/>
        <w:jc w:val="both"/>
        <w:rPr>
          <w:rFonts w:ascii="Times New Roman" w:hAnsi="Times New Roman" w:cs="Times New Roman"/>
          <w:lang w:val="lt-LT"/>
        </w:rPr>
      </w:pPr>
    </w:p>
    <w:p w14:paraId="2AA4B78E" w14:textId="77777777" w:rsidR="00EA1CCA" w:rsidRPr="00164696" w:rsidRDefault="00EA1CCA" w:rsidP="000467B6">
      <w:pPr>
        <w:tabs>
          <w:tab w:val="left" w:pos="0"/>
          <w:tab w:val="left" w:pos="567"/>
          <w:tab w:val="left" w:pos="851"/>
        </w:tabs>
        <w:spacing w:after="0" w:line="240" w:lineRule="auto"/>
        <w:ind w:firstLine="567"/>
        <w:jc w:val="center"/>
        <w:rPr>
          <w:rFonts w:ascii="Times New Roman" w:hAnsi="Times New Roman" w:cs="Times New Roman"/>
          <w:b/>
          <w:i/>
          <w:lang w:val="lt-LT"/>
        </w:rPr>
      </w:pPr>
      <w:r w:rsidRPr="00164696">
        <w:rPr>
          <w:rFonts w:ascii="Times New Roman" w:hAnsi="Times New Roman" w:cs="Times New Roman"/>
          <w:b/>
          <w:i/>
          <w:lang w:val="lt-LT"/>
        </w:rPr>
        <w:t>EN = C + T</w:t>
      </w:r>
    </w:p>
    <w:p w14:paraId="0C228BF2" w14:textId="77777777" w:rsidR="00EA1CCA" w:rsidRPr="00164696" w:rsidRDefault="00EA1CCA" w:rsidP="009A418D">
      <w:pPr>
        <w:tabs>
          <w:tab w:val="left" w:pos="0"/>
          <w:tab w:val="left" w:pos="567"/>
          <w:tab w:val="left" w:pos="851"/>
        </w:tabs>
        <w:spacing w:after="0" w:line="240" w:lineRule="auto"/>
        <w:ind w:firstLine="567"/>
        <w:jc w:val="both"/>
        <w:rPr>
          <w:rFonts w:ascii="Times New Roman" w:hAnsi="Times New Roman" w:cs="Times New Roman"/>
          <w:b/>
          <w:i/>
          <w:lang w:val="lt-LT"/>
        </w:rPr>
      </w:pPr>
    </w:p>
    <w:p w14:paraId="39F9BEF7" w14:textId="77777777" w:rsidR="00D40CCF" w:rsidRPr="00164696" w:rsidRDefault="00EA1CCA" w:rsidP="009A418D">
      <w:pPr>
        <w:spacing w:after="0" w:line="240" w:lineRule="auto"/>
        <w:ind w:firstLine="567"/>
        <w:jc w:val="both"/>
        <w:rPr>
          <w:rFonts w:ascii="Times New Roman" w:hAnsi="Times New Roman" w:cs="Times New Roman"/>
          <w:b/>
          <w:bCs/>
          <w:lang w:val="lt-LT"/>
        </w:rPr>
      </w:pPr>
      <w:r w:rsidRPr="00164696">
        <w:rPr>
          <w:rFonts w:ascii="Times New Roman" w:hAnsi="Times New Roman" w:cs="Times New Roman"/>
          <w:lang w:val="lt-LT"/>
        </w:rPr>
        <w:t xml:space="preserve">Pastaba. </w:t>
      </w:r>
      <w:r w:rsidRPr="00164696">
        <w:rPr>
          <w:rFonts w:ascii="Times New Roman" w:hAnsi="Times New Roman" w:cs="Times New Roman"/>
          <w:i/>
          <w:iCs/>
          <w:lang w:val="lt-LT"/>
        </w:rPr>
        <w:t>Visi skaičiavimai atliekami, apvalinant iki dviejų skaičių po kablelio. Jeigu Pirkime tiekėjai surenka vienodą ekonominio naudingumo balą – Pasiūlymų eilėje pirmesnis nurodomas tas tiekėjas, kuris anksčiau pateikė savo pasiūlymą.</w:t>
      </w:r>
      <w:r w:rsidRPr="00164696">
        <w:rPr>
          <w:rFonts w:ascii="Times New Roman" w:hAnsi="Times New Roman" w:cs="Times New Roman"/>
          <w:b/>
          <w:bCs/>
          <w:lang w:val="lt-LT"/>
        </w:rPr>
        <w:t xml:space="preserve"> </w:t>
      </w:r>
      <w:bookmarkStart w:id="0" w:name="_Hlk197345295"/>
    </w:p>
    <w:p w14:paraId="245F6FB9" w14:textId="0338B774" w:rsidR="00EA1CCA" w:rsidRPr="00164696" w:rsidRDefault="00D40CCF" w:rsidP="009A418D">
      <w:pPr>
        <w:spacing w:after="0" w:line="240" w:lineRule="auto"/>
        <w:ind w:firstLine="567"/>
        <w:jc w:val="both"/>
        <w:rPr>
          <w:rFonts w:ascii="Times New Roman" w:hAnsi="Times New Roman" w:cs="Times New Roman"/>
          <w:lang w:val="lt-LT"/>
        </w:rPr>
      </w:pPr>
      <w:r w:rsidRPr="00164696">
        <w:rPr>
          <w:rFonts w:ascii="Times New Roman" w:hAnsi="Times New Roman" w:cs="Times New Roman"/>
          <w:b/>
          <w:bCs/>
          <w:lang w:val="lt-LT"/>
        </w:rPr>
        <w:t xml:space="preserve">5.  </w:t>
      </w:r>
      <w:r w:rsidR="00EA1CCA" w:rsidRPr="00164696">
        <w:rPr>
          <w:rFonts w:ascii="Times New Roman" w:hAnsi="Times New Roman" w:cs="Times New Roman"/>
          <w:b/>
          <w:bCs/>
          <w:u w:val="single"/>
          <w:lang w:val="lt-LT"/>
        </w:rPr>
        <w:t>Ekonominio naudingumo formulėse bus naudojama tiekėjo Bendra  pasiūlymo kaina (Eur su PVM)</w:t>
      </w:r>
      <w:r w:rsidR="00EA1CCA" w:rsidRPr="00164696">
        <w:rPr>
          <w:rFonts w:ascii="Times New Roman" w:hAnsi="Times New Roman" w:cs="Times New Roman"/>
          <w:lang w:val="lt-LT"/>
        </w:rPr>
        <w:t xml:space="preserve"> </w:t>
      </w:r>
      <w:bookmarkEnd w:id="0"/>
      <w:r w:rsidR="00EA1CCA" w:rsidRPr="00164696">
        <w:rPr>
          <w:rFonts w:ascii="Times New Roman" w:hAnsi="Times New Roman" w:cs="Times New Roman"/>
          <w:lang w:val="lt-LT"/>
        </w:rPr>
        <w:t>iš pasiūlymo formos</w:t>
      </w:r>
      <w:r w:rsidR="00A248AB" w:rsidRPr="00164696">
        <w:rPr>
          <w:rFonts w:ascii="Times New Roman" w:hAnsi="Times New Roman" w:cs="Times New Roman"/>
          <w:lang w:val="lt-LT"/>
        </w:rPr>
        <w:t xml:space="preserve">. </w:t>
      </w:r>
    </w:p>
    <w:p w14:paraId="7C4DD782" w14:textId="29FD1A3B" w:rsidR="00EA1CCA" w:rsidRPr="00164696" w:rsidRDefault="00D40CCF" w:rsidP="00036456">
      <w:pPr>
        <w:tabs>
          <w:tab w:val="left" w:pos="284"/>
          <w:tab w:val="left" w:pos="851"/>
          <w:tab w:val="left" w:pos="993"/>
        </w:tabs>
        <w:spacing w:after="0" w:line="240" w:lineRule="auto"/>
        <w:ind w:firstLine="567"/>
        <w:jc w:val="both"/>
        <w:rPr>
          <w:rFonts w:ascii="Times New Roman" w:hAnsi="Times New Roman" w:cs="Times New Roman"/>
          <w:lang w:val="lt-LT"/>
        </w:rPr>
      </w:pPr>
      <w:r w:rsidRPr="00164696">
        <w:rPr>
          <w:rFonts w:ascii="Times New Roman" w:hAnsi="Times New Roman" w:cs="Times New Roman"/>
          <w:lang w:val="lt-LT"/>
        </w:rPr>
        <w:t xml:space="preserve">6. </w:t>
      </w:r>
      <w:r w:rsidR="00EA1CCA" w:rsidRPr="00164696">
        <w:rPr>
          <w:rFonts w:ascii="Times New Roman" w:hAnsi="Times New Roman" w:cs="Times New Roman"/>
          <w:lang w:val="lt-LT"/>
        </w:rPr>
        <w:t>Kriterijaus „Pasiūlymo palyginamoji kaina“ (C) balai apskaičiuojami mažiausios pasiūlytos pasiūlymo bendros  kainos (</w:t>
      </w:r>
      <w:proofErr w:type="spellStart"/>
      <w:r w:rsidR="00EA1CCA" w:rsidRPr="00164696">
        <w:rPr>
          <w:rFonts w:ascii="Times New Roman" w:hAnsi="Times New Roman" w:cs="Times New Roman"/>
          <w:lang w:val="lt-LT"/>
        </w:rPr>
        <w:t>C</w:t>
      </w:r>
      <w:r w:rsidR="00EA1CCA" w:rsidRPr="00164696">
        <w:rPr>
          <w:rFonts w:ascii="Times New Roman" w:hAnsi="Times New Roman" w:cs="Times New Roman"/>
          <w:vertAlign w:val="subscript"/>
          <w:lang w:val="lt-LT"/>
        </w:rPr>
        <w:t>min</w:t>
      </w:r>
      <w:proofErr w:type="spellEnd"/>
      <w:r w:rsidR="00EA1CCA" w:rsidRPr="00164696">
        <w:rPr>
          <w:rFonts w:ascii="Times New Roman" w:hAnsi="Times New Roman" w:cs="Times New Roman"/>
          <w:lang w:val="lt-LT"/>
        </w:rPr>
        <w:t>) ir vertinamo pasiūlymo bendros pasiūlymo kainos (</w:t>
      </w:r>
      <w:proofErr w:type="spellStart"/>
      <w:r w:rsidR="00EA1CCA" w:rsidRPr="00164696">
        <w:rPr>
          <w:rFonts w:ascii="Times New Roman" w:hAnsi="Times New Roman" w:cs="Times New Roman"/>
          <w:lang w:val="lt-LT"/>
        </w:rPr>
        <w:t>C</w:t>
      </w:r>
      <w:r w:rsidR="00EA1CCA" w:rsidRPr="00164696">
        <w:rPr>
          <w:rFonts w:ascii="Times New Roman" w:hAnsi="Times New Roman" w:cs="Times New Roman"/>
          <w:vertAlign w:val="subscript"/>
          <w:lang w:val="lt-LT"/>
        </w:rPr>
        <w:t>p</w:t>
      </w:r>
      <w:proofErr w:type="spellEnd"/>
      <w:r w:rsidR="00EA1CCA" w:rsidRPr="00164696">
        <w:rPr>
          <w:rFonts w:ascii="Times New Roman" w:hAnsi="Times New Roman" w:cs="Times New Roman"/>
          <w:lang w:val="lt-LT"/>
        </w:rPr>
        <w:t>) santykį padauginant iš kainos lyginamojo svorio (X) pagal šią formulę:</w:t>
      </w:r>
    </w:p>
    <w:p w14:paraId="5151851F" w14:textId="61799216" w:rsidR="00EA1CCA" w:rsidRPr="00164696" w:rsidRDefault="00EA1CCA" w:rsidP="00036456">
      <w:pPr>
        <w:tabs>
          <w:tab w:val="left" w:pos="284"/>
          <w:tab w:val="left" w:pos="993"/>
        </w:tabs>
        <w:spacing w:after="0" w:line="240" w:lineRule="auto"/>
        <w:ind w:firstLine="567"/>
        <w:jc w:val="both"/>
        <w:rPr>
          <w:rFonts w:ascii="Times New Roman" w:hAnsi="Times New Roman" w:cs="Times New Roman"/>
          <w:lang w:val="lt-LT"/>
        </w:rPr>
      </w:pPr>
      <w:r w:rsidRPr="00164696">
        <w:rPr>
          <w:noProof/>
          <w:lang w:val="lt-LT"/>
        </w:rPr>
        <w:drawing>
          <wp:inline distT="0" distB="0" distL="0" distR="0" wp14:anchorId="2670B54F" wp14:editId="771B2137">
            <wp:extent cx="777240" cy="464819"/>
            <wp:effectExtent l="0" t="0" r="0" b="0"/>
            <wp:docPr id="19153549" name="Picture 19153549"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6"/>
                    <a:srcRect/>
                    <a:stretch>
                      <a:fillRect/>
                    </a:stretch>
                  </pic:blipFill>
                  <pic:spPr>
                    <a:xfrm>
                      <a:off x="0" y="0"/>
                      <a:ext cx="777240" cy="464819"/>
                    </a:xfrm>
                    <a:prstGeom prst="rect">
                      <a:avLst/>
                    </a:prstGeom>
                    <a:ln/>
                  </pic:spPr>
                </pic:pic>
              </a:graphicData>
            </a:graphic>
          </wp:inline>
        </w:drawing>
      </w:r>
    </w:p>
    <w:p w14:paraId="3F6CC982" w14:textId="77777777" w:rsidR="00EA1CCA" w:rsidRPr="00164696" w:rsidRDefault="00EA1CCA" w:rsidP="00036456">
      <w:pPr>
        <w:tabs>
          <w:tab w:val="left" w:pos="284"/>
          <w:tab w:val="left" w:pos="993"/>
        </w:tabs>
        <w:spacing w:after="0" w:line="240" w:lineRule="auto"/>
        <w:ind w:firstLine="567"/>
        <w:jc w:val="both"/>
        <w:rPr>
          <w:rFonts w:ascii="Times New Roman" w:hAnsi="Times New Roman" w:cs="Times New Roman"/>
          <w:lang w:val="lt-LT"/>
        </w:rPr>
      </w:pPr>
    </w:p>
    <w:p w14:paraId="4B7B527F" w14:textId="77777777" w:rsidR="00EA1CCA" w:rsidRPr="00164696" w:rsidRDefault="00EA1CCA" w:rsidP="00036456">
      <w:pPr>
        <w:tabs>
          <w:tab w:val="left" w:pos="993"/>
        </w:tabs>
        <w:spacing w:after="0" w:line="240" w:lineRule="auto"/>
        <w:ind w:firstLine="567"/>
        <w:jc w:val="both"/>
        <w:rPr>
          <w:rFonts w:ascii="Times New Roman" w:hAnsi="Times New Roman" w:cs="Times New Roman"/>
          <w:lang w:val="lt-LT"/>
        </w:rPr>
      </w:pPr>
      <w:r w:rsidRPr="00164696">
        <w:rPr>
          <w:rFonts w:ascii="Times New Roman" w:hAnsi="Times New Roman" w:cs="Times New Roman"/>
          <w:i/>
          <w:lang w:val="lt-LT"/>
        </w:rPr>
        <w:t>C</w:t>
      </w:r>
      <w:r w:rsidRPr="00164696">
        <w:rPr>
          <w:rFonts w:ascii="Times New Roman" w:hAnsi="Times New Roman" w:cs="Times New Roman"/>
          <w:lang w:val="lt-LT"/>
        </w:rPr>
        <w:t xml:space="preserve"> – Pasiūlymo palyginamoji kaina konkretaus dalyvio pagal nurodytą kriterijų (balais);</w:t>
      </w:r>
    </w:p>
    <w:p w14:paraId="5518BCE9" w14:textId="6DE40E71" w:rsidR="00EA1CCA" w:rsidRPr="00164696" w:rsidRDefault="00EA1CCA" w:rsidP="00036456">
      <w:pPr>
        <w:tabs>
          <w:tab w:val="left" w:pos="709"/>
          <w:tab w:val="left" w:pos="993"/>
        </w:tabs>
        <w:spacing w:after="0" w:line="240" w:lineRule="auto"/>
        <w:ind w:firstLine="567"/>
        <w:jc w:val="both"/>
        <w:rPr>
          <w:rFonts w:ascii="Times New Roman" w:hAnsi="Times New Roman" w:cs="Times New Roman"/>
          <w:lang w:val="lt-LT"/>
        </w:rPr>
      </w:pPr>
      <w:proofErr w:type="spellStart"/>
      <w:r w:rsidRPr="00164696">
        <w:rPr>
          <w:rFonts w:ascii="Times New Roman" w:hAnsi="Times New Roman" w:cs="Times New Roman"/>
          <w:i/>
          <w:iCs/>
          <w:lang w:val="lt-LT"/>
        </w:rPr>
        <w:t>C</w:t>
      </w:r>
      <w:r w:rsidRPr="00164696">
        <w:rPr>
          <w:rFonts w:ascii="Times New Roman" w:hAnsi="Times New Roman" w:cs="Times New Roman"/>
          <w:i/>
          <w:iCs/>
          <w:vertAlign w:val="subscript"/>
          <w:lang w:val="lt-LT"/>
        </w:rPr>
        <w:t>min</w:t>
      </w:r>
      <w:proofErr w:type="spellEnd"/>
      <w:r w:rsidRPr="00164696">
        <w:rPr>
          <w:rFonts w:ascii="Times New Roman" w:hAnsi="Times New Roman" w:cs="Times New Roman"/>
          <w:i/>
          <w:iCs/>
          <w:vertAlign w:val="subscript"/>
          <w:lang w:val="lt-LT"/>
        </w:rPr>
        <w:t xml:space="preserve"> </w:t>
      </w:r>
      <w:r w:rsidRPr="00164696">
        <w:rPr>
          <w:rFonts w:ascii="Times New Roman" w:hAnsi="Times New Roman" w:cs="Times New Roman"/>
          <w:lang w:val="lt-LT"/>
        </w:rPr>
        <w:t>– visų dalyvių pasiūlymų mažiausia bendra pasiūlymo kaina (eurais);</w:t>
      </w:r>
    </w:p>
    <w:p w14:paraId="31140A44" w14:textId="71E9C084" w:rsidR="00EA1CCA" w:rsidRPr="00164696" w:rsidRDefault="00EA1CCA" w:rsidP="00036456">
      <w:pPr>
        <w:tabs>
          <w:tab w:val="left" w:pos="993"/>
        </w:tabs>
        <w:spacing w:after="0" w:line="240" w:lineRule="auto"/>
        <w:ind w:firstLine="567"/>
        <w:jc w:val="both"/>
        <w:rPr>
          <w:rFonts w:ascii="Times New Roman" w:hAnsi="Times New Roman" w:cs="Times New Roman"/>
          <w:lang w:val="lt-LT"/>
        </w:rPr>
      </w:pPr>
      <w:proofErr w:type="spellStart"/>
      <w:r w:rsidRPr="00164696">
        <w:rPr>
          <w:rFonts w:ascii="Times New Roman" w:hAnsi="Times New Roman" w:cs="Times New Roman"/>
          <w:i/>
          <w:iCs/>
          <w:lang w:val="lt-LT"/>
        </w:rPr>
        <w:t>C</w:t>
      </w:r>
      <w:r w:rsidRPr="00164696">
        <w:rPr>
          <w:rFonts w:ascii="Times New Roman" w:hAnsi="Times New Roman" w:cs="Times New Roman"/>
          <w:i/>
          <w:iCs/>
          <w:vertAlign w:val="subscript"/>
          <w:lang w:val="lt-LT"/>
        </w:rPr>
        <w:t>p</w:t>
      </w:r>
      <w:proofErr w:type="spellEnd"/>
      <w:r w:rsidRPr="00164696">
        <w:rPr>
          <w:rFonts w:ascii="Times New Roman" w:hAnsi="Times New Roman" w:cs="Times New Roman"/>
          <w:i/>
          <w:iCs/>
          <w:lang w:val="lt-LT"/>
        </w:rPr>
        <w:t xml:space="preserve"> </w:t>
      </w:r>
      <w:r w:rsidRPr="00164696">
        <w:rPr>
          <w:rFonts w:ascii="Times New Roman" w:hAnsi="Times New Roman" w:cs="Times New Roman"/>
          <w:lang w:val="lt-LT"/>
        </w:rPr>
        <w:t>– konkretaus dalyvio pasiūlyta bendra  pasiūlymo kaina (eurais);</w:t>
      </w:r>
    </w:p>
    <w:p w14:paraId="68DAA173" w14:textId="77777777" w:rsidR="00EA1CCA" w:rsidRPr="00164696" w:rsidRDefault="00EA1CCA" w:rsidP="00036456">
      <w:pPr>
        <w:tabs>
          <w:tab w:val="left" w:pos="714"/>
          <w:tab w:val="left" w:pos="851"/>
          <w:tab w:val="left" w:pos="993"/>
          <w:tab w:val="left" w:pos="1134"/>
        </w:tabs>
        <w:spacing w:after="0" w:line="240" w:lineRule="auto"/>
        <w:ind w:firstLine="567"/>
        <w:jc w:val="both"/>
        <w:rPr>
          <w:rFonts w:ascii="Times New Roman" w:hAnsi="Times New Roman" w:cs="Times New Roman"/>
          <w:lang w:val="lt-LT"/>
        </w:rPr>
      </w:pPr>
      <w:r w:rsidRPr="00164696">
        <w:rPr>
          <w:rFonts w:ascii="Times New Roman" w:hAnsi="Times New Roman" w:cs="Times New Roman"/>
          <w:i/>
          <w:lang w:val="lt-LT"/>
        </w:rPr>
        <w:t>X</w:t>
      </w:r>
      <w:r w:rsidRPr="00164696">
        <w:rPr>
          <w:rFonts w:ascii="Times New Roman" w:hAnsi="Times New Roman" w:cs="Times New Roman"/>
          <w:lang w:val="lt-LT"/>
        </w:rPr>
        <w:t xml:space="preserve"> – lyginamojo svorio koeficientas.</w:t>
      </w:r>
    </w:p>
    <w:p w14:paraId="1E65A314" w14:textId="610AF58E" w:rsidR="00472417" w:rsidRPr="00164696" w:rsidRDefault="00A248AB" w:rsidP="00036456">
      <w:pPr>
        <w:tabs>
          <w:tab w:val="left" w:pos="993"/>
        </w:tabs>
        <w:spacing w:after="0" w:line="240" w:lineRule="auto"/>
        <w:ind w:firstLine="567"/>
        <w:jc w:val="both"/>
        <w:rPr>
          <w:rFonts w:ascii="Times New Roman" w:hAnsi="Times New Roman" w:cs="Times New Roman"/>
          <w:lang w:val="lt-LT"/>
        </w:rPr>
      </w:pPr>
      <w:r w:rsidRPr="00164696">
        <w:rPr>
          <w:rFonts w:ascii="Times New Roman" w:hAnsi="Times New Roman" w:cs="Times New Roman"/>
          <w:b/>
          <w:bCs/>
          <w:lang w:val="lt-LT"/>
        </w:rPr>
        <w:t xml:space="preserve">7. </w:t>
      </w:r>
      <w:r w:rsidR="00EA1CCA" w:rsidRPr="00164696">
        <w:rPr>
          <w:rFonts w:ascii="Times New Roman" w:hAnsi="Times New Roman" w:cs="Times New Roman"/>
          <w:b/>
          <w:bCs/>
          <w:lang w:val="lt-LT"/>
        </w:rPr>
        <w:t xml:space="preserve">Kokybinis kriterijaus balas </w:t>
      </w:r>
      <w:r w:rsidR="00EA1CCA" w:rsidRPr="00164696">
        <w:rPr>
          <w:rFonts w:ascii="Times New Roman" w:hAnsi="Times New Roman" w:cs="Times New Roman"/>
          <w:lang w:val="lt-LT"/>
        </w:rPr>
        <w:t>„</w:t>
      </w:r>
      <w:r w:rsidR="000467B6" w:rsidRPr="00164696">
        <w:rPr>
          <w:rFonts w:ascii="Times New Roman" w:hAnsi="Times New Roman" w:cs="Times New Roman"/>
          <w:lang w:val="lt-LT"/>
        </w:rPr>
        <w:t>Vaidybinių vaizdo klipų</w:t>
      </w:r>
      <w:r w:rsidR="0317D0CD" w:rsidRPr="00164696">
        <w:rPr>
          <w:rFonts w:ascii="Times New Roman" w:hAnsi="Times New Roman" w:cs="Times New Roman"/>
          <w:lang w:val="lt-LT"/>
        </w:rPr>
        <w:t xml:space="preserve"> </w:t>
      </w:r>
      <w:r w:rsidR="000467B6" w:rsidRPr="00164696">
        <w:rPr>
          <w:rFonts w:ascii="Times New Roman" w:hAnsi="Times New Roman" w:cs="Times New Roman"/>
          <w:lang w:val="lt-LT"/>
        </w:rPr>
        <w:t>scenarijai (scenarijų konceptai)</w:t>
      </w:r>
      <w:r w:rsidR="00EA1CCA" w:rsidRPr="00164696">
        <w:rPr>
          <w:rFonts w:ascii="Times New Roman" w:hAnsi="Times New Roman" w:cs="Times New Roman"/>
          <w:lang w:val="lt-LT"/>
        </w:rPr>
        <w:t xml:space="preserve">“ (T) </w:t>
      </w:r>
      <w:r w:rsidR="00472417" w:rsidRPr="00164696">
        <w:rPr>
          <w:rFonts w:ascii="Times New Roman" w:hAnsi="Times New Roman" w:cs="Times New Roman"/>
          <w:lang w:val="lt-LT"/>
        </w:rPr>
        <w:t>apskaičiuojamas visų komisijos narių suteiktų balų</w:t>
      </w:r>
      <w:r w:rsidR="00604033" w:rsidRPr="00164696">
        <w:rPr>
          <w:rFonts w:ascii="Times New Roman" w:hAnsi="Times New Roman" w:cs="Times New Roman"/>
          <w:lang w:val="lt-LT"/>
        </w:rPr>
        <w:t xml:space="preserve"> paskaičiuotą aritmetinį vidurkį</w:t>
      </w:r>
      <w:r w:rsidR="00472417" w:rsidRPr="00164696">
        <w:rPr>
          <w:rFonts w:ascii="Times New Roman" w:hAnsi="Times New Roman" w:cs="Times New Roman"/>
          <w:lang w:val="lt-LT"/>
        </w:rPr>
        <w:t xml:space="preserve"> padalijant iš maksimalios galimos šio kriterijaus reikšmės ir padauginant iš </w:t>
      </w:r>
      <w:r w:rsidR="003D6D15" w:rsidRPr="00164696">
        <w:rPr>
          <w:rFonts w:ascii="Times New Roman" w:hAnsi="Times New Roman" w:cs="Times New Roman"/>
          <w:lang w:val="lt-LT"/>
        </w:rPr>
        <w:t>lyginamojo svorio (Y)</w:t>
      </w:r>
      <w:r w:rsidR="00B424A5" w:rsidRPr="00164696">
        <w:rPr>
          <w:rFonts w:ascii="Times New Roman" w:hAnsi="Times New Roman" w:cs="Times New Roman"/>
          <w:lang w:val="lt-LT"/>
        </w:rPr>
        <w:t>.</w:t>
      </w:r>
      <w:r w:rsidR="0054164C" w:rsidRPr="00164696">
        <w:rPr>
          <w:rFonts w:ascii="Times New Roman" w:hAnsi="Times New Roman" w:cs="Times New Roman"/>
          <w:lang w:val="lt-LT"/>
        </w:rPr>
        <w:t xml:space="preserve"> Galutinis rezultatas (T) apvalinamas iki dviejų skaitmenų po kablelio</w:t>
      </w:r>
      <w:r w:rsidR="00472417" w:rsidRPr="00164696">
        <w:rPr>
          <w:rFonts w:ascii="Times New Roman" w:hAnsi="Times New Roman" w:cs="Times New Roman"/>
          <w:lang w:val="lt-LT"/>
        </w:rPr>
        <w:t>:</w:t>
      </w:r>
    </w:p>
    <w:p w14:paraId="4ACF4B08" w14:textId="77777777" w:rsidR="003D6D15" w:rsidRPr="00164696" w:rsidRDefault="003D6D15" w:rsidP="003D6D15">
      <w:pPr>
        <w:pStyle w:val="ListParagraph"/>
        <w:tabs>
          <w:tab w:val="left" w:pos="284"/>
        </w:tabs>
        <w:spacing w:after="0" w:line="240" w:lineRule="auto"/>
        <w:ind w:left="567"/>
        <w:jc w:val="both"/>
        <w:rPr>
          <w:rFonts w:ascii="Times New Roman" w:hAnsi="Times New Roman" w:cs="Times New Roman"/>
          <w:lang w:val="lt-LT"/>
        </w:rPr>
      </w:pPr>
    </w:p>
    <w:p w14:paraId="3852D3F8" w14:textId="77777777" w:rsidR="00431C74" w:rsidRPr="00164696" w:rsidRDefault="00431C74" w:rsidP="00431C74">
      <w:pPr>
        <w:tabs>
          <w:tab w:val="left" w:pos="284"/>
        </w:tabs>
        <w:spacing w:after="0" w:line="240" w:lineRule="auto"/>
        <w:ind w:firstLine="567"/>
        <w:jc w:val="both"/>
        <w:rPr>
          <w:rFonts w:ascii="Times New Roman" w:hAnsi="Times New Roman" w:cs="Times New Roman"/>
          <w:lang w:val="lt-LT"/>
        </w:rPr>
      </w:pPr>
    </w:p>
    <w:p w14:paraId="3752620F" w14:textId="77777777" w:rsidR="003500A6" w:rsidRPr="00164696" w:rsidRDefault="003500A6" w:rsidP="003500A6">
      <w:pPr>
        <w:tabs>
          <w:tab w:val="left" w:pos="284"/>
        </w:tabs>
        <w:spacing w:after="0" w:line="240" w:lineRule="auto"/>
        <w:ind w:firstLine="567"/>
        <w:jc w:val="both"/>
        <w:rPr>
          <w:rFonts w:ascii="Times New Roman" w:hAnsi="Times New Roman" w:cs="Times New Roman"/>
          <w:lang w:val="lt-LT"/>
        </w:rPr>
      </w:pPr>
    </w:p>
    <w:p w14:paraId="6E88B47C" w14:textId="77777777" w:rsidR="003500A6" w:rsidRPr="00164696" w:rsidRDefault="00000000" w:rsidP="003500A6">
      <w:pPr>
        <w:tabs>
          <w:tab w:val="left" w:pos="284"/>
        </w:tabs>
        <w:spacing w:after="0" w:line="240" w:lineRule="auto"/>
        <w:jc w:val="both"/>
        <w:rPr>
          <w:rFonts w:ascii="Times New Roman" w:eastAsiaTheme="minorEastAsia" w:hAnsi="Times New Roman" w:cs="Times New Roman"/>
          <w:b/>
          <w:bCs/>
          <w:lang w:val="lt-LT"/>
        </w:rPr>
      </w:pPr>
      <m:oMathPara>
        <m:oMathParaPr>
          <m:jc m:val="center"/>
        </m:oMathParaPr>
        <m:oMath>
          <m:sSub>
            <m:sSubPr>
              <m:ctrlPr>
                <w:rPr>
                  <w:rFonts w:ascii="Cambria Math" w:hAnsi="Cambria Math" w:cs="Times New Roman"/>
                  <w:b/>
                  <w:bCs/>
                  <w:lang w:val="lt-LT"/>
                </w:rPr>
              </m:ctrlPr>
            </m:sSubPr>
            <m:e>
              <m:r>
                <m:rPr>
                  <m:sty m:val="bi"/>
                </m:rPr>
                <w:rPr>
                  <w:rFonts w:ascii="Cambria Math" w:hAnsi="Cambria Math" w:cs="Times New Roman"/>
                  <w:lang w:val="lt-LT"/>
                </w:rPr>
                <m:t>T</m:t>
              </m:r>
            </m:e>
            <m:sub/>
          </m:sSub>
          <m:r>
            <m:rPr>
              <m:sty m:val="bi"/>
            </m:rPr>
            <w:rPr>
              <w:rFonts w:ascii="Cambria Math" w:hAnsi="Cambria Math" w:cs="Times New Roman"/>
              <w:lang w:val="lt-LT"/>
            </w:rPr>
            <m:t>=</m:t>
          </m:r>
          <m:f>
            <m:fPr>
              <m:ctrlPr>
                <w:rPr>
                  <w:rFonts w:ascii="Cambria Math" w:hAnsi="Cambria Math" w:cs="Times New Roman"/>
                  <w:b/>
                  <w:bCs/>
                  <w:lang w:val="lt-LT"/>
                </w:rPr>
              </m:ctrlPr>
            </m:fPr>
            <m:num>
              <m:sSub>
                <m:sSubPr>
                  <m:ctrlPr>
                    <w:rPr>
                      <w:rFonts w:ascii="Cambria Math" w:hAnsi="Cambria Math" w:cs="Times New Roman"/>
                      <w:b/>
                      <w:bCs/>
                      <w:lang w:val="lt-LT"/>
                    </w:rPr>
                  </m:ctrlPr>
                </m:sSubPr>
                <m:e>
                  <m:r>
                    <m:rPr>
                      <m:sty m:val="bi"/>
                    </m:rPr>
                    <w:rPr>
                      <w:rFonts w:ascii="Cambria Math" w:hAnsi="Cambria Math" w:cs="Times New Roman"/>
                      <w:lang w:val="lt-LT"/>
                    </w:rPr>
                    <m:t>P</m:t>
                  </m:r>
                </m:e>
                <m:sub>
                  <m:r>
                    <m:rPr>
                      <m:sty m:val="bi"/>
                    </m:rPr>
                    <w:rPr>
                      <w:rFonts w:ascii="Cambria Math" w:hAnsi="Cambria Math" w:cs="Times New Roman"/>
                      <w:lang w:val="lt-LT"/>
                    </w:rPr>
                    <m:t>s</m:t>
                  </m:r>
                </m:sub>
              </m:sSub>
            </m:num>
            <m:den>
              <m:sSub>
                <m:sSubPr>
                  <m:ctrlPr>
                    <w:rPr>
                      <w:rFonts w:ascii="Cambria Math" w:hAnsi="Cambria Math" w:cs="Times New Roman"/>
                      <w:b/>
                      <w:bCs/>
                      <w:lang w:val="lt-LT"/>
                    </w:rPr>
                  </m:ctrlPr>
                </m:sSubPr>
                <m:e>
                  <m:r>
                    <m:rPr>
                      <m:sty m:val="bi"/>
                    </m:rPr>
                    <w:rPr>
                      <w:rFonts w:ascii="Cambria Math" w:hAnsi="Cambria Math" w:cs="Times New Roman"/>
                      <w:lang w:val="lt-LT"/>
                    </w:rPr>
                    <m:t>P</m:t>
                  </m:r>
                </m:e>
                <m:sub>
                  <m:r>
                    <m:rPr>
                      <m:sty m:val="bi"/>
                    </m:rPr>
                    <w:rPr>
                      <w:rFonts w:ascii="Cambria Math" w:hAnsi="Cambria Math" w:cs="Times New Roman"/>
                      <w:lang w:val="lt-LT"/>
                    </w:rPr>
                    <m:t>max</m:t>
                  </m:r>
                </m:sub>
              </m:sSub>
            </m:den>
          </m:f>
          <m:r>
            <m:rPr>
              <m:sty m:val="bi"/>
            </m:rPr>
            <w:rPr>
              <w:rFonts w:ascii="Cambria Math" w:hAnsi="Cambria Math" w:cs="Times New Roman"/>
              <w:lang w:val="lt-LT"/>
            </w:rPr>
            <m:t>×</m:t>
          </m:r>
          <m:r>
            <m:rPr>
              <m:sty m:val="bi"/>
            </m:rPr>
            <w:rPr>
              <w:rFonts w:ascii="Cambria Math" w:hAnsi="Cambria Math" w:cs="Times New Roman"/>
              <w:lang w:val="lt-LT"/>
            </w:rPr>
            <m:t>Y</m:t>
          </m:r>
        </m:oMath>
      </m:oMathPara>
    </w:p>
    <w:p w14:paraId="5C9AB499" w14:textId="7C63F26B" w:rsidR="00431C74" w:rsidRPr="00164696" w:rsidRDefault="00431C74" w:rsidP="00431C74">
      <w:pPr>
        <w:tabs>
          <w:tab w:val="left" w:pos="284"/>
        </w:tabs>
        <w:spacing w:after="0" w:line="240" w:lineRule="auto"/>
        <w:jc w:val="both"/>
        <w:rPr>
          <w:rFonts w:ascii="Times New Roman" w:eastAsiaTheme="minorEastAsia" w:hAnsi="Times New Roman" w:cs="Times New Roman"/>
          <w:b/>
          <w:lang w:val="lt-LT"/>
        </w:rPr>
      </w:pPr>
    </w:p>
    <w:p w14:paraId="5E41737A" w14:textId="221AB0D7" w:rsidR="00EA1CCA" w:rsidRPr="00164696" w:rsidRDefault="00EA1CCA" w:rsidP="00472417">
      <w:pPr>
        <w:tabs>
          <w:tab w:val="left" w:pos="284"/>
        </w:tabs>
        <w:spacing w:after="0" w:line="240" w:lineRule="auto"/>
        <w:jc w:val="both"/>
        <w:rPr>
          <w:rFonts w:ascii="Times New Roman" w:hAnsi="Times New Roman" w:cs="Times New Roman"/>
          <w:lang w:val="lt-LT"/>
        </w:rPr>
      </w:pPr>
    </w:p>
    <w:p w14:paraId="35E0AE3F" w14:textId="77777777" w:rsidR="00EA1CCA" w:rsidRPr="00164696" w:rsidRDefault="00EA1CCA" w:rsidP="009A418D">
      <w:pPr>
        <w:pStyle w:val="ListParagraph"/>
        <w:spacing w:after="0" w:line="240" w:lineRule="auto"/>
        <w:ind w:left="0" w:firstLine="567"/>
        <w:jc w:val="both"/>
        <w:rPr>
          <w:rFonts w:ascii="Times New Roman" w:hAnsi="Times New Roman" w:cs="Times New Roman"/>
          <w:lang w:val="lt-LT"/>
        </w:rPr>
      </w:pPr>
    </w:p>
    <w:p w14:paraId="07897DCF" w14:textId="77777777" w:rsidR="00EA1CCA" w:rsidRPr="00164696" w:rsidRDefault="00EA1CCA" w:rsidP="009A418D">
      <w:pPr>
        <w:pStyle w:val="ListParagraph"/>
        <w:spacing w:after="0" w:line="240" w:lineRule="auto"/>
        <w:ind w:left="0" w:firstLine="567"/>
        <w:jc w:val="both"/>
        <w:rPr>
          <w:rFonts w:ascii="Times New Roman" w:hAnsi="Times New Roman" w:cs="Times New Roman"/>
          <w:color w:val="000000" w:themeColor="text1"/>
          <w:lang w:val="lt-LT"/>
        </w:rPr>
      </w:pPr>
      <w:r w:rsidRPr="00164696">
        <w:rPr>
          <w:rFonts w:ascii="Times New Roman" w:hAnsi="Times New Roman" w:cs="Times New Roman"/>
          <w:color w:val="000000" w:themeColor="text1"/>
          <w:lang w:val="lt-LT"/>
        </w:rPr>
        <w:t xml:space="preserve">T </w:t>
      </w:r>
      <w:r w:rsidRPr="00164696">
        <w:rPr>
          <w:rFonts w:ascii="Times New Roman" w:hAnsi="Times New Roman" w:cs="Times New Roman"/>
          <w:iCs/>
          <w:color w:val="000000" w:themeColor="text1"/>
          <w:lang w:val="lt-LT"/>
        </w:rPr>
        <w:t>–</w:t>
      </w:r>
      <w:r w:rsidRPr="00164696">
        <w:rPr>
          <w:rFonts w:ascii="Times New Roman" w:hAnsi="Times New Roman" w:cs="Times New Roman"/>
          <w:b/>
          <w:bCs/>
          <w:color w:val="000000" w:themeColor="text1"/>
          <w:vertAlign w:val="subscript"/>
          <w:lang w:val="lt-LT"/>
        </w:rPr>
        <w:t xml:space="preserve"> </w:t>
      </w:r>
      <w:r w:rsidRPr="00164696">
        <w:rPr>
          <w:rFonts w:ascii="Times New Roman" w:hAnsi="Times New Roman" w:cs="Times New Roman"/>
          <w:color w:val="000000" w:themeColor="text1"/>
          <w:lang w:val="lt-LT"/>
        </w:rPr>
        <w:t>konkretaus dalyvio pasiūlymo įvertinimas pagal nurodytą kriterijų (balais);</w:t>
      </w:r>
    </w:p>
    <w:p w14:paraId="40AC1649" w14:textId="1CFDA8C8" w:rsidR="00EA1CCA" w:rsidRPr="00164696" w:rsidRDefault="00F41F8E" w:rsidP="009A418D">
      <w:pPr>
        <w:pStyle w:val="ListParagraph"/>
        <w:tabs>
          <w:tab w:val="left" w:pos="709"/>
        </w:tabs>
        <w:spacing w:after="0" w:line="240" w:lineRule="auto"/>
        <w:ind w:left="0" w:firstLine="567"/>
        <w:jc w:val="both"/>
        <w:rPr>
          <w:rFonts w:ascii="Times New Roman" w:hAnsi="Times New Roman" w:cs="Times New Roman"/>
          <w:iCs/>
          <w:color w:val="000000" w:themeColor="text1"/>
          <w:lang w:val="lt-LT"/>
        </w:rPr>
      </w:pPr>
      <w:proofErr w:type="spellStart"/>
      <w:r w:rsidRPr="00164696">
        <w:rPr>
          <w:rFonts w:ascii="Times New Roman" w:hAnsi="Times New Roman" w:cs="Times New Roman"/>
          <w:iCs/>
          <w:color w:val="000000" w:themeColor="text1"/>
          <w:lang w:val="lt-LT"/>
        </w:rPr>
        <w:t>P</w:t>
      </w:r>
      <w:r w:rsidRPr="00164696">
        <w:rPr>
          <w:rFonts w:ascii="Times New Roman" w:hAnsi="Times New Roman" w:cs="Times New Roman"/>
          <w:iCs/>
          <w:color w:val="000000" w:themeColor="text1"/>
          <w:vertAlign w:val="subscript"/>
          <w:lang w:val="lt-LT"/>
        </w:rPr>
        <w:t>s</w:t>
      </w:r>
      <w:proofErr w:type="spellEnd"/>
      <w:r w:rsidR="00BB3B84" w:rsidRPr="00164696">
        <w:rPr>
          <w:rFonts w:ascii="Times New Roman" w:hAnsi="Times New Roman" w:cs="Times New Roman"/>
          <w:iCs/>
          <w:color w:val="000000" w:themeColor="text1"/>
          <w:vertAlign w:val="subscript"/>
          <w:lang w:val="lt-LT"/>
        </w:rPr>
        <w:t xml:space="preserve"> – </w:t>
      </w:r>
      <w:r w:rsidR="00B26FB9" w:rsidRPr="00164696">
        <w:rPr>
          <w:rFonts w:ascii="Times New Roman" w:hAnsi="Times New Roman" w:cs="Times New Roman"/>
          <w:iCs/>
          <w:color w:val="000000" w:themeColor="text1"/>
          <w:lang w:val="lt-LT"/>
        </w:rPr>
        <w:t xml:space="preserve"> </w:t>
      </w:r>
      <w:r w:rsidR="004D3C69" w:rsidRPr="00164696">
        <w:rPr>
          <w:rFonts w:ascii="Times New Roman" w:hAnsi="Times New Roman" w:cs="Times New Roman"/>
          <w:iCs/>
          <w:color w:val="000000" w:themeColor="text1"/>
          <w:lang w:val="lt-LT"/>
        </w:rPr>
        <w:t xml:space="preserve">konkretaus dalyvio kriterijaus balas </w:t>
      </w:r>
    </w:p>
    <w:p w14:paraId="24DFCF2E" w14:textId="0CB3FA8E" w:rsidR="00EA1CCA" w:rsidRPr="00164696" w:rsidRDefault="00000000" w:rsidP="3089872A">
      <w:pPr>
        <w:pStyle w:val="ListParagraph"/>
        <w:spacing w:after="0" w:line="240" w:lineRule="auto"/>
        <w:ind w:left="0" w:firstLine="567"/>
        <w:jc w:val="both"/>
        <w:rPr>
          <w:rFonts w:ascii="Times New Roman" w:hAnsi="Times New Roman" w:cs="Times New Roman"/>
          <w:color w:val="000000" w:themeColor="text1"/>
          <w:lang w:val="lt-LT"/>
        </w:rPr>
      </w:pPr>
      <m:oMath>
        <m:sSub>
          <m:sSubPr>
            <m:ctrlPr>
              <w:rPr>
                <w:rFonts w:ascii="Cambria Math" w:hAnsi="Cambria Math" w:cs="Times New Roman"/>
                <w:color w:val="000000" w:themeColor="text1"/>
                <w:lang w:val="lt-LT"/>
              </w:rPr>
            </m:ctrlPr>
          </m:sSubPr>
          <m:e>
            <m:r>
              <w:rPr>
                <w:rFonts w:ascii="Cambria Math" w:hAnsi="Cambria Math" w:cs="Times New Roman"/>
                <w:color w:val="000000" w:themeColor="text1"/>
                <w:lang w:val="lt-LT"/>
              </w:rPr>
              <m:t>P</m:t>
            </m:r>
          </m:e>
          <m:sub>
            <m:r>
              <w:rPr>
                <w:rFonts w:ascii="Cambria Math" w:hAnsi="Cambria Math" w:cs="Times New Roman"/>
                <w:color w:val="000000" w:themeColor="text1"/>
                <w:lang w:val="lt-LT"/>
              </w:rPr>
              <m:t>max</m:t>
            </m:r>
          </m:sub>
        </m:sSub>
      </m:oMath>
      <w:r w:rsidR="00EA1CCA" w:rsidRPr="00164696">
        <w:rPr>
          <w:rFonts w:ascii="Times New Roman" w:hAnsi="Times New Roman" w:cs="Times New Roman"/>
          <w:color w:val="000000" w:themeColor="text1"/>
          <w:lang w:val="lt-LT"/>
        </w:rPr>
        <w:t xml:space="preserve"> – maksimali (didžiausia galima) </w:t>
      </w:r>
      <w:r w:rsidR="008C3FA3" w:rsidRPr="00164696">
        <w:rPr>
          <w:rFonts w:ascii="Times New Roman" w:hAnsi="Times New Roman" w:cs="Times New Roman"/>
          <w:color w:val="000000" w:themeColor="text1"/>
          <w:lang w:val="lt-LT"/>
        </w:rPr>
        <w:t>P</w:t>
      </w:r>
      <w:r w:rsidR="00797DDB" w:rsidRPr="00164696">
        <w:rPr>
          <w:rFonts w:ascii="Times New Roman" w:hAnsi="Times New Roman" w:cs="Times New Roman"/>
          <w:color w:val="000000" w:themeColor="text1"/>
          <w:lang w:val="lt-LT"/>
        </w:rPr>
        <w:t xml:space="preserve"> </w:t>
      </w:r>
      <w:r w:rsidR="0085377A" w:rsidRPr="00164696">
        <w:rPr>
          <w:rFonts w:ascii="Times New Roman" w:hAnsi="Times New Roman" w:cs="Times New Roman"/>
          <w:color w:val="000000" w:themeColor="text1"/>
          <w:lang w:val="lt-LT"/>
        </w:rPr>
        <w:t>balo</w:t>
      </w:r>
      <w:r w:rsidR="00EA1CCA" w:rsidRPr="00164696">
        <w:rPr>
          <w:rFonts w:ascii="Times New Roman" w:hAnsi="Times New Roman" w:cs="Times New Roman"/>
          <w:color w:val="000000" w:themeColor="text1"/>
          <w:lang w:val="lt-LT"/>
        </w:rPr>
        <w:t xml:space="preserve"> reikšmė – </w:t>
      </w:r>
      <w:r w:rsidR="008C3FA3" w:rsidRPr="00164696">
        <w:rPr>
          <w:rFonts w:ascii="Times New Roman" w:hAnsi="Times New Roman" w:cs="Times New Roman"/>
          <w:color w:val="000000" w:themeColor="text1"/>
          <w:lang w:val="lt-LT"/>
        </w:rPr>
        <w:t>3</w:t>
      </w:r>
      <w:r w:rsidR="00174500" w:rsidRPr="00164696">
        <w:rPr>
          <w:rFonts w:ascii="Times New Roman" w:hAnsi="Times New Roman" w:cs="Times New Roman"/>
          <w:b/>
          <w:bCs/>
          <w:color w:val="000000" w:themeColor="text1"/>
          <w:lang w:val="lt-LT"/>
        </w:rPr>
        <w:t xml:space="preserve"> bal</w:t>
      </w:r>
      <w:r w:rsidR="008C3FA3" w:rsidRPr="00164696">
        <w:rPr>
          <w:rFonts w:ascii="Times New Roman" w:hAnsi="Times New Roman" w:cs="Times New Roman"/>
          <w:b/>
          <w:bCs/>
          <w:color w:val="000000" w:themeColor="text1"/>
          <w:lang w:val="lt-LT"/>
        </w:rPr>
        <w:t>ai</w:t>
      </w:r>
      <w:r w:rsidR="00EA1CCA" w:rsidRPr="00164696">
        <w:rPr>
          <w:rFonts w:ascii="Times New Roman" w:hAnsi="Times New Roman" w:cs="Times New Roman"/>
          <w:color w:val="000000" w:themeColor="text1"/>
          <w:lang w:val="lt-LT"/>
        </w:rPr>
        <w:t>;</w:t>
      </w:r>
    </w:p>
    <w:p w14:paraId="122EA5D5" w14:textId="0102D04E" w:rsidR="00EA1CCA" w:rsidRPr="00164696" w:rsidRDefault="00EA1CCA" w:rsidP="3089872A">
      <w:pPr>
        <w:pStyle w:val="ListParagraph"/>
        <w:tabs>
          <w:tab w:val="left" w:pos="714"/>
          <w:tab w:val="left" w:pos="851"/>
          <w:tab w:val="left" w:pos="1134"/>
        </w:tabs>
        <w:spacing w:after="0" w:line="240" w:lineRule="auto"/>
        <w:ind w:left="0" w:firstLine="567"/>
        <w:jc w:val="both"/>
        <w:rPr>
          <w:rFonts w:ascii="Times New Roman" w:hAnsi="Times New Roman" w:cs="Times New Roman"/>
          <w:color w:val="000000" w:themeColor="text1"/>
          <w:lang w:val="lt-LT"/>
        </w:rPr>
      </w:pPr>
      <w:r w:rsidRPr="00164696">
        <w:rPr>
          <w:rFonts w:ascii="Times New Roman" w:hAnsi="Times New Roman" w:cs="Times New Roman"/>
          <w:color w:val="000000" w:themeColor="text1"/>
          <w:lang w:val="lt-LT"/>
        </w:rPr>
        <w:t>Y– lyginamojo svorio koeficientas.</w:t>
      </w:r>
    </w:p>
    <w:p w14:paraId="6F7F37C2" w14:textId="02E859BB" w:rsidR="00BA6916" w:rsidRPr="00164696" w:rsidRDefault="00BA6916" w:rsidP="3089872A">
      <w:pPr>
        <w:pStyle w:val="ListParagraph"/>
        <w:tabs>
          <w:tab w:val="left" w:pos="714"/>
          <w:tab w:val="left" w:pos="851"/>
          <w:tab w:val="left" w:pos="1134"/>
        </w:tabs>
        <w:spacing w:after="0" w:line="240" w:lineRule="auto"/>
        <w:ind w:left="0" w:firstLine="567"/>
        <w:jc w:val="both"/>
        <w:rPr>
          <w:rFonts w:ascii="Times New Roman" w:hAnsi="Times New Roman" w:cs="Times New Roman"/>
          <w:color w:val="000000" w:themeColor="text1"/>
          <w:lang w:val="lt-LT"/>
        </w:rPr>
      </w:pPr>
      <w:r w:rsidRPr="00164696">
        <w:rPr>
          <w:rFonts w:ascii="Times New Roman" w:hAnsi="Times New Roman" w:cs="Times New Roman"/>
          <w:color w:val="000000" w:themeColor="text1"/>
          <w:lang w:val="lt-LT"/>
        </w:rPr>
        <w:t>Vertinimo tvarkos pavyzdys</w:t>
      </w:r>
      <w:r w:rsidR="00604033" w:rsidRPr="00164696">
        <w:rPr>
          <w:rFonts w:ascii="Times New Roman" w:hAnsi="Times New Roman" w:cs="Times New Roman"/>
          <w:color w:val="000000" w:themeColor="text1"/>
          <w:lang w:val="lt-LT"/>
        </w:rPr>
        <w:t>:</w:t>
      </w:r>
    </w:p>
    <w:p w14:paraId="26564F08" w14:textId="757523B8" w:rsidR="00BA6916" w:rsidRPr="00164696" w:rsidRDefault="00BA6916" w:rsidP="00BA6916">
      <w:pPr>
        <w:pStyle w:val="ListParagraph"/>
        <w:tabs>
          <w:tab w:val="left" w:pos="993"/>
        </w:tabs>
        <w:spacing w:after="0" w:line="240" w:lineRule="auto"/>
        <w:ind w:left="567"/>
        <w:jc w:val="both"/>
        <w:rPr>
          <w:rFonts w:ascii="Times New Roman" w:hAnsi="Times New Roman" w:cs="Times New Roman"/>
          <w:i/>
          <w:iCs/>
          <w:color w:val="000000" w:themeColor="text1"/>
          <w:lang w:val="lt-LT"/>
        </w:rPr>
      </w:pPr>
      <w:r w:rsidRPr="00164696">
        <w:rPr>
          <w:rFonts w:ascii="Times New Roman" w:hAnsi="Times New Roman" w:cs="Times New Roman"/>
          <w:i/>
          <w:iCs/>
          <w:color w:val="000000" w:themeColor="text1"/>
          <w:lang w:val="lt-LT"/>
        </w:rPr>
        <w:t>Tiekėjas W:</w:t>
      </w:r>
      <w:r w:rsidR="005174A5" w:rsidRPr="00164696">
        <w:rPr>
          <w:rFonts w:ascii="Times New Roman" w:hAnsi="Times New Roman" w:cs="Times New Roman"/>
          <w:i/>
          <w:iCs/>
          <w:color w:val="000000" w:themeColor="text1"/>
          <w:lang w:val="lt-LT"/>
        </w:rPr>
        <w:t xml:space="preserve"> </w:t>
      </w:r>
      <w:r w:rsidR="005174A5" w:rsidRPr="00164696">
        <w:rPr>
          <w:rFonts w:ascii="Times New Roman" w:hAnsi="Times New Roman" w:cs="Times New Roman"/>
          <w:b/>
          <w:bCs/>
          <w:i/>
          <w:iCs/>
          <w:color w:val="000000" w:themeColor="text1"/>
          <w:lang w:val="lt-LT"/>
        </w:rPr>
        <w:t>Apskaičiuojamas ekspertų balų vidurkis 2,10 balo</w:t>
      </w:r>
    </w:p>
    <w:p w14:paraId="33CAC469" w14:textId="33ECF024" w:rsidR="005174A5" w:rsidRPr="00164696" w:rsidRDefault="005174A5" w:rsidP="005174A5">
      <w:pPr>
        <w:pStyle w:val="ListParagraph"/>
        <w:tabs>
          <w:tab w:val="left" w:pos="993"/>
        </w:tabs>
        <w:spacing w:after="0" w:line="240" w:lineRule="auto"/>
        <w:ind w:left="0" w:firstLine="567"/>
        <w:jc w:val="both"/>
        <w:rPr>
          <w:rFonts w:ascii="Times New Roman" w:hAnsi="Times New Roman" w:cs="Times New Roman"/>
          <w:i/>
          <w:iCs/>
          <w:color w:val="000000" w:themeColor="text1"/>
          <w:lang w:val="lt-LT"/>
        </w:rPr>
      </w:pPr>
      <w:r w:rsidRPr="00164696">
        <w:rPr>
          <w:rFonts w:ascii="Times New Roman" w:hAnsi="Times New Roman" w:cs="Times New Roman"/>
          <w:i/>
          <w:iCs/>
          <w:color w:val="000000" w:themeColor="text1"/>
          <w:lang w:val="lt-LT"/>
        </w:rPr>
        <w:t>Tiekėjas V:</w:t>
      </w:r>
      <w:r w:rsidRPr="00164696">
        <w:rPr>
          <w:rFonts w:ascii="Times New Roman" w:hAnsi="Times New Roman" w:cs="Times New Roman"/>
          <w:b/>
          <w:bCs/>
          <w:i/>
          <w:iCs/>
          <w:color w:val="000000" w:themeColor="text1"/>
          <w:lang w:val="lt-LT"/>
        </w:rPr>
        <w:t xml:space="preserve"> Apskaičiuojamas ekspertų balų vidurkis 1,50</w:t>
      </w:r>
    </w:p>
    <w:p w14:paraId="523A2116" w14:textId="2715243E" w:rsidR="00F83A74" w:rsidRPr="00164696" w:rsidRDefault="00604033" w:rsidP="3089872A">
      <w:pPr>
        <w:pStyle w:val="ListParagraph"/>
        <w:tabs>
          <w:tab w:val="left" w:pos="714"/>
          <w:tab w:val="left" w:pos="851"/>
          <w:tab w:val="left" w:pos="1134"/>
        </w:tabs>
        <w:spacing w:after="0" w:line="240" w:lineRule="auto"/>
        <w:ind w:left="0" w:firstLine="567"/>
        <w:jc w:val="both"/>
        <w:rPr>
          <w:rFonts w:ascii="Times New Roman" w:hAnsi="Times New Roman" w:cs="Times New Roman"/>
          <w:iCs/>
          <w:color w:val="000000" w:themeColor="text1"/>
          <w:lang w:val="lt-LT"/>
        </w:rPr>
      </w:pPr>
      <m:oMath>
        <m:r>
          <m:rPr>
            <m:sty m:val="b"/>
          </m:rPr>
          <w:rPr>
            <w:rFonts w:ascii="Cambria Math" w:hAnsi="Cambria Math" w:cs="Times New Roman"/>
            <w:color w:val="000000" w:themeColor="text1"/>
            <w:lang w:val="lt-LT"/>
          </w:rPr>
          <m:t>T =</m:t>
        </m:r>
        <m:f>
          <m:fPr>
            <m:ctrlPr>
              <w:rPr>
                <w:rFonts w:ascii="Cambria Math" w:hAnsi="Cambria Math" w:cs="Times New Roman"/>
                <w:b/>
                <w:bCs/>
                <w:iCs/>
                <w:color w:val="000000" w:themeColor="text1"/>
                <w:lang w:val="lt-LT"/>
              </w:rPr>
            </m:ctrlPr>
          </m:fPr>
          <m:num>
            <m:r>
              <m:rPr>
                <m:sty m:val="b"/>
              </m:rPr>
              <w:rPr>
                <w:rFonts w:ascii="Cambria Math" w:hAnsi="Cambria Math" w:cs="Times New Roman"/>
                <w:color w:val="000000" w:themeColor="text1"/>
                <w:lang w:val="lt-LT"/>
              </w:rPr>
              <m:t>2,10</m:t>
            </m:r>
          </m:num>
          <m:den>
            <m:r>
              <m:rPr>
                <m:sty m:val="b"/>
              </m:rPr>
              <w:rPr>
                <w:rFonts w:ascii="Cambria Math" w:hAnsi="Cambria Math" w:cs="Times New Roman"/>
                <w:color w:val="000000" w:themeColor="text1"/>
                <w:lang w:val="lt-LT"/>
              </w:rPr>
              <m:t>3</m:t>
            </m:r>
          </m:den>
        </m:f>
        <m:r>
          <m:rPr>
            <m:sty m:val="b"/>
          </m:rPr>
          <w:rPr>
            <w:rFonts w:ascii="Cambria Math" w:hAnsi="Cambria Math" w:cs="Times New Roman"/>
            <w:color w:val="000000" w:themeColor="text1"/>
            <w:lang w:val="lt-LT"/>
          </w:rPr>
          <m:t>×70=</m:t>
        </m:r>
      </m:oMath>
      <w:r w:rsidR="00BD0841" w:rsidRPr="00164696">
        <w:rPr>
          <w:rFonts w:ascii="Times New Roman" w:eastAsiaTheme="minorEastAsia" w:hAnsi="Times New Roman" w:cs="Times New Roman"/>
          <w:b/>
          <w:iCs/>
          <w:color w:val="000000" w:themeColor="text1"/>
          <w:lang w:val="lt-LT"/>
        </w:rPr>
        <w:t xml:space="preserve">49; </w:t>
      </w:r>
      <m:oMath>
        <m:r>
          <m:rPr>
            <m:sty m:val="b"/>
          </m:rPr>
          <w:rPr>
            <w:rFonts w:ascii="Cambria Math" w:hAnsi="Cambria Math" w:cs="Times New Roman"/>
            <w:color w:val="000000" w:themeColor="text1"/>
            <w:lang w:val="lt-LT"/>
          </w:rPr>
          <m:t>T =</m:t>
        </m:r>
        <m:f>
          <m:fPr>
            <m:ctrlPr>
              <w:rPr>
                <w:rFonts w:ascii="Cambria Math" w:hAnsi="Cambria Math" w:cs="Times New Roman"/>
                <w:b/>
                <w:bCs/>
                <w:iCs/>
                <w:color w:val="000000" w:themeColor="text1"/>
                <w:lang w:val="lt-LT"/>
              </w:rPr>
            </m:ctrlPr>
          </m:fPr>
          <m:num>
            <m:r>
              <m:rPr>
                <m:sty m:val="b"/>
              </m:rPr>
              <w:rPr>
                <w:rFonts w:ascii="Cambria Math" w:hAnsi="Cambria Math" w:cs="Times New Roman"/>
                <w:color w:val="000000" w:themeColor="text1"/>
                <w:lang w:val="lt-LT"/>
              </w:rPr>
              <m:t>1,50</m:t>
            </m:r>
          </m:num>
          <m:den>
            <m:r>
              <m:rPr>
                <m:sty m:val="b"/>
              </m:rPr>
              <w:rPr>
                <w:rFonts w:ascii="Cambria Math" w:hAnsi="Cambria Math" w:cs="Times New Roman"/>
                <w:color w:val="000000" w:themeColor="text1"/>
                <w:lang w:val="lt-LT"/>
              </w:rPr>
              <m:t>3</m:t>
            </m:r>
          </m:den>
        </m:f>
        <m:r>
          <m:rPr>
            <m:sty m:val="b"/>
          </m:rPr>
          <w:rPr>
            <w:rFonts w:ascii="Cambria Math" w:hAnsi="Cambria Math" w:cs="Times New Roman"/>
            <w:color w:val="000000" w:themeColor="text1"/>
            <w:lang w:val="lt-LT"/>
          </w:rPr>
          <m:t>×70=35</m:t>
        </m:r>
      </m:oMath>
    </w:p>
    <w:p w14:paraId="1AAD5EBB" w14:textId="77777777" w:rsidR="00F47F9C" w:rsidRPr="00164696" w:rsidRDefault="00F47F9C" w:rsidP="3089872A">
      <w:pPr>
        <w:pStyle w:val="ListParagraph"/>
        <w:tabs>
          <w:tab w:val="left" w:pos="714"/>
          <w:tab w:val="left" w:pos="851"/>
          <w:tab w:val="left" w:pos="1134"/>
        </w:tabs>
        <w:spacing w:after="0" w:line="240" w:lineRule="auto"/>
        <w:ind w:left="0" w:firstLine="567"/>
        <w:jc w:val="both"/>
        <w:rPr>
          <w:rFonts w:ascii="Times New Roman" w:hAnsi="Times New Roman" w:cs="Times New Roman"/>
          <w:iCs/>
          <w:lang w:val="lt-LT"/>
        </w:rPr>
      </w:pPr>
    </w:p>
    <w:p w14:paraId="261B4CFB" w14:textId="403610B4" w:rsidR="00F20A05" w:rsidRPr="00164696" w:rsidRDefault="0065344D" w:rsidP="00036456">
      <w:pPr>
        <w:pStyle w:val="ListParagraph"/>
        <w:tabs>
          <w:tab w:val="left" w:pos="993"/>
        </w:tabs>
        <w:spacing w:after="0" w:line="240" w:lineRule="auto"/>
        <w:ind w:left="0" w:firstLine="567"/>
        <w:jc w:val="both"/>
        <w:rPr>
          <w:rFonts w:ascii="Times New Roman" w:hAnsi="Times New Roman" w:cs="Times New Roman"/>
          <w:b/>
          <w:lang w:val="lt-LT"/>
        </w:rPr>
      </w:pPr>
      <w:r w:rsidRPr="00164696">
        <w:rPr>
          <w:rFonts w:ascii="Times New Roman" w:eastAsia="SimSun" w:hAnsi="Times New Roman" w:cs="Times New Roman"/>
          <w:b/>
          <w:lang w:val="lt-LT"/>
        </w:rPr>
        <w:t xml:space="preserve">8. </w:t>
      </w:r>
      <w:r w:rsidR="00F20A05" w:rsidRPr="00164696">
        <w:rPr>
          <w:rFonts w:ascii="Times New Roman" w:eastAsia="SimSun" w:hAnsi="Times New Roman" w:cs="Times New Roman"/>
          <w:b/>
          <w:lang w:val="lt-LT"/>
        </w:rPr>
        <w:t>Taisyklės, jeigu įvyktų reitingavimo paradokso situacija:</w:t>
      </w:r>
    </w:p>
    <w:p w14:paraId="0064F38F" w14:textId="3C67CB14" w:rsidR="00F20A05" w:rsidRPr="00164696" w:rsidRDefault="0065344D" w:rsidP="00036456">
      <w:pPr>
        <w:pStyle w:val="ListParagraph"/>
        <w:tabs>
          <w:tab w:val="left" w:pos="709"/>
          <w:tab w:val="left" w:pos="851"/>
          <w:tab w:val="left" w:pos="993"/>
        </w:tabs>
        <w:spacing w:after="0" w:line="240" w:lineRule="auto"/>
        <w:ind w:left="0" w:firstLine="567"/>
        <w:jc w:val="both"/>
        <w:rPr>
          <w:rFonts w:ascii="Times New Roman" w:hAnsi="Times New Roman" w:cs="Times New Roman"/>
          <w:lang w:val="lt-LT"/>
        </w:rPr>
      </w:pPr>
      <w:r w:rsidRPr="00164696">
        <w:rPr>
          <w:rFonts w:ascii="Times New Roman" w:hAnsi="Times New Roman" w:cs="Times New Roman"/>
          <w:lang w:val="lt-LT"/>
        </w:rPr>
        <w:t xml:space="preserve">8.1. </w:t>
      </w:r>
      <w:r w:rsidR="00F20A05" w:rsidRPr="00164696">
        <w:rPr>
          <w:rFonts w:ascii="Times New Roman" w:hAnsi="Times New Roman" w:cs="Times New Roman"/>
          <w:lang w:val="lt-LT"/>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1. Tiekėjas A 2. Tiekėjas B 3. Tiekėjas C 4. Tiekėjas D. Tarkime, paaiškėjo, jog tiekėjas B neturėjo būti įtrauktas į pasiūlymų eilę, kadangi pirkimo vykdytojas padarė klaidą bei netinkamai įvertino šio tiekėjo pasiūlymą. Pirkimo vykdytojas grįžta į pasiūlymų vertinimo etapą, priima sprendimą atmesti tiekėjo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tiekėjas A, naujoje eilėje būtų įrašomas jau kitu numeriu - pasireiškė reikšmingas reitingavimo paradoksas. </w:t>
      </w:r>
    </w:p>
    <w:p w14:paraId="3BE0552B" w14:textId="33F2C17E" w:rsidR="00F20A05" w:rsidRPr="00164696" w:rsidRDefault="00F20A05" w:rsidP="00036456">
      <w:pPr>
        <w:pStyle w:val="ListParagraph"/>
        <w:numPr>
          <w:ilvl w:val="1"/>
          <w:numId w:val="19"/>
        </w:numPr>
        <w:tabs>
          <w:tab w:val="left" w:pos="709"/>
          <w:tab w:val="left" w:pos="993"/>
        </w:tabs>
        <w:spacing w:after="0" w:line="240" w:lineRule="auto"/>
        <w:ind w:left="0" w:firstLine="567"/>
        <w:jc w:val="both"/>
        <w:rPr>
          <w:rFonts w:ascii="Times New Roman" w:hAnsi="Times New Roman" w:cs="Times New Roman"/>
          <w:lang w:val="lt-LT"/>
        </w:rPr>
      </w:pPr>
      <w:r w:rsidRPr="00164696">
        <w:rPr>
          <w:rFonts w:ascii="Times New Roman" w:hAnsi="Times New Roman" w:cs="Times New Roman"/>
          <w:lang w:val="lt-LT"/>
        </w:rPr>
        <w:t>Perkančioji organizacija nustato privalomą balų perskaičiavimą, jeigu Pirkimo procedūros metu, kai jau būtų apskaičiuoti galutiniai tiekėjų pasiūlymams skiriami balai, įvyktų situacija, kuri lemtų tiekėjų pasikeitimus pasiūlymų eilėje (reitingavimo paradoksas). Reitingavimo paradoksas gali susidaryti dėl įvairių priežasčių: pirkime nelikus tiekėjo, pavyzdžiui, atmetus jį dėl neatitikties kvalifikacijos reikalavimams, esant tiekėjo pašalinimo pagrindams, nepatikslinus kvalifikacijos, tiekėjui atsiėmus pasiūlymą, nepateikus reikalaujamų dokumentų pagal EBVPD, atsisakius sudaryti sutartį ir t.t. Tokiu atveju Perkančioji organizacija privalo grįžti į pasiūlymų vertinimo etapą ir perskaičiuoti skiriamus balus.</w:t>
      </w:r>
    </w:p>
    <w:p w14:paraId="28303082" w14:textId="50EBE002" w:rsidR="00F20A05" w:rsidRPr="00164696" w:rsidRDefault="00F20A05" w:rsidP="00036456">
      <w:pPr>
        <w:pStyle w:val="xmsonormal"/>
        <w:tabs>
          <w:tab w:val="left" w:pos="993"/>
        </w:tabs>
        <w:ind w:left="567" w:firstLine="567"/>
        <w:jc w:val="both"/>
        <w:rPr>
          <w:rFonts w:ascii="Times New Roman" w:hAnsi="Times New Roman" w:cs="Times New Roman"/>
          <w:sz w:val="24"/>
          <w:szCs w:val="24"/>
        </w:rPr>
      </w:pPr>
    </w:p>
    <w:p w14:paraId="775CED9E" w14:textId="77777777" w:rsidR="005C3AB5" w:rsidRPr="00164696" w:rsidRDefault="005C3AB5" w:rsidP="009A418D">
      <w:pPr>
        <w:spacing w:after="0" w:line="240" w:lineRule="auto"/>
        <w:ind w:firstLine="567"/>
        <w:jc w:val="both"/>
        <w:rPr>
          <w:rFonts w:ascii="Times New Roman" w:hAnsi="Times New Roman" w:cs="Times New Roman"/>
          <w:bCs/>
          <w:lang w:val="lt-LT"/>
        </w:rPr>
      </w:pPr>
    </w:p>
    <w:p w14:paraId="06A4880F" w14:textId="77777777" w:rsidR="002D2249" w:rsidRPr="00164696" w:rsidRDefault="002D2249" w:rsidP="009A418D">
      <w:pPr>
        <w:spacing w:after="0" w:line="240" w:lineRule="auto"/>
        <w:ind w:firstLine="567"/>
        <w:jc w:val="both"/>
        <w:rPr>
          <w:rFonts w:ascii="Times New Roman" w:hAnsi="Times New Roman" w:cs="Times New Roman"/>
          <w:bCs/>
          <w:lang w:val="lt-LT"/>
        </w:rPr>
        <w:sectPr w:rsidR="002D2249" w:rsidRPr="00164696" w:rsidSect="00036456">
          <w:pgSz w:w="12240" w:h="15840"/>
          <w:pgMar w:top="1134" w:right="567" w:bottom="1134" w:left="1701" w:header="709" w:footer="709" w:gutter="0"/>
          <w:cols w:space="708"/>
          <w:docGrid w:linePitch="360"/>
        </w:sectPr>
      </w:pPr>
    </w:p>
    <w:p w14:paraId="4D762B7B" w14:textId="7C7B2B6A" w:rsidR="1A8DEE92" w:rsidRPr="00164696" w:rsidRDefault="000401E1" w:rsidP="1A8DEE92">
      <w:pPr>
        <w:spacing w:after="0" w:line="240" w:lineRule="auto"/>
        <w:jc w:val="both"/>
        <w:rPr>
          <w:lang w:val="lt-LT"/>
        </w:rPr>
      </w:pPr>
      <w:r w:rsidRPr="00164696">
        <w:rPr>
          <w:rFonts w:ascii="Times New Roman" w:hAnsi="Times New Roman" w:cs="Times New Roman"/>
          <w:b/>
          <w:lang w:val="lt-LT"/>
        </w:rPr>
        <w:lastRenderedPageBreak/>
        <w:t xml:space="preserve">Lentelė Nr. 2 </w:t>
      </w:r>
    </w:p>
    <w:tbl>
      <w:tblPr>
        <w:tblStyle w:val="TableGrid"/>
        <w:tblW w:w="13603" w:type="dxa"/>
        <w:tblLook w:val="04A0" w:firstRow="1" w:lastRow="0" w:firstColumn="1" w:lastColumn="0" w:noHBand="0" w:noVBand="1"/>
      </w:tblPr>
      <w:tblGrid>
        <w:gridCol w:w="964"/>
        <w:gridCol w:w="2169"/>
        <w:gridCol w:w="2694"/>
        <w:gridCol w:w="2358"/>
        <w:gridCol w:w="2466"/>
        <w:gridCol w:w="2952"/>
      </w:tblGrid>
      <w:tr w:rsidR="002D2249" w:rsidRPr="00164696" w14:paraId="0269B2BD" w14:textId="77777777" w:rsidTr="3089872A">
        <w:tc>
          <w:tcPr>
            <w:tcW w:w="964" w:type="dxa"/>
            <w:shd w:val="clear" w:color="auto" w:fill="C1E4F5" w:themeFill="accent1" w:themeFillTint="33"/>
            <w:vAlign w:val="center"/>
          </w:tcPr>
          <w:p w14:paraId="474C7388" w14:textId="53016FF6" w:rsidR="002D2249" w:rsidRPr="00164696" w:rsidRDefault="002D2249" w:rsidP="003D6D15">
            <w:pPr>
              <w:jc w:val="both"/>
              <w:rPr>
                <w:rFonts w:ascii="Times New Roman" w:hAnsi="Times New Roman" w:cs="Times New Roman"/>
                <w:bCs/>
                <w:lang w:val="lt-LT"/>
              </w:rPr>
            </w:pPr>
            <w:r w:rsidRPr="00164696">
              <w:rPr>
                <w:rFonts w:ascii="Times New Roman" w:hAnsi="Times New Roman" w:cs="Times New Roman"/>
                <w:b/>
                <w:bCs/>
                <w:lang w:val="lt-LT"/>
              </w:rPr>
              <w:t>Eil. Nr.</w:t>
            </w:r>
          </w:p>
        </w:tc>
        <w:tc>
          <w:tcPr>
            <w:tcW w:w="2169" w:type="dxa"/>
            <w:shd w:val="clear" w:color="auto" w:fill="C1E4F5" w:themeFill="accent1" w:themeFillTint="33"/>
            <w:vAlign w:val="center"/>
          </w:tcPr>
          <w:p w14:paraId="5AF9071D" w14:textId="793105A2" w:rsidR="002D2249" w:rsidRPr="00164696" w:rsidRDefault="002D2249" w:rsidP="003D6D15">
            <w:pPr>
              <w:jc w:val="both"/>
              <w:rPr>
                <w:rFonts w:ascii="Times New Roman" w:hAnsi="Times New Roman" w:cs="Times New Roman"/>
                <w:bCs/>
                <w:lang w:val="lt-LT"/>
              </w:rPr>
            </w:pPr>
            <w:r w:rsidRPr="00164696">
              <w:rPr>
                <w:rFonts w:ascii="Times New Roman" w:hAnsi="Times New Roman" w:cs="Times New Roman"/>
                <w:b/>
                <w:bCs/>
                <w:lang w:val="lt-LT"/>
              </w:rPr>
              <w:t>Vertinama sąlyga</w:t>
            </w:r>
          </w:p>
        </w:tc>
        <w:tc>
          <w:tcPr>
            <w:tcW w:w="2694" w:type="dxa"/>
            <w:shd w:val="clear" w:color="auto" w:fill="C1E4F5" w:themeFill="accent1" w:themeFillTint="33"/>
            <w:vAlign w:val="center"/>
          </w:tcPr>
          <w:p w14:paraId="1E92D428" w14:textId="68B20CD0" w:rsidR="002D2249" w:rsidRPr="00164696" w:rsidRDefault="002D2249" w:rsidP="003D6D15">
            <w:pPr>
              <w:jc w:val="both"/>
              <w:rPr>
                <w:rFonts w:ascii="Times New Roman" w:hAnsi="Times New Roman" w:cs="Times New Roman"/>
                <w:bCs/>
                <w:lang w:val="lt-LT"/>
              </w:rPr>
            </w:pPr>
            <w:r w:rsidRPr="00164696">
              <w:rPr>
                <w:rFonts w:ascii="Times New Roman" w:hAnsi="Times New Roman" w:cs="Times New Roman"/>
                <w:b/>
                <w:bCs/>
                <w:lang w:val="lt-LT"/>
              </w:rPr>
              <w:t>3 balai – maksimaliai tenkina sąlygą</w:t>
            </w:r>
          </w:p>
        </w:tc>
        <w:tc>
          <w:tcPr>
            <w:tcW w:w="2358" w:type="dxa"/>
            <w:shd w:val="clear" w:color="auto" w:fill="C1E4F5" w:themeFill="accent1" w:themeFillTint="33"/>
            <w:vAlign w:val="center"/>
          </w:tcPr>
          <w:p w14:paraId="01E1B63C" w14:textId="11A2763C" w:rsidR="002D2249" w:rsidRPr="00164696" w:rsidRDefault="002D2249" w:rsidP="003D6D15">
            <w:pPr>
              <w:jc w:val="both"/>
              <w:rPr>
                <w:rFonts w:ascii="Times New Roman" w:hAnsi="Times New Roman" w:cs="Times New Roman"/>
                <w:bCs/>
                <w:lang w:val="lt-LT"/>
              </w:rPr>
            </w:pPr>
            <w:r w:rsidRPr="00164696">
              <w:rPr>
                <w:rFonts w:ascii="Times New Roman" w:hAnsi="Times New Roman" w:cs="Times New Roman"/>
                <w:b/>
                <w:bCs/>
                <w:lang w:val="lt-LT"/>
              </w:rPr>
              <w:t>2 balai – iš dalies tenkina sąlygą</w:t>
            </w:r>
          </w:p>
        </w:tc>
        <w:tc>
          <w:tcPr>
            <w:tcW w:w="2466" w:type="dxa"/>
            <w:shd w:val="clear" w:color="auto" w:fill="C1E4F5" w:themeFill="accent1" w:themeFillTint="33"/>
            <w:vAlign w:val="center"/>
          </w:tcPr>
          <w:p w14:paraId="4B18DC03" w14:textId="209E9A24" w:rsidR="002D2249" w:rsidRPr="00164696" w:rsidRDefault="002D2249" w:rsidP="003D6D15">
            <w:pPr>
              <w:jc w:val="both"/>
              <w:rPr>
                <w:rFonts w:ascii="Times New Roman" w:hAnsi="Times New Roman" w:cs="Times New Roman"/>
                <w:bCs/>
                <w:lang w:val="lt-LT"/>
              </w:rPr>
            </w:pPr>
            <w:r w:rsidRPr="00164696">
              <w:rPr>
                <w:rFonts w:ascii="Times New Roman" w:hAnsi="Times New Roman" w:cs="Times New Roman"/>
                <w:b/>
                <w:bCs/>
                <w:lang w:val="lt-LT"/>
              </w:rPr>
              <w:t>1 balas – minimaliai tenkina sąlygą</w:t>
            </w:r>
          </w:p>
        </w:tc>
        <w:tc>
          <w:tcPr>
            <w:tcW w:w="2952" w:type="dxa"/>
            <w:shd w:val="clear" w:color="auto" w:fill="C1E4F5" w:themeFill="accent1" w:themeFillTint="33"/>
            <w:vAlign w:val="center"/>
          </w:tcPr>
          <w:p w14:paraId="13BD2C1F" w14:textId="7F8C0F59" w:rsidR="002D2249" w:rsidRPr="00164696" w:rsidRDefault="002D2249" w:rsidP="003D6D15">
            <w:pPr>
              <w:jc w:val="both"/>
              <w:rPr>
                <w:rFonts w:ascii="Times New Roman" w:hAnsi="Times New Roman" w:cs="Times New Roman"/>
                <w:bCs/>
                <w:lang w:val="lt-LT"/>
              </w:rPr>
            </w:pPr>
            <w:r w:rsidRPr="00164696">
              <w:rPr>
                <w:rFonts w:ascii="Times New Roman" w:hAnsi="Times New Roman" w:cs="Times New Roman"/>
                <w:b/>
                <w:bCs/>
                <w:lang w:val="lt-LT"/>
              </w:rPr>
              <w:t>0 balų – sąlyga netenkinama</w:t>
            </w:r>
          </w:p>
        </w:tc>
      </w:tr>
      <w:tr w:rsidR="002D2249" w:rsidRPr="00164696" w14:paraId="25858CA2" w14:textId="77777777" w:rsidTr="3089872A">
        <w:tc>
          <w:tcPr>
            <w:tcW w:w="964" w:type="dxa"/>
            <w:shd w:val="clear" w:color="auto" w:fill="C1E4F5" w:themeFill="accent1" w:themeFillTint="33"/>
            <w:vAlign w:val="center"/>
          </w:tcPr>
          <w:p w14:paraId="2BFAB203" w14:textId="3B35B2FB" w:rsidR="002D2249" w:rsidRPr="00164696" w:rsidRDefault="002D2249" w:rsidP="009A418D">
            <w:pPr>
              <w:ind w:firstLine="567"/>
              <w:jc w:val="both"/>
              <w:rPr>
                <w:rFonts w:ascii="Times New Roman" w:hAnsi="Times New Roman" w:cs="Times New Roman"/>
                <w:bCs/>
                <w:lang w:val="lt-LT"/>
              </w:rPr>
            </w:pPr>
            <w:r w:rsidRPr="00164696">
              <w:rPr>
                <w:rFonts w:ascii="Times New Roman" w:hAnsi="Times New Roman" w:cs="Times New Roman"/>
                <w:lang w:val="lt-LT"/>
              </w:rPr>
              <w:t>1.</w:t>
            </w:r>
          </w:p>
        </w:tc>
        <w:tc>
          <w:tcPr>
            <w:tcW w:w="2169" w:type="dxa"/>
            <w:shd w:val="clear" w:color="auto" w:fill="C1E4F5" w:themeFill="accent1" w:themeFillTint="33"/>
            <w:vAlign w:val="center"/>
          </w:tcPr>
          <w:p w14:paraId="4B8BDD28" w14:textId="31E665EA" w:rsidR="002D2249" w:rsidRPr="00164696" w:rsidRDefault="6B8E3427" w:rsidP="3C16EFE4">
            <w:pPr>
              <w:jc w:val="both"/>
              <w:rPr>
                <w:rFonts w:ascii="Times New Roman" w:hAnsi="Times New Roman" w:cs="Times New Roman"/>
                <w:lang w:val="lt-LT"/>
              </w:rPr>
            </w:pPr>
            <w:r w:rsidRPr="00164696">
              <w:rPr>
                <w:rStyle w:val="Strong"/>
                <w:rFonts w:ascii="Times New Roman" w:hAnsi="Times New Roman" w:cs="Times New Roman"/>
                <w:lang w:val="lt-LT"/>
              </w:rPr>
              <w:t>Vaizdo k</w:t>
            </w:r>
            <w:r w:rsidR="510879E4" w:rsidRPr="00164696">
              <w:rPr>
                <w:rStyle w:val="Strong"/>
                <w:rFonts w:ascii="Times New Roman" w:hAnsi="Times New Roman" w:cs="Times New Roman"/>
                <w:lang w:val="lt-LT"/>
              </w:rPr>
              <w:t>lipų</w:t>
            </w:r>
            <w:r w:rsidR="13E9F98B" w:rsidRPr="00164696">
              <w:rPr>
                <w:rStyle w:val="Strong"/>
                <w:rFonts w:ascii="Times New Roman" w:hAnsi="Times New Roman" w:cs="Times New Roman"/>
                <w:lang w:val="lt-LT"/>
              </w:rPr>
              <w:t xml:space="preserve"> </w:t>
            </w:r>
            <w:r w:rsidR="510879E4" w:rsidRPr="00164696">
              <w:rPr>
                <w:rStyle w:val="Strong"/>
                <w:rFonts w:ascii="Times New Roman" w:hAnsi="Times New Roman" w:cs="Times New Roman"/>
                <w:lang w:val="lt-LT"/>
              </w:rPr>
              <w:t>idėjos originalumas ir komunikacinis aiškumas</w:t>
            </w:r>
          </w:p>
        </w:tc>
        <w:tc>
          <w:tcPr>
            <w:tcW w:w="2694" w:type="dxa"/>
            <w:vAlign w:val="center"/>
          </w:tcPr>
          <w:p w14:paraId="4FB01DA0" w14:textId="1C5B5C9C" w:rsidR="002D2249" w:rsidRPr="00164696" w:rsidRDefault="2015D2B3" w:rsidP="00516E27">
            <w:pPr>
              <w:jc w:val="both"/>
              <w:rPr>
                <w:rFonts w:ascii="Times New Roman" w:eastAsia="Times New Roman" w:hAnsi="Times New Roman" w:cs="Times New Roman"/>
                <w:lang w:val="lt-LT"/>
              </w:rPr>
            </w:pPr>
            <w:r w:rsidRPr="00164696">
              <w:rPr>
                <w:rFonts w:ascii="Times New Roman" w:eastAsia="Times New Roman" w:hAnsi="Times New Roman" w:cs="Times New Roman"/>
                <w:lang w:val="lt-LT"/>
              </w:rPr>
              <w:t>Pateiktas kūrybinis konceptas aiškiai atitinka pirkimo tikslą, turi nuoseklią pagrindinę idėją ir išsiskiria originaliu, nestandartiniu siužeto, veikėjų ar pasakojimo pateikimu. Siužetas yra aiškiai išgrynintas, nuoseklus ir patraukliai perteikia elektros kainų palyginimo skaičiuoklės naudą bei praktinį pritaikomumą skirtingoms tikslinėms auditorijoms. Veikėjai ir situacijos yra aktualūs, lengvai atpažįstami ir natūraliai integruoti į siužetą, stiprinantys auditorijos susitapatinimą su pateikiama žinute. Komunikacinė žinutė perteikiama aiškiai, suprantamai ir vientisai viso siužeto metu. Siužete nenaudojami gąsdinantys, grėsmės, perteklinę įtampą ar neigiamas emocijas dirbtinai kuriantys elementai.</w:t>
            </w:r>
          </w:p>
        </w:tc>
        <w:tc>
          <w:tcPr>
            <w:tcW w:w="2358" w:type="dxa"/>
            <w:vAlign w:val="center"/>
          </w:tcPr>
          <w:p w14:paraId="326D51A7" w14:textId="1C3D71C1" w:rsidR="002D2249" w:rsidRPr="00164696" w:rsidRDefault="184E5964" w:rsidP="00516E27">
            <w:pPr>
              <w:jc w:val="both"/>
              <w:rPr>
                <w:rFonts w:ascii="Times New Roman" w:eastAsia="Times New Roman" w:hAnsi="Times New Roman" w:cs="Times New Roman"/>
                <w:lang w:val="lt-LT"/>
              </w:rPr>
            </w:pPr>
            <w:r w:rsidRPr="00164696">
              <w:rPr>
                <w:rFonts w:ascii="Times New Roman" w:eastAsia="Times New Roman" w:hAnsi="Times New Roman" w:cs="Times New Roman"/>
                <w:lang w:val="lt-LT"/>
              </w:rPr>
              <w:t xml:space="preserve">Pateiktas kūrybinis konceptas atitinka pirkimo tikslą ir yra suprantamas, tačiau kūrybiniai sprendimai yra iš dalies įprasti arba nepakankamai išplėtoti. Siužetas pakankamai aiškus, tačiau trūksta vientisumo arba išskirtinumo. Elektros kainų palyginimo skaičiuoklės nauda perteikiama suprantamai, tačiau ryšys su skirtingomis tikslinėmis auditorijomis ar veikėjų vaidmuo siužete nėra pakankamai stiprus. Veikėjai ir situacijos yra tinkami, tačiau jų įtraukimas į siužetą ribotai prisideda prie pagrindinės komunikacinės žinutės sustiprinimo ar auditorijos įtraukimo. Kūrybinis pateikimas yra emociškai neutralus ir </w:t>
            </w:r>
            <w:r w:rsidRPr="00164696">
              <w:rPr>
                <w:rFonts w:ascii="Times New Roman" w:eastAsia="Times New Roman" w:hAnsi="Times New Roman" w:cs="Times New Roman"/>
                <w:lang w:val="lt-LT"/>
              </w:rPr>
              <w:lastRenderedPageBreak/>
              <w:t>be neigiamų emocinių manipuliacijų, tačiau nepakankamai įtraukiantis ar išskirtinis.</w:t>
            </w:r>
          </w:p>
        </w:tc>
        <w:tc>
          <w:tcPr>
            <w:tcW w:w="2466" w:type="dxa"/>
            <w:vAlign w:val="center"/>
          </w:tcPr>
          <w:p w14:paraId="26E234EF" w14:textId="7C41B07B" w:rsidR="002D2249" w:rsidRPr="00164696" w:rsidRDefault="4904B85B" w:rsidP="3089872A">
            <w:pPr>
              <w:jc w:val="both"/>
              <w:rPr>
                <w:rFonts w:ascii="Times New Roman" w:eastAsia="Times New Roman" w:hAnsi="Times New Roman" w:cs="Times New Roman"/>
                <w:lang w:val="lt-LT"/>
              </w:rPr>
            </w:pPr>
            <w:r w:rsidRPr="00164696">
              <w:rPr>
                <w:rFonts w:ascii="Times New Roman" w:eastAsia="Times New Roman" w:hAnsi="Times New Roman" w:cs="Times New Roman"/>
                <w:lang w:val="lt-LT"/>
              </w:rPr>
              <w:lastRenderedPageBreak/>
              <w:t>Pateiktas kūrybinis konceptas yra bendro pobūdžio, neaiškus arba paremtas standartiniais sprendimais. Siužetas fragmentiškas, silpnai atskleidžia elektros kainų palyginimo skaičiuoklės naudą ir nėra pritaikytas tikslinėms auditorijoms. Veikėjai ar situacijos menkai susiję su pagrindine žinute arba nepadeda jos suprasti. Pagrindinė komunikacinė žinutė perteikiama fragmentiškai, neaiškiai arba pernelyg tiesiogiai. Siužete gali būti emocinis neaiškumas arba netinkamas tonas, trikdantis aiškų žinutės suvokimą.</w:t>
            </w:r>
          </w:p>
        </w:tc>
        <w:tc>
          <w:tcPr>
            <w:tcW w:w="2952" w:type="dxa"/>
            <w:vAlign w:val="center"/>
          </w:tcPr>
          <w:p w14:paraId="4F157051" w14:textId="34951034" w:rsidR="002D2249" w:rsidRPr="00164696" w:rsidRDefault="13EBEC21" w:rsidP="3089872A">
            <w:pPr>
              <w:jc w:val="both"/>
              <w:rPr>
                <w:rFonts w:ascii="Times New Roman" w:hAnsi="Times New Roman" w:cs="Times New Roman"/>
                <w:lang w:val="lt-LT"/>
              </w:rPr>
            </w:pPr>
            <w:r w:rsidRPr="00164696">
              <w:rPr>
                <w:rFonts w:ascii="Times New Roman" w:hAnsi="Times New Roman" w:cs="Times New Roman"/>
                <w:lang w:val="lt-LT"/>
              </w:rPr>
              <w:t xml:space="preserve">Nepateiktas </w:t>
            </w:r>
            <w:r w:rsidR="16EFE83D" w:rsidRPr="00164696">
              <w:rPr>
                <w:rFonts w:ascii="Times New Roman" w:hAnsi="Times New Roman" w:cs="Times New Roman"/>
                <w:lang w:val="lt-LT"/>
              </w:rPr>
              <w:t xml:space="preserve">aprašymas šios vertinamos sąlygos. </w:t>
            </w:r>
          </w:p>
        </w:tc>
      </w:tr>
    </w:tbl>
    <w:p w14:paraId="01A912D1" w14:textId="6D4B931F" w:rsidR="002D2249" w:rsidRPr="00164696" w:rsidRDefault="00367AEC" w:rsidP="00F804CA">
      <w:pPr>
        <w:spacing w:after="0" w:line="240" w:lineRule="auto"/>
        <w:ind w:firstLine="567"/>
        <w:jc w:val="both"/>
        <w:rPr>
          <w:lang w:val="lt-LT"/>
        </w:rPr>
      </w:pPr>
      <w:r w:rsidRPr="00164696">
        <w:rPr>
          <w:rFonts w:ascii="Times New Roman" w:hAnsi="Times New Roman" w:cs="Times New Roman"/>
          <w:bCs/>
          <w:lang w:val="lt-LT"/>
        </w:rPr>
        <w:t xml:space="preserve">Pastaba. * Jeigu nors </w:t>
      </w:r>
      <w:r w:rsidR="69C83FB6" w:rsidRPr="00164696">
        <w:rPr>
          <w:rFonts w:ascii="Times New Roman" w:hAnsi="Times New Roman" w:cs="Times New Roman"/>
          <w:lang w:val="lt-LT"/>
        </w:rPr>
        <w:t>vien</w:t>
      </w:r>
      <w:r w:rsidR="007B733F" w:rsidRPr="00164696">
        <w:rPr>
          <w:rFonts w:ascii="Times New Roman" w:hAnsi="Times New Roman" w:cs="Times New Roman"/>
          <w:lang w:val="lt-LT"/>
        </w:rPr>
        <w:t>ą</w:t>
      </w:r>
      <w:r w:rsidR="69C83FB6" w:rsidRPr="00164696">
        <w:rPr>
          <w:rFonts w:ascii="Times New Roman" w:hAnsi="Times New Roman" w:cs="Times New Roman"/>
          <w:lang w:val="lt-LT"/>
        </w:rPr>
        <w:t xml:space="preserve"> </w:t>
      </w:r>
      <w:r w:rsidR="71DA0184" w:rsidRPr="00164696">
        <w:rPr>
          <w:rFonts w:ascii="Times New Roman" w:hAnsi="Times New Roman" w:cs="Times New Roman"/>
          <w:lang w:val="lt-LT"/>
        </w:rPr>
        <w:t>vaizdo klipo</w:t>
      </w:r>
      <w:r w:rsidR="007B733F" w:rsidRPr="00164696">
        <w:rPr>
          <w:rFonts w:ascii="Times New Roman" w:hAnsi="Times New Roman" w:cs="Times New Roman"/>
          <w:lang w:val="lt-LT"/>
        </w:rPr>
        <w:t xml:space="preserve"> Scenarijaus</w:t>
      </w:r>
      <w:r w:rsidR="71DA0184" w:rsidRPr="00164696">
        <w:rPr>
          <w:rFonts w:ascii="Times New Roman" w:hAnsi="Times New Roman" w:cs="Times New Roman"/>
          <w:lang w:val="lt-LT"/>
        </w:rPr>
        <w:t xml:space="preserve"> aprašym</w:t>
      </w:r>
      <w:r w:rsidR="007B733F" w:rsidRPr="00164696">
        <w:rPr>
          <w:rFonts w:ascii="Times New Roman" w:hAnsi="Times New Roman" w:cs="Times New Roman"/>
          <w:lang w:val="lt-LT"/>
        </w:rPr>
        <w:t>ą</w:t>
      </w:r>
      <w:r w:rsidR="003C2007" w:rsidRPr="00164696">
        <w:rPr>
          <w:rFonts w:ascii="Times New Roman" w:hAnsi="Times New Roman" w:cs="Times New Roman"/>
          <w:lang w:val="lt-LT"/>
        </w:rPr>
        <w:t xml:space="preserve"> </w:t>
      </w:r>
      <w:r w:rsidR="00DC7AD3" w:rsidRPr="00164696">
        <w:rPr>
          <w:rFonts w:ascii="Times New Roman" w:hAnsi="Times New Roman" w:cs="Times New Roman"/>
          <w:lang w:val="lt-LT"/>
        </w:rPr>
        <w:t xml:space="preserve">bent vienas </w:t>
      </w:r>
      <w:r w:rsidR="009800A8" w:rsidRPr="00164696">
        <w:rPr>
          <w:rFonts w:ascii="Times New Roman" w:hAnsi="Times New Roman" w:cs="Times New Roman"/>
          <w:lang w:val="lt-LT"/>
        </w:rPr>
        <w:t xml:space="preserve">ekspertas </w:t>
      </w:r>
      <w:r w:rsidR="00130A5A" w:rsidRPr="00164696">
        <w:rPr>
          <w:rFonts w:ascii="Times New Roman" w:hAnsi="Times New Roman" w:cs="Times New Roman"/>
          <w:lang w:val="lt-LT"/>
        </w:rPr>
        <w:t xml:space="preserve">įvertina 0 balų, </w:t>
      </w:r>
      <w:r w:rsidRPr="00164696">
        <w:rPr>
          <w:rFonts w:ascii="Times New Roman" w:hAnsi="Times New Roman" w:cs="Times New Roman"/>
          <w:bCs/>
          <w:lang w:val="lt-LT"/>
        </w:rPr>
        <w:t>Tiekėjo pasiūlymas atmetamas kaip neatitinkantis pirkimo dokumentų reikalavimų.</w:t>
      </w:r>
    </w:p>
    <w:p w14:paraId="656C5FC9" w14:textId="422BDB45" w:rsidR="2E45C4E5" w:rsidRPr="00164696" w:rsidRDefault="2E45C4E5" w:rsidP="1A8DEE92">
      <w:pPr>
        <w:spacing w:after="0" w:line="240" w:lineRule="auto"/>
        <w:ind w:firstLine="567"/>
        <w:jc w:val="both"/>
        <w:rPr>
          <w:rFonts w:ascii="Times New Roman" w:eastAsia="Aptos" w:hAnsi="Times New Roman" w:cs="Times New Roman"/>
          <w:lang w:val="lt-LT"/>
        </w:rPr>
      </w:pPr>
      <w:r w:rsidRPr="00164696">
        <w:rPr>
          <w:rFonts w:ascii="Times New Roman" w:eastAsia="Aptos" w:hAnsi="Times New Roman" w:cs="Times New Roman"/>
          <w:b/>
          <w:bCs/>
          <w:lang w:val="lt-LT"/>
        </w:rPr>
        <w:t>Svarbu:</w:t>
      </w:r>
      <w:r w:rsidRPr="00164696">
        <w:rPr>
          <w:rFonts w:ascii="Times New Roman" w:eastAsia="Aptos" w:hAnsi="Times New Roman" w:cs="Times New Roman"/>
          <w:lang w:val="lt-LT"/>
        </w:rPr>
        <w:t xml:space="preserve"> Tiekėjo pasiūlyme pateiktas ir ekonominio naudingumo kriterijų pagrindu įvertintas scenarijus yra laikomas sutarties vykdymo pagrindu. Tiekėjas neturi teisės keisti scenarijaus idėjos, siužeto ar kitų esminių kūrybinių sprendinių taip, kad pasikeistų pasiūlymo vertinimo metu vertintos savybės.</w:t>
      </w:r>
    </w:p>
    <w:p w14:paraId="5774CB59" w14:textId="1C45E87A" w:rsidR="000401E1" w:rsidRPr="00164696" w:rsidRDefault="000401E1">
      <w:pPr>
        <w:spacing w:after="0" w:line="240" w:lineRule="auto"/>
        <w:ind w:firstLine="567"/>
        <w:jc w:val="both"/>
        <w:rPr>
          <w:rFonts w:ascii="Times New Roman" w:hAnsi="Times New Roman" w:cs="Times New Roman"/>
          <w:bCs/>
          <w:lang w:val="lt-LT"/>
        </w:rPr>
      </w:pPr>
    </w:p>
    <w:sectPr w:rsidR="000401E1" w:rsidRPr="00164696" w:rsidSect="00036456">
      <w:pgSz w:w="15840" w:h="12240" w:orient="landscape"/>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CE6"/>
    <w:multiLevelType w:val="multilevel"/>
    <w:tmpl w:val="987EBB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66B97"/>
    <w:multiLevelType w:val="multilevel"/>
    <w:tmpl w:val="7A220604"/>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F94426"/>
    <w:multiLevelType w:val="multilevel"/>
    <w:tmpl w:val="601ED412"/>
    <w:lvl w:ilvl="0">
      <w:start w:val="6"/>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265B2714"/>
    <w:multiLevelType w:val="multilevel"/>
    <w:tmpl w:val="C0A07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A2B92"/>
    <w:multiLevelType w:val="multilevel"/>
    <w:tmpl w:val="67CE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41007"/>
    <w:multiLevelType w:val="multilevel"/>
    <w:tmpl w:val="20F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B5138"/>
    <w:multiLevelType w:val="multilevel"/>
    <w:tmpl w:val="185CFDA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B7057"/>
    <w:multiLevelType w:val="multilevel"/>
    <w:tmpl w:val="00728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52B62"/>
    <w:multiLevelType w:val="multilevel"/>
    <w:tmpl w:val="1D1C1D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B11EE5"/>
    <w:multiLevelType w:val="multilevel"/>
    <w:tmpl w:val="2D069D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37FEF"/>
    <w:multiLevelType w:val="multilevel"/>
    <w:tmpl w:val="AF8E49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662D50"/>
    <w:multiLevelType w:val="multilevel"/>
    <w:tmpl w:val="31D632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6D3496"/>
    <w:multiLevelType w:val="multilevel"/>
    <w:tmpl w:val="1CCAE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C01"/>
    <w:multiLevelType w:val="multilevel"/>
    <w:tmpl w:val="6F826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BD4313"/>
    <w:multiLevelType w:val="multilevel"/>
    <w:tmpl w:val="0F8846F0"/>
    <w:lvl w:ilvl="0">
      <w:start w:val="1"/>
      <w:numFmt w:val="decimal"/>
      <w:lvlText w:val="%1."/>
      <w:lvlJc w:val="left"/>
      <w:pPr>
        <w:ind w:left="720" w:hanging="360"/>
      </w:pPr>
      <w:rPr>
        <w:rFonts w:hint="default"/>
        <w:b w:val="0"/>
        <w:bCs w:val="0"/>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6602235A"/>
    <w:multiLevelType w:val="multilevel"/>
    <w:tmpl w:val="DD4A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D7331D"/>
    <w:multiLevelType w:val="multilevel"/>
    <w:tmpl w:val="18FE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C3E7D"/>
    <w:multiLevelType w:val="multilevel"/>
    <w:tmpl w:val="EC6EF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0A6259"/>
    <w:multiLevelType w:val="multilevel"/>
    <w:tmpl w:val="2D069D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644483">
    <w:abstractNumId w:val="13"/>
  </w:num>
  <w:num w:numId="2" w16cid:durableId="2132823641">
    <w:abstractNumId w:val="12"/>
  </w:num>
  <w:num w:numId="3" w16cid:durableId="652563417">
    <w:abstractNumId w:val="16"/>
  </w:num>
  <w:num w:numId="4" w16cid:durableId="393049383">
    <w:abstractNumId w:val="15"/>
  </w:num>
  <w:num w:numId="5" w16cid:durableId="755639209">
    <w:abstractNumId w:val="4"/>
  </w:num>
  <w:num w:numId="6" w16cid:durableId="940529274">
    <w:abstractNumId w:val="11"/>
  </w:num>
  <w:num w:numId="7" w16cid:durableId="327176899">
    <w:abstractNumId w:val="3"/>
  </w:num>
  <w:num w:numId="8" w16cid:durableId="2021202309">
    <w:abstractNumId w:val="10"/>
  </w:num>
  <w:num w:numId="9" w16cid:durableId="621500685">
    <w:abstractNumId w:val="5"/>
  </w:num>
  <w:num w:numId="10" w16cid:durableId="129832430">
    <w:abstractNumId w:val="0"/>
  </w:num>
  <w:num w:numId="11" w16cid:durableId="2133745721">
    <w:abstractNumId w:val="6"/>
  </w:num>
  <w:num w:numId="12" w16cid:durableId="1369181873">
    <w:abstractNumId w:val="8"/>
  </w:num>
  <w:num w:numId="13" w16cid:durableId="2097750341">
    <w:abstractNumId w:val="9"/>
  </w:num>
  <w:num w:numId="14" w16cid:durableId="474568846">
    <w:abstractNumId w:val="18"/>
  </w:num>
  <w:num w:numId="15" w16cid:durableId="527959474">
    <w:abstractNumId w:val="14"/>
  </w:num>
  <w:num w:numId="16" w16cid:durableId="894009137">
    <w:abstractNumId w:val="2"/>
  </w:num>
  <w:num w:numId="17" w16cid:durableId="897135090">
    <w:abstractNumId w:val="17"/>
  </w:num>
  <w:num w:numId="18" w16cid:durableId="2063167662">
    <w:abstractNumId w:val="7"/>
  </w:num>
  <w:num w:numId="19" w16cid:durableId="140002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1F5"/>
    <w:rsid w:val="000018A3"/>
    <w:rsid w:val="0001428C"/>
    <w:rsid w:val="00016246"/>
    <w:rsid w:val="00016BF6"/>
    <w:rsid w:val="00016C94"/>
    <w:rsid w:val="00027EB8"/>
    <w:rsid w:val="00036456"/>
    <w:rsid w:val="00037871"/>
    <w:rsid w:val="000401E1"/>
    <w:rsid w:val="00046133"/>
    <w:rsid w:val="000467B6"/>
    <w:rsid w:val="00051DA8"/>
    <w:rsid w:val="00051E63"/>
    <w:rsid w:val="00061855"/>
    <w:rsid w:val="00067F5A"/>
    <w:rsid w:val="000751EC"/>
    <w:rsid w:val="00087D23"/>
    <w:rsid w:val="00090662"/>
    <w:rsid w:val="00094835"/>
    <w:rsid w:val="000A0272"/>
    <w:rsid w:val="000A2093"/>
    <w:rsid w:val="000A563C"/>
    <w:rsid w:val="000B4C4F"/>
    <w:rsid w:val="000C48F9"/>
    <w:rsid w:val="000C71A4"/>
    <w:rsid w:val="000D21B3"/>
    <w:rsid w:val="000D34A8"/>
    <w:rsid w:val="000D4FA6"/>
    <w:rsid w:val="000D6980"/>
    <w:rsid w:val="000D6B82"/>
    <w:rsid w:val="000E2DA0"/>
    <w:rsid w:val="000E686B"/>
    <w:rsid w:val="000F14E6"/>
    <w:rsid w:val="000F581D"/>
    <w:rsid w:val="001015F5"/>
    <w:rsid w:val="00104C38"/>
    <w:rsid w:val="0011694C"/>
    <w:rsid w:val="0012618E"/>
    <w:rsid w:val="00130A5A"/>
    <w:rsid w:val="001343B4"/>
    <w:rsid w:val="00147C7A"/>
    <w:rsid w:val="00153684"/>
    <w:rsid w:val="00155CAE"/>
    <w:rsid w:val="00164696"/>
    <w:rsid w:val="00173D00"/>
    <w:rsid w:val="00174500"/>
    <w:rsid w:val="0017743B"/>
    <w:rsid w:val="001858C7"/>
    <w:rsid w:val="001A139F"/>
    <w:rsid w:val="001A1B26"/>
    <w:rsid w:val="001B078C"/>
    <w:rsid w:val="001C1125"/>
    <w:rsid w:val="001D1656"/>
    <w:rsid w:val="001D5468"/>
    <w:rsid w:val="001E3CCE"/>
    <w:rsid w:val="001E6761"/>
    <w:rsid w:val="001F1B78"/>
    <w:rsid w:val="00207233"/>
    <w:rsid w:val="00207C64"/>
    <w:rsid w:val="00210165"/>
    <w:rsid w:val="00217F69"/>
    <w:rsid w:val="002342C2"/>
    <w:rsid w:val="00252A5D"/>
    <w:rsid w:val="00255755"/>
    <w:rsid w:val="00255FD7"/>
    <w:rsid w:val="00262B2A"/>
    <w:rsid w:val="0026437D"/>
    <w:rsid w:val="00265A0B"/>
    <w:rsid w:val="0027246C"/>
    <w:rsid w:val="00281FDF"/>
    <w:rsid w:val="0028237E"/>
    <w:rsid w:val="002904CD"/>
    <w:rsid w:val="00295548"/>
    <w:rsid w:val="00295CF0"/>
    <w:rsid w:val="002A2CB2"/>
    <w:rsid w:val="002B0AF0"/>
    <w:rsid w:val="002C2001"/>
    <w:rsid w:val="002C2D48"/>
    <w:rsid w:val="002C35CE"/>
    <w:rsid w:val="002C632B"/>
    <w:rsid w:val="002D2249"/>
    <w:rsid w:val="002E24E8"/>
    <w:rsid w:val="002E3132"/>
    <w:rsid w:val="002F332F"/>
    <w:rsid w:val="002F5001"/>
    <w:rsid w:val="00302457"/>
    <w:rsid w:val="003026A1"/>
    <w:rsid w:val="00306D47"/>
    <w:rsid w:val="0031039D"/>
    <w:rsid w:val="00311C85"/>
    <w:rsid w:val="00313F28"/>
    <w:rsid w:val="003163F7"/>
    <w:rsid w:val="003225A7"/>
    <w:rsid w:val="00326547"/>
    <w:rsid w:val="0033151F"/>
    <w:rsid w:val="00347CAC"/>
    <w:rsid w:val="003500A6"/>
    <w:rsid w:val="00364EB2"/>
    <w:rsid w:val="00367AEC"/>
    <w:rsid w:val="00383700"/>
    <w:rsid w:val="0038421B"/>
    <w:rsid w:val="003930F3"/>
    <w:rsid w:val="003936EE"/>
    <w:rsid w:val="00396C90"/>
    <w:rsid w:val="003A3FDE"/>
    <w:rsid w:val="003A761E"/>
    <w:rsid w:val="003B49F5"/>
    <w:rsid w:val="003B50E2"/>
    <w:rsid w:val="003C0AB3"/>
    <w:rsid w:val="003C14D0"/>
    <w:rsid w:val="003C2007"/>
    <w:rsid w:val="003C5AEA"/>
    <w:rsid w:val="003C776B"/>
    <w:rsid w:val="003D1E9D"/>
    <w:rsid w:val="003D62CA"/>
    <w:rsid w:val="003D6D15"/>
    <w:rsid w:val="003F2689"/>
    <w:rsid w:val="00400BF9"/>
    <w:rsid w:val="0041365C"/>
    <w:rsid w:val="0041497E"/>
    <w:rsid w:val="00421DC0"/>
    <w:rsid w:val="00421F6D"/>
    <w:rsid w:val="00431C74"/>
    <w:rsid w:val="00432B13"/>
    <w:rsid w:val="004408A2"/>
    <w:rsid w:val="00450687"/>
    <w:rsid w:val="00453D5D"/>
    <w:rsid w:val="00456CFB"/>
    <w:rsid w:val="00461027"/>
    <w:rsid w:val="0046358A"/>
    <w:rsid w:val="004707AA"/>
    <w:rsid w:val="004720C0"/>
    <w:rsid w:val="00472417"/>
    <w:rsid w:val="00474B99"/>
    <w:rsid w:val="00475AAC"/>
    <w:rsid w:val="00475FCC"/>
    <w:rsid w:val="00480FB2"/>
    <w:rsid w:val="00481070"/>
    <w:rsid w:val="004851B2"/>
    <w:rsid w:val="004B2EC9"/>
    <w:rsid w:val="004B5DF2"/>
    <w:rsid w:val="004B5EB6"/>
    <w:rsid w:val="004D023B"/>
    <w:rsid w:val="004D3711"/>
    <w:rsid w:val="004D3C69"/>
    <w:rsid w:val="004E23AE"/>
    <w:rsid w:val="004F4C0F"/>
    <w:rsid w:val="004F50A6"/>
    <w:rsid w:val="00500FFF"/>
    <w:rsid w:val="00516E27"/>
    <w:rsid w:val="005174A5"/>
    <w:rsid w:val="00521627"/>
    <w:rsid w:val="00530780"/>
    <w:rsid w:val="00532BD2"/>
    <w:rsid w:val="005365B3"/>
    <w:rsid w:val="0054164C"/>
    <w:rsid w:val="005502FA"/>
    <w:rsid w:val="005601DD"/>
    <w:rsid w:val="0056188E"/>
    <w:rsid w:val="00571269"/>
    <w:rsid w:val="005752A6"/>
    <w:rsid w:val="00580C72"/>
    <w:rsid w:val="00583FE1"/>
    <w:rsid w:val="00591491"/>
    <w:rsid w:val="0059297A"/>
    <w:rsid w:val="00592AB8"/>
    <w:rsid w:val="00594F69"/>
    <w:rsid w:val="0059501F"/>
    <w:rsid w:val="005965DC"/>
    <w:rsid w:val="00597448"/>
    <w:rsid w:val="005C15B6"/>
    <w:rsid w:val="005C2489"/>
    <w:rsid w:val="005C3AB5"/>
    <w:rsid w:val="005C51B8"/>
    <w:rsid w:val="005D0E72"/>
    <w:rsid w:val="005D1744"/>
    <w:rsid w:val="005E274D"/>
    <w:rsid w:val="005E36AE"/>
    <w:rsid w:val="005E4783"/>
    <w:rsid w:val="00604033"/>
    <w:rsid w:val="006101F7"/>
    <w:rsid w:val="00610384"/>
    <w:rsid w:val="00615AD4"/>
    <w:rsid w:val="00621A73"/>
    <w:rsid w:val="00624EF5"/>
    <w:rsid w:val="00637576"/>
    <w:rsid w:val="00643230"/>
    <w:rsid w:val="00644E45"/>
    <w:rsid w:val="0065274A"/>
    <w:rsid w:val="0065344D"/>
    <w:rsid w:val="006557C7"/>
    <w:rsid w:val="00660639"/>
    <w:rsid w:val="00666B29"/>
    <w:rsid w:val="006715DA"/>
    <w:rsid w:val="00691E85"/>
    <w:rsid w:val="00695689"/>
    <w:rsid w:val="006958AA"/>
    <w:rsid w:val="006A5E37"/>
    <w:rsid w:val="006A6325"/>
    <w:rsid w:val="006B44AC"/>
    <w:rsid w:val="006C4243"/>
    <w:rsid w:val="006D5CEA"/>
    <w:rsid w:val="006E569E"/>
    <w:rsid w:val="006F3A56"/>
    <w:rsid w:val="0070142A"/>
    <w:rsid w:val="00707119"/>
    <w:rsid w:val="00710749"/>
    <w:rsid w:val="0071207C"/>
    <w:rsid w:val="0071355C"/>
    <w:rsid w:val="007332EE"/>
    <w:rsid w:val="00733FFD"/>
    <w:rsid w:val="00737FB5"/>
    <w:rsid w:val="00755FC2"/>
    <w:rsid w:val="00771056"/>
    <w:rsid w:val="00775B5B"/>
    <w:rsid w:val="007772D7"/>
    <w:rsid w:val="00777FAF"/>
    <w:rsid w:val="0078568B"/>
    <w:rsid w:val="00797DDB"/>
    <w:rsid w:val="007A0B08"/>
    <w:rsid w:val="007A116F"/>
    <w:rsid w:val="007A294F"/>
    <w:rsid w:val="007A36AB"/>
    <w:rsid w:val="007B733F"/>
    <w:rsid w:val="007C0869"/>
    <w:rsid w:val="007C1AFF"/>
    <w:rsid w:val="007C29DB"/>
    <w:rsid w:val="007C3247"/>
    <w:rsid w:val="007D39EA"/>
    <w:rsid w:val="007E144B"/>
    <w:rsid w:val="007E3BA0"/>
    <w:rsid w:val="007E4B7C"/>
    <w:rsid w:val="007E6673"/>
    <w:rsid w:val="007F134B"/>
    <w:rsid w:val="007F2248"/>
    <w:rsid w:val="007F311A"/>
    <w:rsid w:val="008048E1"/>
    <w:rsid w:val="00806602"/>
    <w:rsid w:val="00822478"/>
    <w:rsid w:val="0082797E"/>
    <w:rsid w:val="00834A10"/>
    <w:rsid w:val="008357B9"/>
    <w:rsid w:val="008427F4"/>
    <w:rsid w:val="00842AEC"/>
    <w:rsid w:val="008448CD"/>
    <w:rsid w:val="008474DC"/>
    <w:rsid w:val="0085377A"/>
    <w:rsid w:val="00853F6B"/>
    <w:rsid w:val="00855D7E"/>
    <w:rsid w:val="008724ED"/>
    <w:rsid w:val="008738D1"/>
    <w:rsid w:val="00890DC0"/>
    <w:rsid w:val="008924CC"/>
    <w:rsid w:val="00892C88"/>
    <w:rsid w:val="0089302F"/>
    <w:rsid w:val="00894AA7"/>
    <w:rsid w:val="008B038F"/>
    <w:rsid w:val="008B4007"/>
    <w:rsid w:val="008C3FA3"/>
    <w:rsid w:val="008C4CB6"/>
    <w:rsid w:val="008D3E7F"/>
    <w:rsid w:val="008D4460"/>
    <w:rsid w:val="008D48DD"/>
    <w:rsid w:val="008D4D38"/>
    <w:rsid w:val="008D5C3F"/>
    <w:rsid w:val="008E0143"/>
    <w:rsid w:val="008E176A"/>
    <w:rsid w:val="008E4E9F"/>
    <w:rsid w:val="008F178B"/>
    <w:rsid w:val="008F48B4"/>
    <w:rsid w:val="0091557E"/>
    <w:rsid w:val="00926BB6"/>
    <w:rsid w:val="00932323"/>
    <w:rsid w:val="0093377F"/>
    <w:rsid w:val="00940436"/>
    <w:rsid w:val="00961490"/>
    <w:rsid w:val="00963F03"/>
    <w:rsid w:val="00963FB9"/>
    <w:rsid w:val="009656BF"/>
    <w:rsid w:val="00965A6B"/>
    <w:rsid w:val="00971232"/>
    <w:rsid w:val="009800A8"/>
    <w:rsid w:val="00986817"/>
    <w:rsid w:val="00990C62"/>
    <w:rsid w:val="00993ED9"/>
    <w:rsid w:val="00997796"/>
    <w:rsid w:val="009A418D"/>
    <w:rsid w:val="009A6082"/>
    <w:rsid w:val="009B0DE6"/>
    <w:rsid w:val="009B0FE2"/>
    <w:rsid w:val="009B1179"/>
    <w:rsid w:val="009B78EF"/>
    <w:rsid w:val="009C37B5"/>
    <w:rsid w:val="009C7000"/>
    <w:rsid w:val="009D3C21"/>
    <w:rsid w:val="009D64BC"/>
    <w:rsid w:val="009E474C"/>
    <w:rsid w:val="009F13F3"/>
    <w:rsid w:val="009F280D"/>
    <w:rsid w:val="009F5BB5"/>
    <w:rsid w:val="009F6ADC"/>
    <w:rsid w:val="00A10476"/>
    <w:rsid w:val="00A12343"/>
    <w:rsid w:val="00A16EC1"/>
    <w:rsid w:val="00A226F6"/>
    <w:rsid w:val="00A248AB"/>
    <w:rsid w:val="00A249BC"/>
    <w:rsid w:val="00A25177"/>
    <w:rsid w:val="00A44B94"/>
    <w:rsid w:val="00A46C15"/>
    <w:rsid w:val="00A4760A"/>
    <w:rsid w:val="00A52D51"/>
    <w:rsid w:val="00A54C27"/>
    <w:rsid w:val="00A65D75"/>
    <w:rsid w:val="00A7502C"/>
    <w:rsid w:val="00A7536A"/>
    <w:rsid w:val="00A829AB"/>
    <w:rsid w:val="00A87FFE"/>
    <w:rsid w:val="00A902E1"/>
    <w:rsid w:val="00A9794B"/>
    <w:rsid w:val="00AB0C28"/>
    <w:rsid w:val="00AB3F69"/>
    <w:rsid w:val="00AC0818"/>
    <w:rsid w:val="00AC169E"/>
    <w:rsid w:val="00AC5D0C"/>
    <w:rsid w:val="00AC72BC"/>
    <w:rsid w:val="00AD08D3"/>
    <w:rsid w:val="00AD4A51"/>
    <w:rsid w:val="00AD7F7F"/>
    <w:rsid w:val="00AF235E"/>
    <w:rsid w:val="00AF59F8"/>
    <w:rsid w:val="00AF5D14"/>
    <w:rsid w:val="00AF703F"/>
    <w:rsid w:val="00AF78E7"/>
    <w:rsid w:val="00B020AC"/>
    <w:rsid w:val="00B055BD"/>
    <w:rsid w:val="00B14881"/>
    <w:rsid w:val="00B168C2"/>
    <w:rsid w:val="00B253AC"/>
    <w:rsid w:val="00B26FB9"/>
    <w:rsid w:val="00B424A5"/>
    <w:rsid w:val="00B46616"/>
    <w:rsid w:val="00B542DA"/>
    <w:rsid w:val="00B57726"/>
    <w:rsid w:val="00B61A18"/>
    <w:rsid w:val="00B62D0D"/>
    <w:rsid w:val="00B93E15"/>
    <w:rsid w:val="00B96D9F"/>
    <w:rsid w:val="00BA0F39"/>
    <w:rsid w:val="00BA6916"/>
    <w:rsid w:val="00BB09DE"/>
    <w:rsid w:val="00BB3B84"/>
    <w:rsid w:val="00BB3D64"/>
    <w:rsid w:val="00BB4905"/>
    <w:rsid w:val="00BB4B33"/>
    <w:rsid w:val="00BB71D2"/>
    <w:rsid w:val="00BC3125"/>
    <w:rsid w:val="00BC31C6"/>
    <w:rsid w:val="00BD05AB"/>
    <w:rsid w:val="00BD0841"/>
    <w:rsid w:val="00BD24C7"/>
    <w:rsid w:val="00BD36D6"/>
    <w:rsid w:val="00BD7B11"/>
    <w:rsid w:val="00BE4699"/>
    <w:rsid w:val="00BE4725"/>
    <w:rsid w:val="00BE4A8E"/>
    <w:rsid w:val="00BE51FE"/>
    <w:rsid w:val="00BF5A31"/>
    <w:rsid w:val="00BF6899"/>
    <w:rsid w:val="00C01ADE"/>
    <w:rsid w:val="00C06A78"/>
    <w:rsid w:val="00C10383"/>
    <w:rsid w:val="00C14765"/>
    <w:rsid w:val="00C164DC"/>
    <w:rsid w:val="00C17C01"/>
    <w:rsid w:val="00C202A4"/>
    <w:rsid w:val="00C20DCC"/>
    <w:rsid w:val="00C21E82"/>
    <w:rsid w:val="00C254DF"/>
    <w:rsid w:val="00C3548D"/>
    <w:rsid w:val="00C3675E"/>
    <w:rsid w:val="00C422E4"/>
    <w:rsid w:val="00C44BC5"/>
    <w:rsid w:val="00C51F12"/>
    <w:rsid w:val="00C51FC1"/>
    <w:rsid w:val="00C55E83"/>
    <w:rsid w:val="00C5798B"/>
    <w:rsid w:val="00C63675"/>
    <w:rsid w:val="00C76705"/>
    <w:rsid w:val="00C76B51"/>
    <w:rsid w:val="00C771F5"/>
    <w:rsid w:val="00C842F8"/>
    <w:rsid w:val="00C916FC"/>
    <w:rsid w:val="00C953B0"/>
    <w:rsid w:val="00CB3AB3"/>
    <w:rsid w:val="00CB54C9"/>
    <w:rsid w:val="00CC47C0"/>
    <w:rsid w:val="00CC714D"/>
    <w:rsid w:val="00CD33AA"/>
    <w:rsid w:val="00CE0292"/>
    <w:rsid w:val="00CE0C47"/>
    <w:rsid w:val="00CF0F7B"/>
    <w:rsid w:val="00D01BC2"/>
    <w:rsid w:val="00D02140"/>
    <w:rsid w:val="00D05657"/>
    <w:rsid w:val="00D058FD"/>
    <w:rsid w:val="00D1235E"/>
    <w:rsid w:val="00D244E5"/>
    <w:rsid w:val="00D24B0A"/>
    <w:rsid w:val="00D30036"/>
    <w:rsid w:val="00D40CCF"/>
    <w:rsid w:val="00D41EE7"/>
    <w:rsid w:val="00D4245F"/>
    <w:rsid w:val="00D44ABC"/>
    <w:rsid w:val="00D4587C"/>
    <w:rsid w:val="00D71478"/>
    <w:rsid w:val="00D71D11"/>
    <w:rsid w:val="00D81B93"/>
    <w:rsid w:val="00D8403B"/>
    <w:rsid w:val="00DA4973"/>
    <w:rsid w:val="00DB3C77"/>
    <w:rsid w:val="00DB6079"/>
    <w:rsid w:val="00DC1D6A"/>
    <w:rsid w:val="00DC4BF3"/>
    <w:rsid w:val="00DC7AD3"/>
    <w:rsid w:val="00DE3C81"/>
    <w:rsid w:val="00DE70A9"/>
    <w:rsid w:val="00DF2D09"/>
    <w:rsid w:val="00DF6790"/>
    <w:rsid w:val="00DF7D8D"/>
    <w:rsid w:val="00E0049D"/>
    <w:rsid w:val="00E00EFC"/>
    <w:rsid w:val="00E052F5"/>
    <w:rsid w:val="00E10C91"/>
    <w:rsid w:val="00E11A6E"/>
    <w:rsid w:val="00E11FE9"/>
    <w:rsid w:val="00E12D04"/>
    <w:rsid w:val="00E151F1"/>
    <w:rsid w:val="00E20CD1"/>
    <w:rsid w:val="00E22CB6"/>
    <w:rsid w:val="00E23930"/>
    <w:rsid w:val="00E27FC4"/>
    <w:rsid w:val="00E3644C"/>
    <w:rsid w:val="00E4435B"/>
    <w:rsid w:val="00E450A7"/>
    <w:rsid w:val="00E545D8"/>
    <w:rsid w:val="00E54A32"/>
    <w:rsid w:val="00E61F0D"/>
    <w:rsid w:val="00E6486A"/>
    <w:rsid w:val="00E7042E"/>
    <w:rsid w:val="00E718C4"/>
    <w:rsid w:val="00E74317"/>
    <w:rsid w:val="00E75154"/>
    <w:rsid w:val="00E760C3"/>
    <w:rsid w:val="00E8356E"/>
    <w:rsid w:val="00E8459A"/>
    <w:rsid w:val="00E8749A"/>
    <w:rsid w:val="00E91EE0"/>
    <w:rsid w:val="00E937FC"/>
    <w:rsid w:val="00E97311"/>
    <w:rsid w:val="00EA1CCA"/>
    <w:rsid w:val="00EA376F"/>
    <w:rsid w:val="00EA6CD2"/>
    <w:rsid w:val="00EB049B"/>
    <w:rsid w:val="00EB4A39"/>
    <w:rsid w:val="00EB758D"/>
    <w:rsid w:val="00EC3DE6"/>
    <w:rsid w:val="00EC7EB7"/>
    <w:rsid w:val="00ED1F20"/>
    <w:rsid w:val="00ED6C90"/>
    <w:rsid w:val="00EE7C07"/>
    <w:rsid w:val="00EF03B3"/>
    <w:rsid w:val="00F03E47"/>
    <w:rsid w:val="00F077A2"/>
    <w:rsid w:val="00F10C5C"/>
    <w:rsid w:val="00F12FEF"/>
    <w:rsid w:val="00F20A05"/>
    <w:rsid w:val="00F22288"/>
    <w:rsid w:val="00F248D8"/>
    <w:rsid w:val="00F322AB"/>
    <w:rsid w:val="00F35598"/>
    <w:rsid w:val="00F401B7"/>
    <w:rsid w:val="00F41F8E"/>
    <w:rsid w:val="00F44B55"/>
    <w:rsid w:val="00F45357"/>
    <w:rsid w:val="00F476A6"/>
    <w:rsid w:val="00F47F9C"/>
    <w:rsid w:val="00F60181"/>
    <w:rsid w:val="00F804CA"/>
    <w:rsid w:val="00F81A7D"/>
    <w:rsid w:val="00F83A74"/>
    <w:rsid w:val="00F848D4"/>
    <w:rsid w:val="00F8597B"/>
    <w:rsid w:val="00F90CC9"/>
    <w:rsid w:val="00F92EC5"/>
    <w:rsid w:val="00F93076"/>
    <w:rsid w:val="00FA0D83"/>
    <w:rsid w:val="00FA14D3"/>
    <w:rsid w:val="00FB1449"/>
    <w:rsid w:val="00FB42AA"/>
    <w:rsid w:val="00FC432A"/>
    <w:rsid w:val="00FC5841"/>
    <w:rsid w:val="00FC5D0E"/>
    <w:rsid w:val="00FC6981"/>
    <w:rsid w:val="00FC6D53"/>
    <w:rsid w:val="00FC6E65"/>
    <w:rsid w:val="00FD3867"/>
    <w:rsid w:val="00FD55F9"/>
    <w:rsid w:val="00FD5A69"/>
    <w:rsid w:val="00FD6062"/>
    <w:rsid w:val="00FE02CF"/>
    <w:rsid w:val="00FE421F"/>
    <w:rsid w:val="00FF0C29"/>
    <w:rsid w:val="00FF4B77"/>
    <w:rsid w:val="0160DE4C"/>
    <w:rsid w:val="0181CEB4"/>
    <w:rsid w:val="01F87536"/>
    <w:rsid w:val="025D6BD0"/>
    <w:rsid w:val="0317D0CD"/>
    <w:rsid w:val="04066662"/>
    <w:rsid w:val="04396A3A"/>
    <w:rsid w:val="04C7C402"/>
    <w:rsid w:val="05FDB365"/>
    <w:rsid w:val="0633D95D"/>
    <w:rsid w:val="0658E88F"/>
    <w:rsid w:val="06B64EF7"/>
    <w:rsid w:val="06CC672B"/>
    <w:rsid w:val="072B3094"/>
    <w:rsid w:val="07789C4E"/>
    <w:rsid w:val="0793DA5B"/>
    <w:rsid w:val="0947968C"/>
    <w:rsid w:val="09CA07E3"/>
    <w:rsid w:val="0A046A7D"/>
    <w:rsid w:val="0B2E8967"/>
    <w:rsid w:val="0BA15963"/>
    <w:rsid w:val="0D2FF957"/>
    <w:rsid w:val="0D9F228D"/>
    <w:rsid w:val="0DB7419F"/>
    <w:rsid w:val="0DE28E55"/>
    <w:rsid w:val="0E4D18E0"/>
    <w:rsid w:val="10DDBFB0"/>
    <w:rsid w:val="11208FEE"/>
    <w:rsid w:val="12601520"/>
    <w:rsid w:val="12923948"/>
    <w:rsid w:val="13386DEB"/>
    <w:rsid w:val="13E9F98B"/>
    <w:rsid w:val="13EBEC21"/>
    <w:rsid w:val="163F4FD9"/>
    <w:rsid w:val="1685EA88"/>
    <w:rsid w:val="16EFE83D"/>
    <w:rsid w:val="17417006"/>
    <w:rsid w:val="184E5964"/>
    <w:rsid w:val="184EC7B6"/>
    <w:rsid w:val="184F6AFD"/>
    <w:rsid w:val="18E71AD7"/>
    <w:rsid w:val="199E1A3B"/>
    <w:rsid w:val="1A434A3A"/>
    <w:rsid w:val="1A5C335C"/>
    <w:rsid w:val="1A8DEE92"/>
    <w:rsid w:val="1B25788E"/>
    <w:rsid w:val="1C4A7A85"/>
    <w:rsid w:val="1D01768B"/>
    <w:rsid w:val="1D627438"/>
    <w:rsid w:val="1DA3FB84"/>
    <w:rsid w:val="1E45F550"/>
    <w:rsid w:val="2015D2B3"/>
    <w:rsid w:val="202187AF"/>
    <w:rsid w:val="203556A8"/>
    <w:rsid w:val="20A37407"/>
    <w:rsid w:val="211D3BDD"/>
    <w:rsid w:val="21640BA3"/>
    <w:rsid w:val="2263DDA4"/>
    <w:rsid w:val="2306A41F"/>
    <w:rsid w:val="2441F561"/>
    <w:rsid w:val="2539B5C4"/>
    <w:rsid w:val="25BCE8A4"/>
    <w:rsid w:val="2644FE39"/>
    <w:rsid w:val="26D18D01"/>
    <w:rsid w:val="2732B1EC"/>
    <w:rsid w:val="2961F671"/>
    <w:rsid w:val="2BB95A2F"/>
    <w:rsid w:val="2CFF6A12"/>
    <w:rsid w:val="2DA79E41"/>
    <w:rsid w:val="2E45C4E5"/>
    <w:rsid w:val="3077BCCA"/>
    <w:rsid w:val="3089872A"/>
    <w:rsid w:val="30A7E9CA"/>
    <w:rsid w:val="31266748"/>
    <w:rsid w:val="31522FB1"/>
    <w:rsid w:val="32ADEE52"/>
    <w:rsid w:val="32DB8F90"/>
    <w:rsid w:val="34433256"/>
    <w:rsid w:val="348F5975"/>
    <w:rsid w:val="3504A1C8"/>
    <w:rsid w:val="35280005"/>
    <w:rsid w:val="35FB8DB0"/>
    <w:rsid w:val="36258671"/>
    <w:rsid w:val="37116042"/>
    <w:rsid w:val="385E2525"/>
    <w:rsid w:val="3AFC48B9"/>
    <w:rsid w:val="3B0F5FA1"/>
    <w:rsid w:val="3C16EFE4"/>
    <w:rsid w:val="3C900E9C"/>
    <w:rsid w:val="3CC9BCAF"/>
    <w:rsid w:val="3F6571AE"/>
    <w:rsid w:val="3F694639"/>
    <w:rsid w:val="3FC47E9A"/>
    <w:rsid w:val="3FEA3501"/>
    <w:rsid w:val="405F0A45"/>
    <w:rsid w:val="407DEB4D"/>
    <w:rsid w:val="40F223C5"/>
    <w:rsid w:val="425E7642"/>
    <w:rsid w:val="42FC047E"/>
    <w:rsid w:val="433184AA"/>
    <w:rsid w:val="434CFAC5"/>
    <w:rsid w:val="439A3935"/>
    <w:rsid w:val="44718009"/>
    <w:rsid w:val="44C14FB5"/>
    <w:rsid w:val="4504B674"/>
    <w:rsid w:val="450B2469"/>
    <w:rsid w:val="45149178"/>
    <w:rsid w:val="452C4243"/>
    <w:rsid w:val="457499BC"/>
    <w:rsid w:val="461255AB"/>
    <w:rsid w:val="46E8FC19"/>
    <w:rsid w:val="47C23837"/>
    <w:rsid w:val="4834073D"/>
    <w:rsid w:val="4892FD71"/>
    <w:rsid w:val="4904B85B"/>
    <w:rsid w:val="4A5F57CD"/>
    <w:rsid w:val="4BF399E2"/>
    <w:rsid w:val="4C69082B"/>
    <w:rsid w:val="4C81393F"/>
    <w:rsid w:val="4CC496A9"/>
    <w:rsid w:val="4D3D833A"/>
    <w:rsid w:val="4FF8A749"/>
    <w:rsid w:val="510879E4"/>
    <w:rsid w:val="51DF28E9"/>
    <w:rsid w:val="52870826"/>
    <w:rsid w:val="53A4D11E"/>
    <w:rsid w:val="54E49A3F"/>
    <w:rsid w:val="55368E39"/>
    <w:rsid w:val="56B4BDEB"/>
    <w:rsid w:val="56CF6A9A"/>
    <w:rsid w:val="586349B8"/>
    <w:rsid w:val="587C4D15"/>
    <w:rsid w:val="5990785E"/>
    <w:rsid w:val="59FCD3B3"/>
    <w:rsid w:val="5A7EA358"/>
    <w:rsid w:val="5ACC497F"/>
    <w:rsid w:val="5B835E18"/>
    <w:rsid w:val="5BCF2532"/>
    <w:rsid w:val="5CAB3B9F"/>
    <w:rsid w:val="5D0B8D63"/>
    <w:rsid w:val="5D32B004"/>
    <w:rsid w:val="5E31FEC6"/>
    <w:rsid w:val="5F321D56"/>
    <w:rsid w:val="5FBB7EAD"/>
    <w:rsid w:val="5FD62F76"/>
    <w:rsid w:val="60787439"/>
    <w:rsid w:val="60CD5A51"/>
    <w:rsid w:val="60E3807E"/>
    <w:rsid w:val="61408440"/>
    <w:rsid w:val="6173F506"/>
    <w:rsid w:val="61C57C6A"/>
    <w:rsid w:val="62D72232"/>
    <w:rsid w:val="647ECC45"/>
    <w:rsid w:val="66958F4B"/>
    <w:rsid w:val="66B305A6"/>
    <w:rsid w:val="68A7C0BE"/>
    <w:rsid w:val="68E950AE"/>
    <w:rsid w:val="691B9367"/>
    <w:rsid w:val="6973A8D8"/>
    <w:rsid w:val="69C83FB6"/>
    <w:rsid w:val="6A15ABF7"/>
    <w:rsid w:val="6AA9FA21"/>
    <w:rsid w:val="6B8E3427"/>
    <w:rsid w:val="6BB5C4A6"/>
    <w:rsid w:val="6BF7CA92"/>
    <w:rsid w:val="6D87787F"/>
    <w:rsid w:val="71DA0184"/>
    <w:rsid w:val="72056AAA"/>
    <w:rsid w:val="7292FFF0"/>
    <w:rsid w:val="746DC0F6"/>
    <w:rsid w:val="7567F534"/>
    <w:rsid w:val="778B9C06"/>
    <w:rsid w:val="78CE0077"/>
    <w:rsid w:val="7918E500"/>
    <w:rsid w:val="79191FC9"/>
    <w:rsid w:val="7A7FECF5"/>
    <w:rsid w:val="7AB0644C"/>
    <w:rsid w:val="7ACBF532"/>
    <w:rsid w:val="7C92BCEE"/>
    <w:rsid w:val="7CD627DC"/>
    <w:rsid w:val="7CE2D131"/>
    <w:rsid w:val="7DD2A100"/>
    <w:rsid w:val="7DFF734F"/>
    <w:rsid w:val="7F38AE0D"/>
    <w:rsid w:val="7F52A394"/>
    <w:rsid w:val="7FE49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525F"/>
  <w15:chartTrackingRefBased/>
  <w15:docId w15:val="{193A2F21-69C6-4FA2-89AF-3219D8A9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1F5"/>
    <w:rPr>
      <w:rFonts w:eastAsiaTheme="majorEastAsia" w:cstheme="majorBidi"/>
      <w:color w:val="272727" w:themeColor="text1" w:themeTint="D8"/>
    </w:rPr>
  </w:style>
  <w:style w:type="paragraph" w:styleId="Title">
    <w:name w:val="Title"/>
    <w:basedOn w:val="Normal"/>
    <w:next w:val="Normal"/>
    <w:link w:val="TitleChar"/>
    <w:uiPriority w:val="10"/>
    <w:qFormat/>
    <w:rsid w:val="00C77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1F5"/>
    <w:pPr>
      <w:spacing w:before="160"/>
      <w:jc w:val="center"/>
    </w:pPr>
    <w:rPr>
      <w:i/>
      <w:iCs/>
      <w:color w:val="404040" w:themeColor="text1" w:themeTint="BF"/>
    </w:rPr>
  </w:style>
  <w:style w:type="character" w:customStyle="1" w:styleId="QuoteChar">
    <w:name w:val="Quote Char"/>
    <w:basedOn w:val="DefaultParagraphFont"/>
    <w:link w:val="Quote"/>
    <w:uiPriority w:val="29"/>
    <w:rsid w:val="00C771F5"/>
    <w:rPr>
      <w:i/>
      <w:iCs/>
      <w:color w:val="404040" w:themeColor="text1" w:themeTint="BF"/>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C771F5"/>
    <w:pPr>
      <w:ind w:left="720"/>
      <w:contextualSpacing/>
    </w:pPr>
  </w:style>
  <w:style w:type="character" w:styleId="IntenseEmphasis">
    <w:name w:val="Intense Emphasis"/>
    <w:basedOn w:val="DefaultParagraphFont"/>
    <w:uiPriority w:val="21"/>
    <w:qFormat/>
    <w:rsid w:val="00C771F5"/>
    <w:rPr>
      <w:i/>
      <w:iCs/>
      <w:color w:val="0F4761" w:themeColor="accent1" w:themeShade="BF"/>
    </w:rPr>
  </w:style>
  <w:style w:type="paragraph" w:styleId="IntenseQuote">
    <w:name w:val="Intense Quote"/>
    <w:basedOn w:val="Normal"/>
    <w:next w:val="Normal"/>
    <w:link w:val="IntenseQuoteChar"/>
    <w:uiPriority w:val="30"/>
    <w:qFormat/>
    <w:rsid w:val="00C77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1F5"/>
    <w:rPr>
      <w:i/>
      <w:iCs/>
      <w:color w:val="0F4761" w:themeColor="accent1" w:themeShade="BF"/>
    </w:rPr>
  </w:style>
  <w:style w:type="character" w:styleId="IntenseReference">
    <w:name w:val="Intense Reference"/>
    <w:basedOn w:val="DefaultParagraphFont"/>
    <w:uiPriority w:val="32"/>
    <w:qFormat/>
    <w:rsid w:val="00C771F5"/>
    <w:rPr>
      <w:b/>
      <w:bCs/>
      <w:smallCaps/>
      <w:color w:val="0F4761" w:themeColor="accent1" w:themeShade="BF"/>
      <w:spacing w:val="5"/>
    </w:rPr>
  </w:style>
  <w:style w:type="table" w:styleId="TableGrid">
    <w:name w:val="Table Grid"/>
    <w:basedOn w:val="TableNormal"/>
    <w:uiPriority w:val="39"/>
    <w:rsid w:val="0002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69E"/>
    <w:pPr>
      <w:spacing w:after="0" w:line="240" w:lineRule="auto"/>
    </w:pPr>
  </w:style>
  <w:style w:type="character" w:styleId="CommentReference">
    <w:name w:val="annotation reference"/>
    <w:basedOn w:val="DefaultParagraphFont"/>
    <w:uiPriority w:val="99"/>
    <w:semiHidden/>
    <w:unhideWhenUsed/>
    <w:rsid w:val="00C76B51"/>
    <w:rPr>
      <w:sz w:val="16"/>
      <w:szCs w:val="16"/>
    </w:rPr>
  </w:style>
  <w:style w:type="paragraph" w:styleId="CommentText">
    <w:name w:val="annotation text"/>
    <w:basedOn w:val="Normal"/>
    <w:link w:val="CommentTextChar"/>
    <w:uiPriority w:val="99"/>
    <w:unhideWhenUsed/>
    <w:rsid w:val="00C76B51"/>
    <w:pPr>
      <w:spacing w:line="240" w:lineRule="auto"/>
    </w:pPr>
    <w:rPr>
      <w:kern w:val="0"/>
      <w:sz w:val="20"/>
      <w:szCs w:val="20"/>
      <w:lang w:val="lt-LT"/>
      <w14:ligatures w14:val="none"/>
    </w:rPr>
  </w:style>
  <w:style w:type="character" w:customStyle="1" w:styleId="CommentTextChar">
    <w:name w:val="Comment Text Char"/>
    <w:basedOn w:val="DefaultParagraphFont"/>
    <w:link w:val="CommentText"/>
    <w:uiPriority w:val="99"/>
    <w:rsid w:val="00C76B51"/>
    <w:rPr>
      <w:kern w:val="0"/>
      <w:sz w:val="20"/>
      <w:szCs w:val="20"/>
      <w:lang w:val="lt-LT"/>
      <w14:ligatures w14:val="none"/>
    </w:rPr>
  </w:style>
  <w:style w:type="character" w:styleId="Strong">
    <w:name w:val="Strong"/>
    <w:basedOn w:val="DefaultParagraphFont"/>
    <w:uiPriority w:val="22"/>
    <w:qFormat/>
    <w:rsid w:val="002D2249"/>
    <w:rPr>
      <w:b/>
      <w:bCs/>
    </w:rPr>
  </w:style>
  <w:style w:type="paragraph" w:styleId="CommentSubject">
    <w:name w:val="annotation subject"/>
    <w:basedOn w:val="CommentText"/>
    <w:next w:val="CommentText"/>
    <w:link w:val="CommentSubjectChar"/>
    <w:uiPriority w:val="99"/>
    <w:semiHidden/>
    <w:unhideWhenUsed/>
    <w:rsid w:val="00367AEC"/>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367AEC"/>
    <w:rPr>
      <w:b/>
      <w:bCs/>
      <w:kern w:val="0"/>
      <w:sz w:val="20"/>
      <w:szCs w:val="20"/>
      <w:lang w:val="lt-LT"/>
      <w14:ligatures w14:val="none"/>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F20A05"/>
  </w:style>
  <w:style w:type="paragraph" w:customStyle="1" w:styleId="xmsonormal">
    <w:name w:val="x_msonormal"/>
    <w:basedOn w:val="Normal"/>
    <w:rsid w:val="00F20A05"/>
    <w:pPr>
      <w:spacing w:after="0" w:line="240" w:lineRule="auto"/>
    </w:pPr>
    <w:rPr>
      <w:rFonts w:ascii="Aptos" w:hAnsi="Aptos" w:cs="Aptos"/>
      <w:kern w:val="0"/>
      <w:sz w:val="22"/>
      <w:szCs w:val="22"/>
      <w:lang w:val="lt-LT" w:eastAsia="lt-LT"/>
      <w14:ligatures w14:val="none"/>
    </w:rPr>
  </w:style>
  <w:style w:type="paragraph" w:styleId="NormalWeb">
    <w:name w:val="Normal (Web)"/>
    <w:basedOn w:val="Normal"/>
    <w:uiPriority w:val="99"/>
    <w:semiHidden/>
    <w:unhideWhenUsed/>
    <w:rsid w:val="004724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FC520-7FC5-4C60-95E9-35815FE20D62}">
  <ds:schemaRefs>
    <ds:schemaRef ds:uri="http://schemas.openxmlformats.org/officeDocument/2006/bibliography"/>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6443</Words>
  <Characters>3674</Characters>
  <Application>Microsoft Office Word</Application>
  <DocSecurity>0</DocSecurity>
  <Lines>30</Lines>
  <Paragraphs>20</Paragraphs>
  <ScaleCrop>false</ScaleCrop>
  <Company/>
  <LinksUpToDate>false</LinksUpToDate>
  <CharactersWithSpaces>10097</CharactersWithSpaces>
  <SharedDoc>false</SharedDoc>
  <HLinks>
    <vt:vector size="6" baseType="variant">
      <vt:variant>
        <vt:i4>1245280</vt:i4>
      </vt:variant>
      <vt:variant>
        <vt:i4>0</vt:i4>
      </vt:variant>
      <vt:variant>
        <vt:i4>0</vt:i4>
      </vt:variant>
      <vt:variant>
        <vt:i4>5</vt:i4>
      </vt:variant>
      <vt:variant>
        <vt:lpwstr>mailto:raimonda.zukauskaite@vert.lt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Maciūtė</dc:creator>
  <cp:lastModifiedBy>Ilona Kobzar</cp:lastModifiedBy>
  <cp:revision>13</cp:revision>
  <dcterms:created xsi:type="dcterms:W3CDTF">2026-06-25T12:31:00Z</dcterms:created>
  <dcterms:modified xsi:type="dcterms:W3CDTF">2026-06-26T07:00:00Z</dcterms:modified>
</cp:coreProperties>
</file>