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28EE" w14:textId="3ECD1950" w:rsidR="00A9296E" w:rsidRPr="00D57509" w:rsidRDefault="00A9296E" w:rsidP="00A9296E">
      <w:pPr>
        <w:ind w:left="7230"/>
        <w:jc w:val="both"/>
        <w:rPr>
          <w:szCs w:val="24"/>
        </w:rPr>
      </w:pPr>
      <w:r>
        <w:rPr>
          <w:szCs w:val="24"/>
        </w:rPr>
        <w:t>Pirkimo</w:t>
      </w:r>
      <w:r w:rsidRPr="00D57509">
        <w:rPr>
          <w:szCs w:val="24"/>
        </w:rPr>
        <w:t xml:space="preserve"> sąlygų</w:t>
      </w:r>
    </w:p>
    <w:p w14:paraId="14CE2986" w14:textId="77777777" w:rsidR="00A9296E" w:rsidRPr="00A9296E" w:rsidRDefault="00A9296E" w:rsidP="00A9296E">
      <w:pPr>
        <w:ind w:left="7230"/>
        <w:jc w:val="both"/>
        <w:rPr>
          <w:b/>
          <w:bCs/>
          <w:szCs w:val="24"/>
        </w:rPr>
      </w:pPr>
      <w:r w:rsidRPr="00A9296E">
        <w:rPr>
          <w:b/>
          <w:bCs/>
          <w:szCs w:val="24"/>
          <w:lang w:eastAsia="lt-LT"/>
        </w:rPr>
        <w:t>1 priedas</w:t>
      </w:r>
    </w:p>
    <w:p w14:paraId="441BC535" w14:textId="77777777" w:rsidR="00A9296E" w:rsidRDefault="00A9296E" w:rsidP="00A9296E">
      <w:pPr>
        <w:jc w:val="center"/>
        <w:rPr>
          <w:b/>
          <w:bCs/>
          <w:caps/>
          <w:szCs w:val="24"/>
        </w:rPr>
      </w:pPr>
    </w:p>
    <w:p w14:paraId="186964D6" w14:textId="77777777" w:rsidR="00A9296E" w:rsidRPr="00D57509" w:rsidRDefault="00A9296E" w:rsidP="00A9296E">
      <w:pPr>
        <w:jc w:val="center"/>
        <w:rPr>
          <w:b/>
          <w:bCs/>
          <w:caps/>
          <w:szCs w:val="24"/>
        </w:rPr>
      </w:pPr>
    </w:p>
    <w:p w14:paraId="78695FB0" w14:textId="4CA20B95" w:rsidR="00A9296E" w:rsidRPr="00D57509" w:rsidRDefault="00A9296E" w:rsidP="00A9296E">
      <w:pPr>
        <w:spacing w:line="276" w:lineRule="auto"/>
        <w:jc w:val="center"/>
        <w:rPr>
          <w:b/>
          <w:bCs/>
          <w:caps/>
          <w:szCs w:val="24"/>
        </w:rPr>
      </w:pPr>
      <w:r w:rsidRPr="00D57509">
        <w:rPr>
          <w:b/>
          <w:bCs/>
          <w:szCs w:val="24"/>
        </w:rPr>
        <w:t xml:space="preserve">INICIATYVOS „SOCIALINIS RECEPTAS“ EFEKTYVAUS ĮGYVENDINIMO GALIMYBIŲ VERTINIMO </w:t>
      </w:r>
      <w:r w:rsidRPr="00D57509">
        <w:rPr>
          <w:b/>
          <w:bCs/>
          <w:caps/>
          <w:szCs w:val="24"/>
        </w:rPr>
        <w:t>paslaugŲ</w:t>
      </w:r>
      <w:r w:rsidRPr="00D57509">
        <w:rPr>
          <w:b/>
          <w:szCs w:val="24"/>
        </w:rPr>
        <w:t xml:space="preserve"> TECHNINĖ SPECIFIKACIJA</w:t>
      </w:r>
    </w:p>
    <w:p w14:paraId="7D88D02E" w14:textId="77777777" w:rsidR="00A9296E" w:rsidRDefault="00A9296E" w:rsidP="00A9296E">
      <w:pPr>
        <w:tabs>
          <w:tab w:val="left" w:pos="284"/>
        </w:tabs>
        <w:spacing w:line="276" w:lineRule="auto"/>
        <w:rPr>
          <w:szCs w:val="24"/>
          <w:lang w:eastAsia="lt-LT"/>
        </w:rPr>
      </w:pPr>
    </w:p>
    <w:p w14:paraId="04A76EA0" w14:textId="71A87673" w:rsidR="00A9296E" w:rsidRPr="004858A5" w:rsidRDefault="009A6363" w:rsidP="005B389F">
      <w:pPr>
        <w:keepNext/>
        <w:keepLines/>
        <w:spacing w:after="160" w:line="278" w:lineRule="auto"/>
        <w:jc w:val="center"/>
        <w:outlineLvl w:val="0"/>
        <w:rPr>
          <w:b/>
          <w:szCs w:val="24"/>
        </w:rPr>
      </w:pPr>
      <w:bookmarkStart w:id="0" w:name="_Toc414349961"/>
      <w:bookmarkStart w:id="1" w:name="_Toc414365136"/>
      <w:bookmarkStart w:id="2" w:name="_Toc434400998"/>
      <w:r>
        <w:rPr>
          <w:b/>
          <w:szCs w:val="24"/>
        </w:rPr>
        <w:t xml:space="preserve">I. </w:t>
      </w:r>
      <w:r w:rsidR="00A9296E" w:rsidRPr="004858A5">
        <w:rPr>
          <w:b/>
          <w:szCs w:val="24"/>
        </w:rPr>
        <w:t>ĮVADINĖ INFORMACIJA</w:t>
      </w:r>
      <w:bookmarkEnd w:id="0"/>
      <w:bookmarkEnd w:id="1"/>
      <w:bookmarkEnd w:id="2"/>
    </w:p>
    <w:p w14:paraId="264B919F" w14:textId="494298E3" w:rsidR="00A9296E" w:rsidRPr="004858A5" w:rsidRDefault="00A9296E" w:rsidP="00A9296E">
      <w:pPr>
        <w:jc w:val="both"/>
        <w:rPr>
          <w:b/>
          <w:szCs w:val="24"/>
        </w:rPr>
      </w:pPr>
      <w:bookmarkStart w:id="3" w:name="_Toc434400999"/>
      <w:bookmarkStart w:id="4" w:name="_Toc414287792"/>
      <w:bookmarkStart w:id="5" w:name="_Toc414349962"/>
      <w:bookmarkStart w:id="6" w:name="_Toc414365137"/>
      <w:r w:rsidRPr="004858A5">
        <w:rPr>
          <w:b/>
          <w:szCs w:val="24"/>
        </w:rPr>
        <w:t xml:space="preserve">1.1. Perkančioji organizacija - </w:t>
      </w:r>
      <w:r w:rsidRPr="004858A5">
        <w:rPr>
          <w:bCs/>
          <w:szCs w:val="24"/>
        </w:rPr>
        <w:t xml:space="preserve">Lietuvos Respublikos </w:t>
      </w:r>
      <w:r w:rsidR="005F729F">
        <w:rPr>
          <w:bCs/>
          <w:szCs w:val="24"/>
        </w:rPr>
        <w:t>k</w:t>
      </w:r>
      <w:r w:rsidRPr="004858A5">
        <w:rPr>
          <w:bCs/>
          <w:szCs w:val="24"/>
        </w:rPr>
        <w:t>ultūros ministerija.</w:t>
      </w:r>
    </w:p>
    <w:p w14:paraId="3C1E3BA8" w14:textId="77777777" w:rsidR="00A9296E" w:rsidRPr="004858A5" w:rsidRDefault="00A9296E" w:rsidP="00A9296E">
      <w:pPr>
        <w:jc w:val="both"/>
        <w:rPr>
          <w:b/>
          <w:szCs w:val="24"/>
        </w:rPr>
      </w:pPr>
    </w:p>
    <w:p w14:paraId="6EE36D07" w14:textId="77777777" w:rsidR="00A9296E" w:rsidRPr="004858A5" w:rsidRDefault="00A9296E" w:rsidP="00A9296E">
      <w:pPr>
        <w:jc w:val="both"/>
        <w:rPr>
          <w:szCs w:val="24"/>
        </w:rPr>
      </w:pPr>
      <w:r w:rsidRPr="004858A5">
        <w:rPr>
          <w:b/>
          <w:szCs w:val="24"/>
        </w:rPr>
        <w:t xml:space="preserve">1.2. Pirkimo objektas - </w:t>
      </w:r>
      <w:r w:rsidRPr="004858A5">
        <w:rPr>
          <w:szCs w:val="24"/>
        </w:rPr>
        <w:t>Iniciatyvos „Socialinis receptas“ efektyvaus įgyvendinimo galimybių vertinimas (toliau – paslauga).</w:t>
      </w:r>
    </w:p>
    <w:p w14:paraId="25DA8CF2" w14:textId="77777777" w:rsidR="00A9296E" w:rsidRPr="004858A5" w:rsidRDefault="00A9296E" w:rsidP="00A9296E">
      <w:pPr>
        <w:jc w:val="both"/>
        <w:rPr>
          <w:b/>
          <w:szCs w:val="24"/>
        </w:rPr>
      </w:pPr>
    </w:p>
    <w:p w14:paraId="4C5DECDD" w14:textId="43F95120" w:rsidR="00A9296E" w:rsidRPr="004858A5" w:rsidRDefault="00A9296E" w:rsidP="00A9296E">
      <w:pPr>
        <w:jc w:val="both"/>
        <w:rPr>
          <w:bCs/>
          <w:szCs w:val="24"/>
        </w:rPr>
      </w:pPr>
      <w:r w:rsidRPr="004858A5">
        <w:rPr>
          <w:b/>
          <w:szCs w:val="24"/>
        </w:rPr>
        <w:t xml:space="preserve">1.3. Pirkimo tikslas - </w:t>
      </w:r>
      <w:r w:rsidRPr="004858A5">
        <w:rPr>
          <w:bCs/>
          <w:szCs w:val="24"/>
        </w:rPr>
        <w:t>įvertinti esamą Iniciatyvos „Socialinis receptas“ koordinavimo ir administravimo modelį, atlikti 2024-2025 m. iniciatyvos įgyvendinimo analizę, identifikuoti pagrindinius tikslinės grupės pasiekiamumo, asmens sveikatos priežiūros įstaigų (ASPĮ), savivaldybių administracijų bei susijusių padalinių ir kitų tarpininkų įsitraukimo, bei administracinės naštos įgyvendinančioms institucijoms iššūkius, įvertinti tikslinės grupės (paslaugų gavėjų) poreikius, ir dalyvavimo barjerus   bei parengti 3 efektyvaus įgyvendinimo ir koordinavimo/</w:t>
      </w:r>
      <w:r w:rsidR="005F729F">
        <w:rPr>
          <w:bCs/>
          <w:szCs w:val="24"/>
        </w:rPr>
        <w:t xml:space="preserve"> </w:t>
      </w:r>
      <w:r w:rsidRPr="004858A5">
        <w:rPr>
          <w:bCs/>
          <w:szCs w:val="24"/>
        </w:rPr>
        <w:t xml:space="preserve">administravimo alternatyvas, numatant kiekvienai alternatyvai reikalingus teisinius, organizacinius, technologinius ir finansavimo sprendimus. </w:t>
      </w:r>
    </w:p>
    <w:p w14:paraId="4A54C907" w14:textId="77777777" w:rsidR="00A9296E" w:rsidRPr="004858A5" w:rsidRDefault="00A9296E" w:rsidP="00A9296E">
      <w:pPr>
        <w:ind w:firstLine="567"/>
        <w:jc w:val="both"/>
        <w:rPr>
          <w:b/>
          <w:szCs w:val="24"/>
        </w:rPr>
      </w:pPr>
    </w:p>
    <w:p w14:paraId="31B0FD37" w14:textId="77777777" w:rsidR="00A9296E" w:rsidRPr="004858A5" w:rsidRDefault="00A9296E" w:rsidP="00A9296E">
      <w:pPr>
        <w:jc w:val="center"/>
        <w:rPr>
          <w:b/>
          <w:szCs w:val="24"/>
        </w:rPr>
      </w:pPr>
      <w:bookmarkStart w:id="7" w:name="_Toc414287800"/>
      <w:bookmarkStart w:id="8" w:name="_Toc414365146"/>
      <w:bookmarkEnd w:id="3"/>
      <w:bookmarkEnd w:id="4"/>
      <w:bookmarkEnd w:id="5"/>
      <w:bookmarkEnd w:id="6"/>
      <w:r w:rsidRPr="004858A5">
        <w:rPr>
          <w:b/>
          <w:szCs w:val="24"/>
        </w:rPr>
        <w:t xml:space="preserve">II. </w:t>
      </w:r>
      <w:bookmarkStart w:id="9" w:name="_Toc414365147"/>
      <w:bookmarkEnd w:id="7"/>
      <w:bookmarkEnd w:id="8"/>
      <w:r w:rsidRPr="004858A5">
        <w:rPr>
          <w:b/>
          <w:szCs w:val="24"/>
        </w:rPr>
        <w:t>PIRKIMO OBJEKTO KONTEKSTAS IR UŽDAVINIAI</w:t>
      </w:r>
    </w:p>
    <w:p w14:paraId="6DEF017E" w14:textId="77777777" w:rsidR="00A9296E" w:rsidRPr="004858A5" w:rsidRDefault="00A9296E" w:rsidP="00A9296E">
      <w:pPr>
        <w:jc w:val="center"/>
        <w:rPr>
          <w:b/>
          <w:szCs w:val="24"/>
        </w:rPr>
      </w:pPr>
    </w:p>
    <w:p w14:paraId="051928CD" w14:textId="77777777" w:rsidR="00A9296E" w:rsidRPr="004858A5" w:rsidRDefault="00A9296E" w:rsidP="00A9296E">
      <w:pPr>
        <w:jc w:val="both"/>
        <w:rPr>
          <w:bCs/>
          <w:szCs w:val="24"/>
          <w:lang w:eastAsia="lt-LT"/>
        </w:rPr>
      </w:pPr>
      <w:r w:rsidRPr="004858A5">
        <w:rPr>
          <w:b/>
          <w:szCs w:val="24"/>
        </w:rPr>
        <w:t>2.1. Pirkimo objekto kontekstas:</w:t>
      </w:r>
    </w:p>
    <w:p w14:paraId="313EF4D9" w14:textId="77777777" w:rsidR="00A9296E" w:rsidRPr="004858A5" w:rsidRDefault="00A9296E" w:rsidP="00A9296E">
      <w:pPr>
        <w:spacing w:before="100" w:beforeAutospacing="1" w:after="100" w:afterAutospacing="1"/>
        <w:jc w:val="both"/>
        <w:rPr>
          <w:szCs w:val="24"/>
          <w:lang w:eastAsia="lt-LT"/>
        </w:rPr>
      </w:pPr>
      <w:r w:rsidRPr="004858A5">
        <w:rPr>
          <w:bCs/>
          <w:szCs w:val="24"/>
          <w:lang w:eastAsia="lt-LT"/>
        </w:rPr>
        <w:t>2.1.</w:t>
      </w:r>
      <w:bookmarkEnd w:id="9"/>
      <w:r w:rsidRPr="004858A5">
        <w:rPr>
          <w:bCs/>
          <w:szCs w:val="24"/>
          <w:lang w:eastAsia="lt-LT"/>
        </w:rPr>
        <w:t xml:space="preserve">1. </w:t>
      </w:r>
      <w:r w:rsidRPr="004858A5">
        <w:rPr>
          <w:szCs w:val="24"/>
          <w:lang w:eastAsia="lt-LT"/>
        </w:rPr>
        <w:t>Socialinis receptas – kultūros ir kūrybinių veiklų ciklai vyresnio amžiaus asmenims, patiriantiems vienišumą, emocinius sunkumus ar socialinę atskirtį. Veiklų tikslas – mažinti vienatvę, gerinti psichikos sveikatą ir skatinti socialinį įsitraukimą. Lietuvoje gyvena 555 976 vyresnio amžiaus žmonių, 46 % gyvena vieni, daugiau nei pusė jų patiria emocinių sunkumų.</w:t>
      </w:r>
    </w:p>
    <w:p w14:paraId="57440165" w14:textId="0BDEEF2B" w:rsidR="00A9296E" w:rsidRPr="004858A5" w:rsidRDefault="00A9296E" w:rsidP="00A9296E">
      <w:pPr>
        <w:spacing w:after="160"/>
        <w:jc w:val="both"/>
        <w:rPr>
          <w:szCs w:val="24"/>
          <w:lang w:eastAsia="lt-LT"/>
        </w:rPr>
      </w:pPr>
      <w:r w:rsidRPr="004858A5">
        <w:rPr>
          <w:szCs w:val="24"/>
          <w:lang w:eastAsia="lt-LT"/>
        </w:rPr>
        <w:t>L</w:t>
      </w:r>
      <w:r w:rsidR="005F729F">
        <w:rPr>
          <w:szCs w:val="24"/>
          <w:lang w:eastAsia="lt-LT"/>
        </w:rPr>
        <w:t>ietuvos Respublikos</w:t>
      </w:r>
      <w:r w:rsidRPr="004858A5">
        <w:rPr>
          <w:szCs w:val="24"/>
          <w:lang w:eastAsia="lt-LT"/>
        </w:rPr>
        <w:t xml:space="preserve"> </w:t>
      </w:r>
      <w:r w:rsidR="005F729F">
        <w:rPr>
          <w:szCs w:val="24"/>
          <w:lang w:eastAsia="lt-LT"/>
        </w:rPr>
        <w:t>k</w:t>
      </w:r>
      <w:r w:rsidRPr="004858A5">
        <w:rPr>
          <w:szCs w:val="24"/>
          <w:lang w:eastAsia="lt-LT"/>
        </w:rPr>
        <w:t>ultūros ministerija (toliau Kultūros ministerija) šio modelio apimtyje pažangos lėšomis finansuoja tik kultūros paslaugas, kompensuojant jų teikėjams pagal Europos socialinio fondo nustatytus fiksuotus įkainius. Teikiamoms paslaugoms nustato ir tvirtina kriterijus bei kitus įgyvendinimo principus. L</w:t>
      </w:r>
      <w:r w:rsidR="005F729F">
        <w:rPr>
          <w:szCs w:val="24"/>
          <w:lang w:eastAsia="lt-LT"/>
        </w:rPr>
        <w:t>ietuvos Respublikos s</w:t>
      </w:r>
      <w:r w:rsidRPr="004858A5">
        <w:rPr>
          <w:szCs w:val="24"/>
          <w:lang w:eastAsia="lt-LT"/>
        </w:rPr>
        <w:t xml:space="preserve">veikatos apsaugos ministerija (toliau – Sveikatos </w:t>
      </w:r>
      <w:r w:rsidR="00CB5F6F">
        <w:rPr>
          <w:szCs w:val="24"/>
          <w:lang w:eastAsia="lt-LT"/>
        </w:rPr>
        <w:t xml:space="preserve">apsaugos </w:t>
      </w:r>
      <w:r w:rsidRPr="004858A5">
        <w:rPr>
          <w:szCs w:val="24"/>
          <w:lang w:eastAsia="lt-LT"/>
        </w:rPr>
        <w:t>ministerija) finansuoja visuomenės sveikatos biuruose veikiančių Socialinio recepto koordinatorių tinklą. Koordinatoriai yra atsakingi už tikslinės grupės asmenų konsultavimą, nukreipimą į paslaugos vietą, poveikio stebėseną.</w:t>
      </w:r>
    </w:p>
    <w:p w14:paraId="66F6745A" w14:textId="77777777" w:rsidR="00A9296E" w:rsidRPr="004858A5" w:rsidRDefault="00A9296E" w:rsidP="00A9296E">
      <w:pPr>
        <w:spacing w:before="100" w:beforeAutospacing="1" w:after="100" w:afterAutospacing="1"/>
        <w:jc w:val="both"/>
        <w:rPr>
          <w:szCs w:val="24"/>
          <w:lang w:eastAsia="lt-LT"/>
        </w:rPr>
      </w:pPr>
      <w:r w:rsidRPr="004858A5">
        <w:rPr>
          <w:szCs w:val="24"/>
          <w:lang w:eastAsia="lt-LT"/>
        </w:rPr>
        <w:t xml:space="preserve">Per du įgyvendinimo metus susiduriama su iššūkiu, kad nėra Socialinio recepto veiklų įgyvendinimą koordinuojančio centro, kuris užtikrintų tikslinės grupės geresnį suorientavimą, sveikatos įstaigų įsitraukimą, paslaugų kokybę, poveikio stebėseną, tinklaveiką bei Socialinio recepto paslaugų plėtrą Lietuvoje. </w:t>
      </w:r>
    </w:p>
    <w:p w14:paraId="17DA99C8" w14:textId="12BE4638" w:rsidR="00A9296E" w:rsidRPr="004858A5" w:rsidRDefault="00A9296E" w:rsidP="00A9296E">
      <w:pPr>
        <w:spacing w:before="100" w:beforeAutospacing="1" w:after="100" w:afterAutospacing="1"/>
        <w:jc w:val="both"/>
        <w:rPr>
          <w:szCs w:val="24"/>
          <w:lang w:eastAsia="lt-LT"/>
        </w:rPr>
      </w:pPr>
      <w:r w:rsidRPr="004858A5">
        <w:rPr>
          <w:szCs w:val="24"/>
          <w:lang w:eastAsia="lt-LT"/>
        </w:rPr>
        <w:t xml:space="preserve">Lėšų šaltinis – </w:t>
      </w:r>
      <w:r w:rsidR="00FA37BD">
        <w:rPr>
          <w:szCs w:val="24"/>
          <w:lang w:eastAsia="lt-LT"/>
        </w:rPr>
        <w:t>K</w:t>
      </w:r>
      <w:r w:rsidRPr="004858A5">
        <w:rPr>
          <w:szCs w:val="24"/>
          <w:lang w:eastAsia="lt-LT"/>
        </w:rPr>
        <w:t xml:space="preserve">ultūros ministerijos kultūros ir kūrybingumo plėtros programos pažangos priemonės </w:t>
      </w:r>
      <w:r w:rsidR="0093555E">
        <w:rPr>
          <w:szCs w:val="24"/>
          <w:lang w:eastAsia="lt-LT"/>
        </w:rPr>
        <w:t>„</w:t>
      </w:r>
      <w:r w:rsidRPr="004858A5">
        <w:rPr>
          <w:szCs w:val="24"/>
          <w:lang w:eastAsia="lt-LT"/>
        </w:rPr>
        <w:t xml:space="preserve">Aukštos meninės vertės, įvairaus ir </w:t>
      </w:r>
      <w:proofErr w:type="spellStart"/>
      <w:r w:rsidRPr="004858A5">
        <w:rPr>
          <w:szCs w:val="24"/>
          <w:lang w:eastAsia="lt-LT"/>
        </w:rPr>
        <w:t>įtraukaus</w:t>
      </w:r>
      <w:proofErr w:type="spellEnd"/>
      <w:r w:rsidRPr="004858A5">
        <w:rPr>
          <w:szCs w:val="24"/>
          <w:lang w:eastAsia="lt-LT"/>
        </w:rPr>
        <w:t xml:space="preserve"> kultūros turinio prieinamumo didinimas”. Asignavimų pobūdis (pažangos lėšos) lemia administravimo modelio nelankstumą, kuria didelę administracinę naštą, bei riboja mažų kultūros organizacijų, ypatingai nevyriausybinių, galimybes teikti socialinio recepto paslaugas. Dėl neadekvačiai mažų administravimo kaštų, neproporcingų darbo apimtims vertinant ir administruojant iniciatyvos paraiškas, CPVA atsisakius šios funkcijos, naujas, iniciatyvą administruojantis subjektas, neatsirado. Dėl šios priežasties iniciatyvos sklaida Lietuvos savivaldybėse šiuo metu nėra įmanoma.</w:t>
      </w:r>
    </w:p>
    <w:p w14:paraId="384A5583" w14:textId="5372FD9C" w:rsidR="00A9296E" w:rsidRPr="004858A5" w:rsidRDefault="00A9296E" w:rsidP="00A9296E">
      <w:pPr>
        <w:spacing w:before="100" w:beforeAutospacing="1" w:after="100" w:afterAutospacing="1"/>
        <w:jc w:val="both"/>
        <w:rPr>
          <w:szCs w:val="24"/>
          <w:lang w:eastAsia="lt-LT"/>
        </w:rPr>
      </w:pPr>
      <w:r w:rsidRPr="004858A5">
        <w:rPr>
          <w:szCs w:val="24"/>
          <w:lang w:eastAsia="lt-LT"/>
        </w:rPr>
        <w:t>Pastebėta, kad iniciatyvos įgyvendinime maža apimtimi dalyvauja asmens sveikatos priežiūros įstaigų specialistai, t.</w:t>
      </w:r>
      <w:r w:rsidR="00D96A49">
        <w:rPr>
          <w:szCs w:val="24"/>
          <w:lang w:eastAsia="lt-LT"/>
        </w:rPr>
        <w:t xml:space="preserve"> </w:t>
      </w:r>
      <w:r w:rsidRPr="004858A5">
        <w:rPr>
          <w:szCs w:val="24"/>
          <w:lang w:eastAsia="lt-LT"/>
        </w:rPr>
        <w:t xml:space="preserve">y. nukreipimas į Socialinio recepto iniciatyvą atliekamas retai. Taip pat pastebimas menkas savivaldybių, socialinių darbuotojų įsitraukimas, Socialinio recepto iniciatyvoje neužtikrinamos pavėžėjimo paslaugos nuo paslaugų teikimo vietų toliau gyvenantiems, riboto mobilumo tikslinės grupės asmenims. Paslaugomis daugiausia naudojasi vyresnio amžiaus asmenys, kurie dažniausiai yra aktyvūs kultūros vartotojai ir aiškių psichinės sveikatos problemų nepatiria. Apibendrinat, galima konstatuoti, kad socialinio recepto paslaugos nepasiekia </w:t>
      </w:r>
      <w:proofErr w:type="spellStart"/>
      <w:r w:rsidRPr="004858A5">
        <w:rPr>
          <w:szCs w:val="24"/>
          <w:lang w:eastAsia="lt-LT"/>
        </w:rPr>
        <w:t>pažeidžiamiausių</w:t>
      </w:r>
      <w:proofErr w:type="spellEnd"/>
      <w:r w:rsidRPr="004858A5">
        <w:rPr>
          <w:szCs w:val="24"/>
          <w:lang w:eastAsia="lt-LT"/>
        </w:rPr>
        <w:t xml:space="preserve"> tikslinės grupės asmenų.</w:t>
      </w:r>
    </w:p>
    <w:p w14:paraId="16BF63DA" w14:textId="77777777" w:rsidR="00A9296E" w:rsidRPr="004858A5" w:rsidRDefault="00A9296E" w:rsidP="00A9296E">
      <w:pPr>
        <w:spacing w:after="160"/>
        <w:jc w:val="both"/>
        <w:rPr>
          <w:szCs w:val="24"/>
          <w:lang w:eastAsia="lt-LT"/>
        </w:rPr>
      </w:pPr>
      <w:r w:rsidRPr="004858A5">
        <w:rPr>
          <w:szCs w:val="24"/>
          <w:lang w:eastAsia="lt-LT"/>
        </w:rPr>
        <w:t>Taip pat matomas poreikis kompleksiškesnio Socialinio recepto paslaugų paketo plėtrai: turėtų būti suformuojamas švietimo, sveikatos, kultūros ir kitų bendruomenėje teikiamų paslaugų, tinkamų pensinio amžiaus sulaukusiems asmenims, paketas, kuriame kiekvieną paslaugų rūšį pagal kompetenciją finansuotų atitinkama ministerija, tačiau veiksmingam įgyvendinimui reikalingas koordinavimo centralizavimas, apimant ir reikiamus technologinius sprendimus</w:t>
      </w:r>
    </w:p>
    <w:p w14:paraId="47664CD4" w14:textId="6CD0A249" w:rsidR="00A9296E" w:rsidRPr="004858A5" w:rsidRDefault="00A9296E" w:rsidP="00A9296E">
      <w:pPr>
        <w:spacing w:after="160"/>
        <w:jc w:val="both"/>
        <w:rPr>
          <w:rFonts w:eastAsia="Aptos"/>
          <w:kern w:val="2"/>
          <w:szCs w:val="24"/>
          <w:lang w:eastAsia="lt-LT"/>
          <w14:ligatures w14:val="standardContextual"/>
        </w:rPr>
      </w:pPr>
      <w:r w:rsidRPr="004858A5">
        <w:rPr>
          <w:rFonts w:eastAsia="Aptos"/>
          <w:kern w:val="2"/>
          <w:szCs w:val="24"/>
          <w:lang w:eastAsia="lt-LT"/>
          <w14:ligatures w14:val="standardContextual"/>
        </w:rPr>
        <w:t>2026 m. Valstybės kontrolė atliko auditą „Aktyvaus senėjimo skatinimas“ bei Sveikatos</w:t>
      </w:r>
      <w:r w:rsidR="00566648">
        <w:rPr>
          <w:rFonts w:eastAsia="Aptos"/>
          <w:kern w:val="2"/>
          <w:szCs w:val="24"/>
          <w:lang w:eastAsia="lt-LT"/>
          <w14:ligatures w14:val="standardContextual"/>
        </w:rPr>
        <w:t xml:space="preserve"> </w:t>
      </w:r>
      <w:r w:rsidR="00250E2C">
        <w:rPr>
          <w:rFonts w:eastAsia="Aptos"/>
          <w:kern w:val="2"/>
          <w:szCs w:val="24"/>
          <w:lang w:eastAsia="lt-LT"/>
          <w14:ligatures w14:val="standardContextual"/>
        </w:rPr>
        <w:t xml:space="preserve">apsaugos </w:t>
      </w:r>
      <w:r w:rsidR="00566648">
        <w:rPr>
          <w:rFonts w:eastAsia="Aptos"/>
          <w:kern w:val="2"/>
          <w:szCs w:val="24"/>
          <w:lang w:eastAsia="lt-LT"/>
          <w14:ligatures w14:val="standardContextual"/>
        </w:rPr>
        <w:t>ministerijai</w:t>
      </w:r>
      <w:r w:rsidRPr="004858A5">
        <w:rPr>
          <w:rFonts w:eastAsia="Aptos"/>
          <w:kern w:val="2"/>
          <w:szCs w:val="24"/>
          <w:lang w:eastAsia="lt-LT"/>
          <w14:ligatures w14:val="standardContextual"/>
        </w:rPr>
        <w:t xml:space="preserve"> ir Kultūros ministerij</w:t>
      </w:r>
      <w:r w:rsidR="00566648">
        <w:rPr>
          <w:rFonts w:eastAsia="Aptos"/>
          <w:kern w:val="2"/>
          <w:szCs w:val="24"/>
          <w:lang w:eastAsia="lt-LT"/>
          <w14:ligatures w14:val="standardContextual"/>
        </w:rPr>
        <w:t>ai</w:t>
      </w:r>
      <w:r w:rsidRPr="004858A5">
        <w:rPr>
          <w:rFonts w:eastAsia="Aptos"/>
          <w:kern w:val="2"/>
          <w:szCs w:val="24"/>
          <w:lang w:eastAsia="lt-LT"/>
          <w14:ligatures w14:val="standardContextual"/>
        </w:rPr>
        <w:t xml:space="preserve"> pateikė rekomendacijas dėl vyresnio amžiaus asmenų </w:t>
      </w:r>
      <w:proofErr w:type="spellStart"/>
      <w:r w:rsidRPr="004858A5">
        <w:rPr>
          <w:rFonts w:eastAsia="Aptos"/>
          <w:kern w:val="2"/>
          <w:szCs w:val="24"/>
          <w:lang w:eastAsia="lt-LT"/>
          <w14:ligatures w14:val="standardContextual"/>
        </w:rPr>
        <w:t>įtraukties</w:t>
      </w:r>
      <w:proofErr w:type="spellEnd"/>
      <w:r w:rsidRPr="004858A5">
        <w:rPr>
          <w:rFonts w:eastAsia="Aptos"/>
          <w:kern w:val="2"/>
          <w:szCs w:val="24"/>
          <w:lang w:eastAsia="lt-LT"/>
          <w14:ligatures w14:val="standardContextual"/>
        </w:rPr>
        <w:t xml:space="preserve"> į kultūrines veiklas, kurių viena skirta socialinio recepto iniciatyvos modelio peržiūrai su tikslu pasiekti socialinėje atskirtyje esančius asmenis, užtikrinant paslaugų teikimo tolygumą tarp savivaldybių nustatant aiškų koordinavimą ir rezultatų vertinimą bei plėtrą nacionaliniu mastu.</w:t>
      </w:r>
    </w:p>
    <w:p w14:paraId="3A9E486B" w14:textId="77777777" w:rsidR="00A9296E" w:rsidRPr="004858A5" w:rsidRDefault="00A9296E" w:rsidP="00A9296E">
      <w:pPr>
        <w:spacing w:after="160"/>
        <w:jc w:val="both"/>
        <w:rPr>
          <w:kern w:val="2"/>
          <w:szCs w:val="24"/>
          <w14:ligatures w14:val="standardContextual"/>
        </w:rPr>
      </w:pPr>
      <w:r w:rsidRPr="004858A5">
        <w:rPr>
          <w:bCs/>
          <w:szCs w:val="24"/>
          <w:lang w:eastAsia="lt-LT"/>
        </w:rPr>
        <w:t xml:space="preserve">Atsižvelgiant į šį kontekstą, aktualu atlikti išsamią situacijos, </w:t>
      </w:r>
      <w:r w:rsidRPr="004858A5">
        <w:rPr>
          <w:szCs w:val="24"/>
        </w:rPr>
        <w:t xml:space="preserve">pagrindinių iššūkių </w:t>
      </w:r>
      <w:r w:rsidRPr="004858A5">
        <w:rPr>
          <w:bCs/>
          <w:szCs w:val="24"/>
          <w:lang w:eastAsia="lt-LT"/>
        </w:rPr>
        <w:t xml:space="preserve">analizę bei įvertinti tobulinimo galimybes, kurios sudarytų pagrindą </w:t>
      </w:r>
      <w:r w:rsidRPr="004858A5">
        <w:rPr>
          <w:kern w:val="2"/>
          <w:szCs w:val="24"/>
          <w14:ligatures w14:val="standardContextual"/>
        </w:rPr>
        <w:t xml:space="preserve">priimant sprendimus dėl optimaliausio įgyvendinimo ir koordinavimo mechanizmo ir jo įgyvendinimui reikalingų </w:t>
      </w:r>
      <w:r w:rsidRPr="004858A5">
        <w:rPr>
          <w:szCs w:val="24"/>
        </w:rPr>
        <w:t>teisinių, organizacinių, finansavimo ir technologinių sprendimų</w:t>
      </w:r>
      <w:r w:rsidRPr="004858A5">
        <w:rPr>
          <w:kern w:val="2"/>
          <w:szCs w:val="24"/>
          <w14:ligatures w14:val="standardContextual"/>
        </w:rPr>
        <w:t xml:space="preserve"> pasirinkimo.</w:t>
      </w:r>
    </w:p>
    <w:p w14:paraId="654CFDD2" w14:textId="77777777" w:rsidR="00A9296E" w:rsidRPr="004858A5" w:rsidRDefault="00A9296E" w:rsidP="00A9296E">
      <w:pPr>
        <w:spacing w:after="160"/>
        <w:jc w:val="both"/>
        <w:rPr>
          <w:b/>
          <w:szCs w:val="24"/>
        </w:rPr>
      </w:pPr>
      <w:r w:rsidRPr="004858A5">
        <w:rPr>
          <w:b/>
          <w:bCs/>
          <w:szCs w:val="24"/>
          <w:lang w:eastAsia="lt-LT"/>
        </w:rPr>
        <w:t xml:space="preserve">2.2. </w:t>
      </w:r>
      <w:r w:rsidRPr="004858A5">
        <w:rPr>
          <w:b/>
          <w:szCs w:val="24"/>
        </w:rPr>
        <w:t>Pagrindiniai uždaviniai:</w:t>
      </w:r>
    </w:p>
    <w:p w14:paraId="55B25008" w14:textId="77777777" w:rsidR="00A9296E" w:rsidRPr="004858A5" w:rsidRDefault="00A9296E" w:rsidP="00A9296E">
      <w:pPr>
        <w:jc w:val="both"/>
        <w:rPr>
          <w:szCs w:val="24"/>
        </w:rPr>
      </w:pPr>
      <w:r w:rsidRPr="004858A5">
        <w:rPr>
          <w:szCs w:val="24"/>
        </w:rPr>
        <w:t xml:space="preserve">2.2.1. Išanalizuoti esamus įgyvendinimo ir koordinavimo mechanizmus, esamo reglamentavimo kontekste:„2021–2030 Kultūros ir kūrybingumo plėtros programos“ pažangos priemonės, Socialinio recepto iniciatyvos vykdymo tvarkos aprašas, Valstybinio audito ataskaita „Aktyvaus senėjimo skatinimas“, „Kurk Lietuvai“ analizė </w:t>
      </w:r>
      <w:hyperlink r:id="rId10" w:history="1">
        <w:r w:rsidRPr="004858A5">
          <w:rPr>
            <w:szCs w:val="24"/>
          </w:rPr>
          <w:t>„Laisvalaikio, kultūros ir meno poveikis sveikatai: Socialinio recepto galimybės žmonėms su negalia ir vyresnio amžiaus žmonėms Lietuvoje“</w:t>
        </w:r>
      </w:hyperlink>
      <w:r w:rsidRPr="004858A5">
        <w:rPr>
          <w:szCs w:val="24"/>
        </w:rPr>
        <w:t xml:space="preserve"> ir kitus aktualius planavimo dokumentus.</w:t>
      </w:r>
      <w:r w:rsidRPr="004858A5">
        <w:rPr>
          <w:rFonts w:ascii="Aptos" w:eastAsia="Aptos" w:hAnsi="Aptos"/>
          <w:kern w:val="2"/>
          <w:szCs w:val="24"/>
          <w14:ligatures w14:val="standardContextual"/>
        </w:rPr>
        <w:t xml:space="preserve"> </w:t>
      </w:r>
    </w:p>
    <w:p w14:paraId="34B52E94" w14:textId="0654E2B8" w:rsidR="00A9296E" w:rsidRPr="004858A5" w:rsidRDefault="00A9296E" w:rsidP="00A9296E">
      <w:pPr>
        <w:jc w:val="both"/>
        <w:rPr>
          <w:kern w:val="2"/>
          <w:szCs w:val="24"/>
          <w14:ligatures w14:val="standardContextual"/>
        </w:rPr>
      </w:pPr>
      <w:r w:rsidRPr="004858A5">
        <w:rPr>
          <w:szCs w:val="24"/>
        </w:rPr>
        <w:t xml:space="preserve">2.2.2. Atlikti fokus grupių interviu su pagrindiniais suinteresuotaisiais subjektais (Sveikatos apsaugos ministerija, Kultūros ministerija, Socialinės apsaugos ir darbo ministerija, Švietimo, mokslo ir sporto ministerija), Higienos instituto atstovais, savivaldybių administracijų ir susijusių padalinių darbuotojais, visuomenės sveikatos biurų, </w:t>
      </w:r>
      <w:r w:rsidRPr="004858A5">
        <w:rPr>
          <w:kern w:val="2"/>
          <w:szCs w:val="24"/>
          <w14:ligatures w14:val="standardContextual"/>
        </w:rPr>
        <w:t>asmens sveikatos priežiūros įstaigų specialistais, įskaitant šeimos gydytojus, socialinius darbuotojus bei kitus specialistus</w:t>
      </w:r>
      <w:r w:rsidR="00FD35AA">
        <w:rPr>
          <w:kern w:val="2"/>
          <w:szCs w:val="24"/>
          <w14:ligatures w14:val="standardContextual"/>
        </w:rPr>
        <w:t>,</w:t>
      </w:r>
      <w:r w:rsidRPr="004858A5">
        <w:rPr>
          <w:kern w:val="2"/>
          <w:szCs w:val="24"/>
          <w14:ligatures w14:val="standardContextual"/>
        </w:rPr>
        <w:t xml:space="preserve"> turinčius įsitraukti į nukreipimo procesą, </w:t>
      </w:r>
      <w:r w:rsidRPr="004858A5">
        <w:rPr>
          <w:szCs w:val="24"/>
        </w:rPr>
        <w:t>taip pat kultūros paslaugų teikėjus</w:t>
      </w:r>
      <w:r w:rsidRPr="004858A5">
        <w:rPr>
          <w:kern w:val="2"/>
          <w:szCs w:val="24"/>
          <w14:ligatures w14:val="standardContextual"/>
        </w:rPr>
        <w:t>, siekiant gauti gilumines įžvalgas apie koordinavimo ir įgyvendinimo mechanizmų veikimą ir iššūkius. Atlikti individualius interviu su  vyresnio amžiaus asmenis atstovaujančiomis organizacijomis (bent dv</w:t>
      </w:r>
      <w:r w:rsidR="004F71F1">
        <w:rPr>
          <w:kern w:val="2"/>
          <w:szCs w:val="24"/>
          <w14:ligatures w14:val="standardContextual"/>
        </w:rPr>
        <w:t>ejomis</w:t>
      </w:r>
      <w:r w:rsidRPr="004858A5">
        <w:rPr>
          <w:kern w:val="2"/>
          <w:szCs w:val="24"/>
          <w14:ligatures w14:val="standardContextual"/>
        </w:rPr>
        <w:t xml:space="preserve"> organizacijo</w:t>
      </w:r>
      <w:r w:rsidR="004F71F1">
        <w:rPr>
          <w:kern w:val="2"/>
          <w:szCs w:val="24"/>
          <w14:ligatures w14:val="standardContextual"/>
        </w:rPr>
        <w:t>mis</w:t>
      </w:r>
      <w:r w:rsidRPr="004858A5">
        <w:rPr>
          <w:kern w:val="2"/>
          <w:szCs w:val="24"/>
          <w14:ligatures w14:val="standardContextual"/>
        </w:rPr>
        <w:t xml:space="preserve">). </w:t>
      </w:r>
    </w:p>
    <w:p w14:paraId="25C8BE48" w14:textId="456ADFF3" w:rsidR="00A9296E" w:rsidRPr="004858A5" w:rsidRDefault="00A9296E" w:rsidP="00A9296E">
      <w:pPr>
        <w:jc w:val="both"/>
        <w:rPr>
          <w:szCs w:val="24"/>
        </w:rPr>
      </w:pPr>
      <w:r w:rsidRPr="004858A5">
        <w:rPr>
          <w:szCs w:val="24"/>
        </w:rPr>
        <w:t>2.2.3. Atlikti esamos situacijos vertinimą, identifikuojant pagrindinius iššūkius ir paslaugų teikėjų dalyvavimo patirtį, įtraukiant kelių lygių tarpininkų analizę (ASPĮ, savivaldybių administracijos, visuomenės sveikatos biurų, socialinių paslaugų teikėjų ir kitų iniciatyvos įgyvendinimo grandinės dalyvių), taip pat remiantis jų pateikta informacija apie tikslinės grupės (gavėjų) poreikius, dalyvavimo barjerus ir nedalyvavimo priežastis (</w:t>
      </w:r>
      <w:proofErr w:type="spellStart"/>
      <w:r w:rsidRPr="004858A5">
        <w:rPr>
          <w:szCs w:val="24"/>
        </w:rPr>
        <w:t>non-users</w:t>
      </w:r>
      <w:proofErr w:type="spellEnd"/>
      <w:r w:rsidRPr="004858A5">
        <w:rPr>
          <w:szCs w:val="24"/>
        </w:rPr>
        <w:t>)</w:t>
      </w:r>
      <w:r w:rsidR="005B6EE8">
        <w:rPr>
          <w:szCs w:val="24"/>
        </w:rPr>
        <w:t>,</w:t>
      </w:r>
      <w:r w:rsidRPr="004858A5">
        <w:rPr>
          <w:szCs w:val="24"/>
        </w:rPr>
        <w:t xml:space="preserve"> kiek tai leidžia prieinami duomenys. </w:t>
      </w:r>
    </w:p>
    <w:p w14:paraId="213893D2" w14:textId="77777777" w:rsidR="00A9296E" w:rsidRPr="004858A5" w:rsidRDefault="00A9296E" w:rsidP="00A9296E">
      <w:pPr>
        <w:jc w:val="both"/>
        <w:rPr>
          <w:szCs w:val="24"/>
        </w:rPr>
      </w:pPr>
      <w:r w:rsidRPr="004858A5">
        <w:rPr>
          <w:szCs w:val="24"/>
        </w:rPr>
        <w:t xml:space="preserve">2.2.4. Įvertinti esamų IT sprendimų pakankamumą, apimant funkcionalumą ir naudotojo patirtį (ar sistemos atitinka koordinavimo, stebėsenos ir  naudojimo poreikius),  koordinavimo efektyvumo, </w:t>
      </w:r>
      <w:proofErr w:type="spellStart"/>
      <w:r w:rsidRPr="004858A5">
        <w:rPr>
          <w:szCs w:val="24"/>
        </w:rPr>
        <w:t>įtraukumo</w:t>
      </w:r>
      <w:proofErr w:type="spellEnd"/>
      <w:r w:rsidRPr="004858A5">
        <w:rPr>
          <w:szCs w:val="24"/>
        </w:rPr>
        <w:t>, patogumo aspektais bei pateikti siūlymus dėl jų tobulinimo poreikio galimybių ir (arba) naujo įrankio pasirinkimo tikslingumo.</w:t>
      </w:r>
    </w:p>
    <w:p w14:paraId="128B9398" w14:textId="77777777" w:rsidR="00A9296E" w:rsidRDefault="00A9296E" w:rsidP="00A9296E">
      <w:pPr>
        <w:spacing w:after="160"/>
        <w:jc w:val="both"/>
        <w:rPr>
          <w:szCs w:val="24"/>
        </w:rPr>
      </w:pPr>
      <w:r w:rsidRPr="004858A5">
        <w:rPr>
          <w:szCs w:val="24"/>
        </w:rPr>
        <w:t xml:space="preserve">2.2.5. </w:t>
      </w:r>
      <w:r w:rsidRPr="001E281C">
        <w:rPr>
          <w:szCs w:val="24"/>
        </w:rPr>
        <w:t>Parengti 3 efektyvaus įgyvendinimo ir koordinavimo / administravimo alternatyvas, apibrėžiant pilnavertes jų veikimo logikas, apimančias: institucijų (esamų ir/ar naujų) funkcijas; tarpinstitucinio koordinavimo ir atsakomybių pasiskirstymą; procesų struktūrą nuo tikslinės grupės asmenų nukreipimo iki grįžtamojo ryšio apie dalyvavimo patirtį gavimo; finansavimo modelio (algoritmo) logiką; bei IT sprendimų integracijos į modelio veikimo architektūrą galimybes, vertinant tokių sprendimų reikalingumą bendram modelio efektyvumui.</w:t>
      </w:r>
      <w:r>
        <w:rPr>
          <w:szCs w:val="24"/>
        </w:rPr>
        <w:t xml:space="preserve"> </w:t>
      </w:r>
      <w:r w:rsidRPr="001E281C">
        <w:rPr>
          <w:szCs w:val="24"/>
        </w:rPr>
        <w:t>Alternatyvose turi būti įvardyti ir pagrįsti efektyviam įgyvendinimui reikalingi teisiniai, organizaciniai, technologiniai (įskaitant IT) ir finansiniai sprendimai.</w:t>
      </w:r>
    </w:p>
    <w:p w14:paraId="62B1D5F0" w14:textId="2C6D65DE" w:rsidR="0079353D" w:rsidRPr="004858A5" w:rsidRDefault="0079353D" w:rsidP="005B389F">
      <w:pPr>
        <w:spacing w:after="160"/>
        <w:jc w:val="center"/>
        <w:rPr>
          <w:szCs w:val="24"/>
        </w:rPr>
      </w:pPr>
      <w:r>
        <w:rPr>
          <w:b/>
          <w:kern w:val="2"/>
          <w:szCs w:val="24"/>
          <w14:ligatures w14:val="standardContextual"/>
        </w:rPr>
        <w:t xml:space="preserve">III. REIKALAVIMAI </w:t>
      </w:r>
      <w:r w:rsidR="004B00B1">
        <w:rPr>
          <w:b/>
          <w:kern w:val="2"/>
          <w:szCs w:val="24"/>
          <w14:ligatures w14:val="standardContextual"/>
        </w:rPr>
        <w:t>P</w:t>
      </w:r>
      <w:r w:rsidR="00084382">
        <w:rPr>
          <w:b/>
          <w:kern w:val="2"/>
          <w:szCs w:val="24"/>
          <w14:ligatures w14:val="standardContextual"/>
        </w:rPr>
        <w:t xml:space="preserve">ASLAUGŲ </w:t>
      </w:r>
      <w:r w:rsidR="002E6598">
        <w:rPr>
          <w:b/>
          <w:kern w:val="2"/>
          <w:szCs w:val="24"/>
          <w14:ligatures w14:val="standardContextual"/>
        </w:rPr>
        <w:t>TEIKIMUI</w:t>
      </w:r>
    </w:p>
    <w:p w14:paraId="1A2F370F" w14:textId="77777777" w:rsidR="0045389A" w:rsidRDefault="00A9296E" w:rsidP="00A9296E">
      <w:pPr>
        <w:jc w:val="both"/>
        <w:rPr>
          <w:b/>
          <w:kern w:val="2"/>
          <w:szCs w:val="24"/>
          <w14:ligatures w14:val="standardContextual"/>
        </w:rPr>
      </w:pPr>
      <w:r w:rsidRPr="004858A5">
        <w:rPr>
          <w:b/>
          <w:kern w:val="2"/>
          <w:szCs w:val="24"/>
          <w14:ligatures w14:val="standardContextual"/>
        </w:rPr>
        <w:t>3.1. Reikalavimai tyrimui:</w:t>
      </w:r>
    </w:p>
    <w:p w14:paraId="02080991" w14:textId="4004FB73" w:rsidR="00A9296E" w:rsidRPr="004858A5" w:rsidRDefault="00A9296E" w:rsidP="00A9296E">
      <w:pPr>
        <w:jc w:val="both"/>
        <w:rPr>
          <w:kern w:val="2"/>
          <w:szCs w:val="24"/>
          <w14:ligatures w14:val="standardContextual"/>
        </w:rPr>
      </w:pPr>
      <w:r w:rsidRPr="004858A5">
        <w:rPr>
          <w:kern w:val="2"/>
          <w:szCs w:val="24"/>
          <w14:ligatures w14:val="standardContextual"/>
        </w:rPr>
        <w:t xml:space="preserve">3.1.1. Paslaugų teikėjas turi remtis  </w:t>
      </w:r>
      <w:r w:rsidRPr="00583AE7">
        <w:rPr>
          <w:kern w:val="2"/>
          <w:szCs w:val="24"/>
          <w14:ligatures w14:val="standardContextual"/>
        </w:rPr>
        <w:t xml:space="preserve">pagrindiniais </w:t>
      </w:r>
      <w:r w:rsidR="00963A8D">
        <w:rPr>
          <w:kern w:val="2"/>
          <w:szCs w:val="24"/>
          <w14:ligatures w14:val="standardContextual"/>
        </w:rPr>
        <w:t xml:space="preserve">LR kult8ros ministerijos </w:t>
      </w:r>
      <w:r w:rsidRPr="00583AE7">
        <w:rPr>
          <w:kern w:val="2"/>
          <w:szCs w:val="24"/>
          <w14:ligatures w14:val="standardContextual"/>
        </w:rPr>
        <w:t>strateginiais ir planavimo dokumentais, įgyvendinimo procedūras reglamentuojančiais dokumentais, finansavimo planavimo bei skyrimo ir  taikytomis iniciatyvos įgyvendinimo/administravimo praktikomis,</w:t>
      </w:r>
      <w:r w:rsidRPr="004858A5">
        <w:rPr>
          <w:kern w:val="2"/>
          <w:szCs w:val="24"/>
          <w14:ligatures w14:val="standardContextual"/>
        </w:rPr>
        <w:t xml:space="preserve"> siekiant įvertinti esamą administravimo modelį. Analizė laikoma kontekstine ir skirta duomenų interpretacijai bei alternatyvų įgyvendinimo formavimui.</w:t>
      </w:r>
    </w:p>
    <w:p w14:paraId="0963ABAA" w14:textId="77777777" w:rsidR="00A9296E" w:rsidRPr="004858A5" w:rsidRDefault="00A9296E" w:rsidP="00A9296E">
      <w:pPr>
        <w:jc w:val="both"/>
        <w:rPr>
          <w:kern w:val="2"/>
          <w:szCs w:val="24"/>
          <w14:ligatures w14:val="standardContextual"/>
        </w:rPr>
      </w:pPr>
      <w:r w:rsidRPr="004858A5">
        <w:rPr>
          <w:kern w:val="2"/>
          <w:szCs w:val="24"/>
          <w14:ligatures w14:val="standardContextual"/>
        </w:rPr>
        <w:t>3.1.2.identifikuotus praktinius tikslinės grupės pasiekiamumo iššūkius bei pateikti rekomendacijas dėl koordinavimo, administravimo ir įgyvendinimo tobulinimo, grindžiant jas surinktų duomenų analize ir skirtingų suinteresuotųjų grupių perspektyvų sinteze (įskaitant institucijas, ASPĮ, savivaldybes, visuomenės sveikatos biurus ir kitus tarpininkus).</w:t>
      </w:r>
    </w:p>
    <w:p w14:paraId="4FBD3DC6" w14:textId="77777777" w:rsidR="00A9296E" w:rsidRPr="004858A5" w:rsidRDefault="00A9296E" w:rsidP="00A9296E">
      <w:pPr>
        <w:jc w:val="both"/>
        <w:rPr>
          <w:kern w:val="2"/>
          <w:szCs w:val="24"/>
          <w14:ligatures w14:val="standardContextual"/>
        </w:rPr>
      </w:pPr>
      <w:r w:rsidRPr="004858A5">
        <w:rPr>
          <w:kern w:val="2"/>
          <w:szCs w:val="24"/>
          <w14:ligatures w14:val="standardContextual"/>
        </w:rPr>
        <w:t>3.1.3. F</w:t>
      </w:r>
      <w:r w:rsidRPr="004858A5">
        <w:rPr>
          <w:szCs w:val="24"/>
        </w:rPr>
        <w:t xml:space="preserve">okus grupių interviu dalyviai turi apimti </w:t>
      </w:r>
      <w:r w:rsidRPr="004858A5">
        <w:rPr>
          <w:kern w:val="2"/>
          <w:szCs w:val="24"/>
          <w14:ligatures w14:val="standardContextual"/>
        </w:rPr>
        <w:t xml:space="preserve">Kultūros ministerijos, Sveikatos apsaugos ministerijos, kitų suinteresuotų ministerijų (Švietimo, mokslo ir sporto ministerijos, Socialinės apsaugos ir darbo ministerijos ) </w:t>
      </w:r>
      <w:r w:rsidRPr="004858A5">
        <w:rPr>
          <w:szCs w:val="24"/>
        </w:rPr>
        <w:t>visuomenės sveikatos biurų bei Higienos instituto specialistus</w:t>
      </w:r>
      <w:r w:rsidRPr="004858A5">
        <w:rPr>
          <w:kern w:val="2"/>
          <w:szCs w:val="24"/>
          <w14:ligatures w14:val="standardContextual"/>
        </w:rPr>
        <w:t>, asmens sveikatos priežiūros įstaigų specialistus, įskaitant šeimos gydytojus,  socialinius darbuotojus bei kitus specialistus, turinčius dalyvauti nukreipimo procese, ir ne mažiau kaip 10 skirtingų paslaugų teikėjų – kultūros organizacijų – atstovų. Paslaugų teikėjų – kultūros organizacijų – atstovai turi būti atrinkti taip, kad apimtų įvairių kultūros sektorių (bibliotekos, muziejai, teatrai ir pan.) ir pavaldumo (valstybės, savivaldybių, nevyriausybinių) organizacijas. Taip pat interviu turi dalyvauti bent dvi vyresnio amžiaus asmenis atstovaujančios organizacijos, iš kurių kiekviena deleguoja bent po 2 atstovus.</w:t>
      </w:r>
    </w:p>
    <w:p w14:paraId="29F7BB6D" w14:textId="77777777" w:rsidR="00A9296E" w:rsidRPr="004858A5" w:rsidRDefault="00A9296E" w:rsidP="00A9296E">
      <w:pPr>
        <w:jc w:val="both"/>
        <w:rPr>
          <w:kern w:val="2"/>
          <w:szCs w:val="24"/>
          <w14:ligatures w14:val="standardContextual"/>
        </w:rPr>
      </w:pPr>
      <w:r w:rsidRPr="004858A5">
        <w:rPr>
          <w:kern w:val="2"/>
          <w:szCs w:val="24"/>
          <w14:ligatures w14:val="standardContextual"/>
        </w:rPr>
        <w:t xml:space="preserve">3.1.4. Paslaugų metu būtina bendradarbiauti su Kultūros ministerijos ir Sveikatos apsaugos ministerijos specialistais, kitų ministerijų, </w:t>
      </w:r>
      <w:r w:rsidRPr="004858A5">
        <w:rPr>
          <w:szCs w:val="24"/>
        </w:rPr>
        <w:t xml:space="preserve">visuomenės sveikatos biurų, Higienos instituto, paslaugų teikėjų - kultūros įstaigų, </w:t>
      </w:r>
      <w:r w:rsidRPr="004858A5">
        <w:rPr>
          <w:kern w:val="2"/>
          <w:szCs w:val="24"/>
          <w14:ligatures w14:val="standardContextual"/>
        </w:rPr>
        <w:t>ekspertais, dalyvaujančiais įgyvendinimo koordinavimo procesuose, bei kitais suinteresuotaisiais subjektais, siekiant užtikrinti duomenų aktualumą.</w:t>
      </w:r>
    </w:p>
    <w:p w14:paraId="1FDDFB5F" w14:textId="77777777" w:rsidR="00A9296E" w:rsidRPr="004858A5" w:rsidRDefault="00A9296E" w:rsidP="00A9296E">
      <w:pPr>
        <w:jc w:val="both"/>
        <w:rPr>
          <w:kern w:val="2"/>
          <w:szCs w:val="24"/>
          <w14:ligatures w14:val="standardContextual"/>
        </w:rPr>
      </w:pPr>
      <w:r w:rsidRPr="004858A5">
        <w:rPr>
          <w:kern w:val="2"/>
          <w:szCs w:val="24"/>
          <w14:ligatures w14:val="standardContextual"/>
        </w:rPr>
        <w:t>3.1.5. Parengti pagrindinių rezultatų, tendencijų ir identifikuotų iššūkių vizualizacijas, kurios būtų orientuotos į sprendimų priėmimą ir alternatyvų palyginamumą (ne tik aprašomąją analizę).</w:t>
      </w:r>
    </w:p>
    <w:p w14:paraId="22013CE3" w14:textId="77777777" w:rsidR="00A9296E" w:rsidRPr="004858A5" w:rsidRDefault="00A9296E" w:rsidP="00A9296E">
      <w:pPr>
        <w:jc w:val="both"/>
        <w:rPr>
          <w:kern w:val="2"/>
          <w:szCs w:val="24"/>
          <w14:ligatures w14:val="standardContextual"/>
        </w:rPr>
      </w:pPr>
      <w:r w:rsidRPr="004858A5">
        <w:rPr>
          <w:kern w:val="2"/>
          <w:szCs w:val="24"/>
          <w14:ligatures w14:val="standardContextual"/>
        </w:rPr>
        <w:t>3.1.6. Surengti tyrimo rezultatų ir rekomendacijų pristatymą, skirtą Kultūros ministerijai ir kitoms suinteresuotoms institucijoms,</w:t>
      </w:r>
      <w:r w:rsidRPr="004858A5">
        <w:rPr>
          <w:rFonts w:ascii="Aptos" w:eastAsia="Aptos" w:hAnsi="Aptos"/>
          <w:kern w:val="2"/>
          <w:szCs w:val="24"/>
          <w14:ligatures w14:val="standardContextual"/>
        </w:rPr>
        <w:t xml:space="preserve"> </w:t>
      </w:r>
      <w:r w:rsidRPr="004858A5">
        <w:rPr>
          <w:kern w:val="2"/>
          <w:szCs w:val="24"/>
          <w14:ligatures w14:val="standardContextual"/>
        </w:rPr>
        <w:t xml:space="preserve">įskaitant alternatyvų pristatymą ir jų praktinio įgyvendinimo implikacijas. </w:t>
      </w:r>
    </w:p>
    <w:p w14:paraId="24898DFC" w14:textId="09A4A48B" w:rsidR="00A9296E" w:rsidRPr="004858A5" w:rsidRDefault="00A9296E" w:rsidP="00A9296E">
      <w:pPr>
        <w:jc w:val="both"/>
        <w:rPr>
          <w:kern w:val="2"/>
          <w:szCs w:val="24"/>
          <w14:ligatures w14:val="standardContextual"/>
        </w:rPr>
      </w:pPr>
      <w:r w:rsidRPr="004858A5">
        <w:rPr>
          <w:kern w:val="2"/>
          <w:szCs w:val="24"/>
          <w14:ligatures w14:val="standardContextual"/>
        </w:rPr>
        <w:t xml:space="preserve">3.1.7. Duomenų surinkimo forma - interviu ir dokumentų analizė. Interviu imtis turi apimti </w:t>
      </w:r>
      <w:r w:rsidRPr="00A10B04">
        <w:rPr>
          <w:kern w:val="2"/>
          <w:szCs w:val="24"/>
          <w14:ligatures w14:val="standardContextual"/>
        </w:rPr>
        <w:t>pagrindinių įgyvendinimo ir koordinavimo procese dalyvaujančių institucijų atstovus</w:t>
      </w:r>
      <w:r w:rsidR="003B2469">
        <w:rPr>
          <w:kern w:val="2"/>
          <w:szCs w:val="24"/>
          <w14:ligatures w14:val="standardContextual"/>
        </w:rPr>
        <w:t xml:space="preserve">, išvardintus </w:t>
      </w:r>
      <w:r w:rsidR="00133950" w:rsidRPr="005B389F">
        <w:rPr>
          <w:kern w:val="2"/>
          <w:szCs w:val="24"/>
          <w14:ligatures w14:val="standardContextual"/>
        </w:rPr>
        <w:t>3.1.4. p</w:t>
      </w:r>
      <w:r w:rsidRPr="004858A5">
        <w:rPr>
          <w:kern w:val="2"/>
          <w:szCs w:val="24"/>
          <w14:ligatures w14:val="standardContextual"/>
        </w:rPr>
        <w:t>. Esant poreikiui, galima taikyti nuotolines apklausos formas, užtikrinant duomenų autentiškumą ir konfidencialumą. Duomenų surinkimo metodai turi būti proporcingi tyrimo apimčiai ir numatytam biudžetui.</w:t>
      </w:r>
    </w:p>
    <w:p w14:paraId="4C18B4E4" w14:textId="77777777" w:rsidR="00A9296E" w:rsidRPr="004858A5" w:rsidRDefault="00A9296E" w:rsidP="00A9296E">
      <w:pPr>
        <w:spacing w:after="160"/>
        <w:jc w:val="both"/>
        <w:rPr>
          <w:kern w:val="2"/>
          <w:szCs w:val="24"/>
          <w14:ligatures w14:val="standardContextual"/>
        </w:rPr>
      </w:pPr>
      <w:r w:rsidRPr="004858A5">
        <w:rPr>
          <w:kern w:val="2"/>
          <w:szCs w:val="24"/>
          <w14:ligatures w14:val="standardContextual"/>
        </w:rPr>
        <w:t>3.1.8. Paslaugų teikėjas gali pasiūlyti papildomus uždavinius ar metodus, kurie padėtų geriau pasiekti tikslus ir užtikrintų rezultatų kokybę,</w:t>
      </w:r>
      <w:r w:rsidRPr="004858A5">
        <w:rPr>
          <w:rFonts w:ascii="Aptos" w:eastAsia="Aptos" w:hAnsi="Aptos"/>
          <w:kern w:val="2"/>
          <w:szCs w:val="24"/>
          <w14:ligatures w14:val="standardContextual"/>
        </w:rPr>
        <w:t xml:space="preserve"> </w:t>
      </w:r>
      <w:r w:rsidRPr="004858A5">
        <w:rPr>
          <w:kern w:val="2"/>
          <w:szCs w:val="24"/>
          <w14:ligatures w14:val="standardContextual"/>
        </w:rPr>
        <w:t xml:space="preserve">jeigu jie nepadidina tyrimo apimties už sutartą biudžetą be atskiro susitarimo. </w:t>
      </w:r>
    </w:p>
    <w:p w14:paraId="6AE07F71" w14:textId="77777777" w:rsidR="00A9296E" w:rsidRPr="004858A5" w:rsidRDefault="00A9296E" w:rsidP="00A9296E">
      <w:pPr>
        <w:spacing w:after="160"/>
        <w:jc w:val="both"/>
        <w:rPr>
          <w:rFonts w:eastAsia="Aptos"/>
          <w:b/>
          <w:kern w:val="2"/>
          <w:szCs w:val="24"/>
          <w14:ligatures w14:val="standardContextual"/>
        </w:rPr>
      </w:pPr>
      <w:r w:rsidRPr="004858A5">
        <w:rPr>
          <w:rFonts w:eastAsia="Aptos"/>
          <w:b/>
          <w:bCs/>
          <w:kern w:val="2"/>
          <w:szCs w:val="24"/>
          <w14:ligatures w14:val="standardContextual"/>
        </w:rPr>
        <w:t>3.2.</w:t>
      </w:r>
      <w:r w:rsidRPr="004858A5">
        <w:rPr>
          <w:rFonts w:eastAsia="Aptos"/>
          <w:kern w:val="2"/>
          <w:szCs w:val="24"/>
          <w14:ligatures w14:val="standardContextual"/>
        </w:rPr>
        <w:t xml:space="preserve"> </w:t>
      </w:r>
      <w:r w:rsidRPr="004858A5">
        <w:rPr>
          <w:rFonts w:eastAsia="Aptos"/>
          <w:b/>
          <w:kern w:val="2"/>
          <w:szCs w:val="24"/>
          <w14:ligatures w14:val="standardContextual"/>
        </w:rPr>
        <w:t>Laukiami rezultatai:</w:t>
      </w:r>
    </w:p>
    <w:p w14:paraId="4186127A" w14:textId="21572208" w:rsidR="00A9296E" w:rsidRPr="004858A5" w:rsidRDefault="00A9296E" w:rsidP="00A9296E">
      <w:pPr>
        <w:jc w:val="both"/>
        <w:rPr>
          <w:kern w:val="2"/>
          <w:szCs w:val="24"/>
          <w14:ligatures w14:val="standardContextual"/>
        </w:rPr>
      </w:pPr>
      <w:r w:rsidRPr="004858A5">
        <w:rPr>
          <w:kern w:val="2"/>
          <w:szCs w:val="24"/>
          <w14:ligatures w14:val="standardContextual"/>
        </w:rPr>
        <w:t xml:space="preserve">3.2.1. Iki spalio 1 d. parengta tarpinė ataskaita, kurioje, remiantis dokumentų analizės ir interviu rezultatais, užfiksuoti </w:t>
      </w:r>
      <w:r w:rsidRPr="004858A5">
        <w:rPr>
          <w:szCs w:val="24"/>
        </w:rPr>
        <w:t>esamos situacijos analizės rezultatai, įvertintas esamas įgyvendinimo modelis ir identifikuoti pagrindiniai iššūkiai</w:t>
      </w:r>
      <w:r w:rsidR="00825582">
        <w:rPr>
          <w:szCs w:val="24"/>
        </w:rPr>
        <w:t>.</w:t>
      </w:r>
      <w:r w:rsidRPr="004858A5">
        <w:rPr>
          <w:szCs w:val="24"/>
        </w:rPr>
        <w:t xml:space="preserve"> </w:t>
      </w:r>
    </w:p>
    <w:p w14:paraId="4F7FB90C" w14:textId="77777777" w:rsidR="00A9296E" w:rsidRPr="004858A5" w:rsidRDefault="00A9296E" w:rsidP="00A9296E">
      <w:pPr>
        <w:jc w:val="both"/>
        <w:rPr>
          <w:kern w:val="2"/>
          <w:szCs w:val="24"/>
          <w14:ligatures w14:val="standardContextual"/>
        </w:rPr>
      </w:pPr>
      <w:r w:rsidRPr="004858A5">
        <w:rPr>
          <w:kern w:val="2"/>
          <w:szCs w:val="24"/>
          <w14:ligatures w14:val="standardContextual"/>
        </w:rPr>
        <w:t xml:space="preserve">3.2.2. Iki gruodžio 1 d. parengta galutinė ataskaita, kurioje užfiksuoti </w:t>
      </w:r>
      <w:r w:rsidRPr="004858A5">
        <w:rPr>
          <w:szCs w:val="24"/>
        </w:rPr>
        <w:t xml:space="preserve">esamos situacijos analizės rezultatai, įvertintas esamas įgyvendinimo modelis, identifikuoti pagrindiniai iššūkiai </w:t>
      </w:r>
      <w:r w:rsidRPr="004858A5">
        <w:rPr>
          <w:kern w:val="2"/>
          <w:szCs w:val="24"/>
          <w14:ligatures w14:val="standardContextual"/>
        </w:rPr>
        <w:t>bei pateikti 3 alternatyvūs įgyvendinimo ir koordinavimo alternatyvūs scenarijai su jų įgyvendinimui reikalingais teisiniais, organizaciniais ir techniniais sprendimais.</w:t>
      </w:r>
    </w:p>
    <w:p w14:paraId="71EADC52" w14:textId="77777777" w:rsidR="00A9296E" w:rsidRPr="004858A5" w:rsidRDefault="00A9296E" w:rsidP="00A9296E">
      <w:pPr>
        <w:jc w:val="both"/>
        <w:rPr>
          <w:kern w:val="2"/>
          <w:szCs w:val="24"/>
          <w14:ligatures w14:val="standardContextual"/>
        </w:rPr>
      </w:pPr>
      <w:r w:rsidRPr="004858A5">
        <w:rPr>
          <w:kern w:val="2"/>
          <w:szCs w:val="24"/>
          <w14:ligatures w14:val="standardContextual"/>
        </w:rPr>
        <w:t xml:space="preserve">3.2.3. Iki gruodžio 1 d. parengta vizuali santrauka (prezentacija) su </w:t>
      </w:r>
      <w:r w:rsidRPr="004858A5">
        <w:rPr>
          <w:szCs w:val="24"/>
        </w:rPr>
        <w:t xml:space="preserve">esamos situacijos analizės rezultatais, esamo įgyvendinimo modelio vertinimu, identifikuotais pagrindiniais iššūkiais </w:t>
      </w:r>
      <w:r w:rsidRPr="004858A5">
        <w:rPr>
          <w:kern w:val="2"/>
          <w:szCs w:val="24"/>
          <w14:ligatures w14:val="standardContextual"/>
        </w:rPr>
        <w:t>bei pateikti 3 alternatyvūs įgyvendinimo ir koordinavimo alternatyvūs scenarijai su jų įgyvendinimui reikalingais teisiniais, organizaciniais ir techniniais sprendimais.</w:t>
      </w:r>
    </w:p>
    <w:p w14:paraId="5A132342" w14:textId="77777777" w:rsidR="00A9296E" w:rsidRPr="004858A5" w:rsidRDefault="00A9296E" w:rsidP="00A9296E">
      <w:pPr>
        <w:spacing w:after="160"/>
        <w:jc w:val="both"/>
        <w:rPr>
          <w:kern w:val="2"/>
          <w:szCs w:val="24"/>
          <w14:ligatures w14:val="standardContextual"/>
        </w:rPr>
      </w:pPr>
      <w:r w:rsidRPr="004858A5">
        <w:rPr>
          <w:kern w:val="2"/>
          <w:szCs w:val="24"/>
          <w14:ligatures w14:val="standardContextual"/>
        </w:rPr>
        <w:t xml:space="preserve">3.2.4. Paslaugų rezultatai pateikti taip, kad būtų galima juos naudoti priimant sprendimus dėl optimaliausio įgyvendinimo ir koordinavimo mechanizmo ir jo įgyvendinimui reikalingų </w:t>
      </w:r>
      <w:r w:rsidRPr="004858A5">
        <w:rPr>
          <w:szCs w:val="24"/>
        </w:rPr>
        <w:t>teisinių, organizacinių ir techninių sprendimų</w:t>
      </w:r>
      <w:r w:rsidRPr="004858A5">
        <w:rPr>
          <w:kern w:val="2"/>
          <w:szCs w:val="24"/>
          <w14:ligatures w14:val="standardContextual"/>
        </w:rPr>
        <w:t xml:space="preserve"> nustatymo. </w:t>
      </w:r>
    </w:p>
    <w:p w14:paraId="2B3C835A" w14:textId="77777777" w:rsidR="00A9296E" w:rsidRPr="004858A5" w:rsidRDefault="00A9296E" w:rsidP="00A9296E">
      <w:pPr>
        <w:spacing w:after="160"/>
        <w:jc w:val="center"/>
        <w:rPr>
          <w:rFonts w:eastAsia="Aptos"/>
          <w:b/>
          <w:kern w:val="2"/>
          <w:szCs w:val="24"/>
          <w14:ligatures w14:val="standardContextual"/>
        </w:rPr>
      </w:pPr>
      <w:r w:rsidRPr="004858A5">
        <w:rPr>
          <w:rFonts w:eastAsia="Aptos"/>
          <w:b/>
          <w:kern w:val="2"/>
          <w:szCs w:val="24"/>
          <w14:ligatures w14:val="standardContextual"/>
        </w:rPr>
        <w:t>IV. PASLAUGŲ TEIKIMO TVARKA IR TERMINAI</w:t>
      </w:r>
    </w:p>
    <w:p w14:paraId="4B87EE82" w14:textId="77777777" w:rsidR="00A9296E" w:rsidRPr="004858A5" w:rsidRDefault="00A9296E" w:rsidP="00A9296E">
      <w:pPr>
        <w:spacing w:after="160"/>
        <w:jc w:val="both"/>
        <w:rPr>
          <w:rFonts w:eastAsia="Aptos"/>
          <w:b/>
          <w:kern w:val="2"/>
          <w:szCs w:val="24"/>
          <w14:ligatures w14:val="standardContextual"/>
        </w:rPr>
      </w:pPr>
      <w:r w:rsidRPr="004858A5">
        <w:rPr>
          <w:rFonts w:eastAsia="Aptos"/>
          <w:b/>
          <w:bCs/>
          <w:kern w:val="2"/>
          <w:szCs w:val="24"/>
          <w14:ligatures w14:val="standardContextual"/>
        </w:rPr>
        <w:t>4.1.</w:t>
      </w:r>
      <w:r w:rsidRPr="004858A5">
        <w:rPr>
          <w:rFonts w:eastAsia="Aptos"/>
          <w:b/>
          <w:kern w:val="2"/>
          <w:szCs w:val="24"/>
          <w14:ligatures w14:val="standardContextual"/>
        </w:rPr>
        <w:t xml:space="preserve"> Paslaugų sutartis bus vykdoma šia tvarka:</w:t>
      </w:r>
    </w:p>
    <w:p w14:paraId="39ABF271" w14:textId="2B7BEEB3" w:rsidR="00261FAE" w:rsidRPr="004858A5" w:rsidRDefault="00A9296E" w:rsidP="00A9296E">
      <w:pPr>
        <w:tabs>
          <w:tab w:val="left" w:pos="1276"/>
        </w:tabs>
        <w:jc w:val="both"/>
        <w:rPr>
          <w:rFonts w:eastAsia="Aptos"/>
          <w:kern w:val="2"/>
          <w:szCs w:val="24"/>
          <w14:ligatures w14:val="standardContextual"/>
        </w:rPr>
      </w:pPr>
      <w:r w:rsidRPr="004858A5">
        <w:rPr>
          <w:rFonts w:eastAsia="Aptos"/>
          <w:kern w:val="2"/>
          <w:szCs w:val="24"/>
          <w14:ligatures w14:val="standardContextual"/>
        </w:rPr>
        <w:t xml:space="preserve">4.1.1. Paslaugų teikimo ir sutarties priežiūrą vykdo ir kontroliuoja Strateginių pokyčių grupės patarėja Rimantė </w:t>
      </w:r>
      <w:proofErr w:type="spellStart"/>
      <w:r w:rsidRPr="004858A5">
        <w:rPr>
          <w:rFonts w:eastAsia="Aptos"/>
          <w:kern w:val="2"/>
          <w:szCs w:val="24"/>
          <w14:ligatures w14:val="standardContextual"/>
        </w:rPr>
        <w:t>Dėringytė</w:t>
      </w:r>
      <w:proofErr w:type="spellEnd"/>
      <w:r w:rsidRPr="004858A5">
        <w:rPr>
          <w:rFonts w:eastAsia="Aptos"/>
          <w:kern w:val="2"/>
          <w:szCs w:val="24"/>
          <w14:ligatures w14:val="standardContextual"/>
        </w:rPr>
        <w:t xml:space="preserve">. </w:t>
      </w:r>
    </w:p>
    <w:p w14:paraId="7DB69304" w14:textId="5AEF796B" w:rsidR="00A9296E" w:rsidRPr="004858A5" w:rsidRDefault="00A9296E" w:rsidP="00A9296E">
      <w:pPr>
        <w:tabs>
          <w:tab w:val="left" w:pos="1276"/>
        </w:tabs>
        <w:jc w:val="both"/>
        <w:rPr>
          <w:rFonts w:eastAsia="Aptos"/>
          <w:kern w:val="2"/>
          <w:szCs w:val="24"/>
          <w14:ligatures w14:val="standardContextual"/>
        </w:rPr>
      </w:pPr>
      <w:r w:rsidRPr="004858A5">
        <w:rPr>
          <w:rFonts w:eastAsia="Aptos"/>
          <w:kern w:val="2"/>
          <w:szCs w:val="24"/>
          <w14:ligatures w14:val="standardContextual"/>
        </w:rPr>
        <w:t xml:space="preserve">4.1.2. </w:t>
      </w:r>
      <w:r w:rsidR="0089345A">
        <w:rPr>
          <w:rFonts w:eastAsia="Aptos"/>
          <w:kern w:val="2"/>
          <w:szCs w:val="24"/>
          <w14:ligatures w14:val="standardContextual"/>
        </w:rPr>
        <w:t>Po sutarties pasirašymo</w:t>
      </w:r>
      <w:r w:rsidR="00AB63C7">
        <w:rPr>
          <w:rFonts w:eastAsia="Aptos"/>
          <w:kern w:val="2"/>
          <w:szCs w:val="24"/>
          <w14:ligatures w14:val="standardContextual"/>
        </w:rPr>
        <w:t xml:space="preserve">, ne vėliau kaip per </w:t>
      </w:r>
      <w:r w:rsidR="00AB63C7" w:rsidRPr="005B389F">
        <w:rPr>
          <w:rFonts w:eastAsia="Aptos"/>
          <w:kern w:val="2"/>
          <w:szCs w:val="24"/>
          <w14:ligatures w14:val="standardContextual"/>
        </w:rPr>
        <w:t xml:space="preserve">5 </w:t>
      </w:r>
      <w:r w:rsidR="00AB63C7">
        <w:rPr>
          <w:rFonts w:eastAsia="Aptos"/>
          <w:kern w:val="2"/>
          <w:szCs w:val="24"/>
          <w14:ligatures w14:val="standardContextual"/>
        </w:rPr>
        <w:t xml:space="preserve">d. d. </w:t>
      </w:r>
      <w:r w:rsidR="00F75663">
        <w:rPr>
          <w:rFonts w:eastAsia="Aptos"/>
          <w:kern w:val="2"/>
          <w:szCs w:val="24"/>
          <w14:ligatures w14:val="standardContextual"/>
        </w:rPr>
        <w:t xml:space="preserve">planuojamas įvadinis susitikimas. </w:t>
      </w:r>
      <w:r w:rsidRPr="004858A5">
        <w:rPr>
          <w:rFonts w:eastAsia="Aptos"/>
          <w:kern w:val="2"/>
          <w:szCs w:val="24"/>
          <w14:ligatures w14:val="standardContextual"/>
        </w:rPr>
        <w:t>Įvadinio susitikimo metu paslaugų teikėjas pateikia: taikomos metodologijos pristatymą, interviu klausimyną,  planuojamą interviu skaičių su dalyvių struktūra, paslaugų vykdymo darbo planą, kurį sudaro darbų etapų vykdymo ir rezultatų pristatymo planuojamos datos.</w:t>
      </w:r>
    </w:p>
    <w:p w14:paraId="6032F9E9" w14:textId="77777777" w:rsidR="00A9296E" w:rsidRDefault="00A9296E" w:rsidP="00A10B04">
      <w:pPr>
        <w:tabs>
          <w:tab w:val="left" w:pos="1276"/>
        </w:tabs>
        <w:spacing w:before="240" w:after="240"/>
        <w:contextualSpacing/>
        <w:jc w:val="both"/>
        <w:rPr>
          <w:rFonts w:eastAsia="Aptos"/>
          <w:kern w:val="2"/>
          <w:szCs w:val="24"/>
          <w14:ligatures w14:val="standardContextual"/>
        </w:rPr>
      </w:pPr>
      <w:r w:rsidRPr="004858A5">
        <w:rPr>
          <w:rFonts w:eastAsia="Aptos"/>
          <w:kern w:val="2"/>
          <w:szCs w:val="24"/>
          <w14:ligatures w14:val="standardContextual"/>
        </w:rPr>
        <w:t>4.1.</w:t>
      </w:r>
      <w:r w:rsidRPr="004858A5">
        <w:rPr>
          <w:rFonts w:eastAsia="Aptos"/>
          <w:kern w:val="2"/>
          <w:szCs w:val="24"/>
          <w:lang w:val="pt-BR"/>
          <w14:ligatures w14:val="standardContextual"/>
        </w:rPr>
        <w:t>3</w:t>
      </w:r>
      <w:r w:rsidRPr="004858A5">
        <w:rPr>
          <w:rFonts w:eastAsia="Aptos"/>
          <w:kern w:val="2"/>
          <w:szCs w:val="24"/>
          <w14:ligatures w14:val="standardContextual"/>
        </w:rPr>
        <w:t xml:space="preserve"> Pirmoji tarpinė ataskaitos versija pateikiama „MS Word“ formatu, o prezentacija yra pateikiama „Microsoft PowerPoint“ formatu. Galutinė ataskaita (</w:t>
      </w:r>
      <w:proofErr w:type="spellStart"/>
      <w:r w:rsidRPr="004858A5">
        <w:rPr>
          <w:rFonts w:eastAsia="Aptos"/>
          <w:kern w:val="2"/>
          <w:szCs w:val="24"/>
          <w14:ligatures w14:val="standardContextual"/>
        </w:rPr>
        <w:t>t.y</w:t>
      </w:r>
      <w:proofErr w:type="spellEnd"/>
      <w:r w:rsidRPr="004858A5">
        <w:rPr>
          <w:rFonts w:eastAsia="Aptos"/>
          <w:kern w:val="2"/>
          <w:szCs w:val="24"/>
          <w14:ligatures w14:val="standardContextual"/>
        </w:rPr>
        <w:t>. suderinta ir pagal pastabas taisyta ataskaitos versija) turi būti: pateikiama „MS Word“ formatu ir sumaketuota, PDF („</w:t>
      </w:r>
      <w:proofErr w:type="spellStart"/>
      <w:r w:rsidRPr="004858A5">
        <w:rPr>
          <w:rFonts w:eastAsia="Aptos"/>
          <w:kern w:val="2"/>
          <w:szCs w:val="24"/>
          <w14:ligatures w14:val="standardContextual"/>
        </w:rPr>
        <w:t>Portable</w:t>
      </w:r>
      <w:proofErr w:type="spellEnd"/>
      <w:r w:rsidRPr="004858A5">
        <w:rPr>
          <w:rFonts w:eastAsia="Aptos"/>
          <w:kern w:val="2"/>
          <w:szCs w:val="24"/>
          <w14:ligatures w14:val="standardContextual"/>
        </w:rPr>
        <w:t xml:space="preserve"> </w:t>
      </w:r>
      <w:proofErr w:type="spellStart"/>
      <w:r w:rsidRPr="004858A5">
        <w:rPr>
          <w:rFonts w:eastAsia="Aptos"/>
          <w:kern w:val="2"/>
          <w:szCs w:val="24"/>
          <w14:ligatures w14:val="standardContextual"/>
        </w:rPr>
        <w:t>Document</w:t>
      </w:r>
      <w:proofErr w:type="spellEnd"/>
      <w:r w:rsidRPr="004858A5">
        <w:rPr>
          <w:rFonts w:eastAsia="Aptos"/>
          <w:kern w:val="2"/>
          <w:szCs w:val="24"/>
          <w14:ligatures w14:val="standardContextual"/>
        </w:rPr>
        <w:t xml:space="preserve"> </w:t>
      </w:r>
      <w:proofErr w:type="spellStart"/>
      <w:r w:rsidRPr="004858A5">
        <w:rPr>
          <w:rFonts w:eastAsia="Aptos"/>
          <w:kern w:val="2"/>
          <w:szCs w:val="24"/>
          <w14:ligatures w14:val="standardContextual"/>
        </w:rPr>
        <w:t>Format</w:t>
      </w:r>
      <w:proofErr w:type="spellEnd"/>
      <w:r w:rsidRPr="004858A5">
        <w:rPr>
          <w:rFonts w:eastAsia="Aptos"/>
          <w:kern w:val="2"/>
          <w:szCs w:val="24"/>
          <w14:ligatures w14:val="standardContextual"/>
        </w:rPr>
        <w:t xml:space="preserve">“) formatu; atitikti lietuvių kalbos bendrinės kalbos vartojimo reikalavimus. </w:t>
      </w:r>
    </w:p>
    <w:p w14:paraId="778369B4" w14:textId="77777777" w:rsidR="00A10B04" w:rsidRPr="004858A5" w:rsidRDefault="00A10B04" w:rsidP="00A10B04">
      <w:pPr>
        <w:tabs>
          <w:tab w:val="left" w:pos="1276"/>
        </w:tabs>
        <w:spacing w:before="240" w:after="240"/>
        <w:contextualSpacing/>
        <w:jc w:val="both"/>
        <w:rPr>
          <w:rFonts w:eastAsia="Aptos"/>
          <w:kern w:val="2"/>
          <w:szCs w:val="24"/>
          <w14:ligatures w14:val="standardContextual"/>
        </w:rPr>
      </w:pPr>
    </w:p>
    <w:p w14:paraId="1927F7C4" w14:textId="205FEA7B" w:rsidR="009659CC" w:rsidRDefault="00A9296E" w:rsidP="009659CC">
      <w:pPr>
        <w:spacing w:after="160" w:line="278" w:lineRule="auto"/>
        <w:contextualSpacing/>
        <w:jc w:val="both"/>
        <w:rPr>
          <w:rFonts w:eastAsia="Aptos"/>
          <w:b/>
          <w:kern w:val="2"/>
          <w:szCs w:val="24"/>
          <w14:ligatures w14:val="standardContextual"/>
        </w:rPr>
      </w:pPr>
      <w:r w:rsidRPr="004858A5">
        <w:rPr>
          <w:rFonts w:eastAsia="Aptos"/>
          <w:b/>
          <w:kern w:val="2"/>
          <w:szCs w:val="24"/>
          <w14:ligatures w14:val="standardContextual"/>
        </w:rPr>
        <w:t>4.2. Paslaugų sutarties vykdymo terminai:</w:t>
      </w:r>
    </w:p>
    <w:p w14:paraId="67FA4DFC" w14:textId="77777777" w:rsidR="0045389A" w:rsidRDefault="0045389A" w:rsidP="009659CC">
      <w:pPr>
        <w:spacing w:after="160" w:line="278" w:lineRule="auto"/>
        <w:contextualSpacing/>
        <w:jc w:val="both"/>
        <w:rPr>
          <w:rFonts w:eastAsia="Aptos"/>
          <w:b/>
          <w:kern w:val="2"/>
          <w:szCs w:val="24"/>
          <w14:ligatures w14:val="standardContextual"/>
        </w:rPr>
      </w:pPr>
    </w:p>
    <w:p w14:paraId="37263F2F" w14:textId="077B0F9C" w:rsidR="00ED6133" w:rsidRDefault="009659CC" w:rsidP="009659CC">
      <w:pPr>
        <w:spacing w:after="160" w:line="278" w:lineRule="auto"/>
        <w:contextualSpacing/>
        <w:jc w:val="both"/>
        <w:rPr>
          <w:rFonts w:eastAsia="Aptos"/>
          <w:kern w:val="2"/>
          <w:szCs w:val="24"/>
          <w:lang w:eastAsia="lt-LT"/>
          <w14:ligatures w14:val="standardContextual"/>
        </w:rPr>
      </w:pPr>
      <w:r w:rsidRPr="00A10B04">
        <w:rPr>
          <w:rFonts w:eastAsia="Aptos"/>
          <w:bCs/>
          <w:kern w:val="2"/>
          <w:szCs w:val="24"/>
          <w14:ligatures w14:val="standardContextual"/>
        </w:rPr>
        <w:t>4.2.1</w:t>
      </w:r>
      <w:r w:rsidR="00A10B04" w:rsidRPr="00A10B04">
        <w:rPr>
          <w:rFonts w:eastAsia="Aptos"/>
          <w:bCs/>
          <w:kern w:val="2"/>
          <w:szCs w:val="24"/>
          <w14:ligatures w14:val="standardContextual"/>
        </w:rPr>
        <w:t>.</w:t>
      </w:r>
      <w:r>
        <w:rPr>
          <w:rFonts w:eastAsia="Aptos"/>
          <w:b/>
          <w:kern w:val="2"/>
          <w:szCs w:val="24"/>
          <w14:ligatures w14:val="standardContextual"/>
        </w:rPr>
        <w:t xml:space="preserve"> </w:t>
      </w:r>
      <w:r w:rsidR="00A9296E" w:rsidRPr="004858A5">
        <w:rPr>
          <w:rFonts w:eastAsia="Aptos"/>
          <w:kern w:val="2"/>
          <w:szCs w:val="24"/>
          <w:lang w:eastAsia="lt-LT"/>
          <w14:ligatures w14:val="standardContextual"/>
        </w:rPr>
        <w:t xml:space="preserve">Pastabos po tarpinio ir galutinio rezultatų pristatymo Paslaugos teikėjui pateikiamos </w:t>
      </w:r>
      <w:r w:rsidR="006E765C">
        <w:rPr>
          <w:rFonts w:eastAsia="Aptos"/>
          <w:kern w:val="2"/>
          <w:szCs w:val="24"/>
          <w:lang w:eastAsia="lt-LT"/>
          <w14:ligatures w14:val="standardContextual"/>
        </w:rPr>
        <w:t xml:space="preserve">raštu </w:t>
      </w:r>
      <w:r w:rsidR="00A9296E" w:rsidRPr="004858A5">
        <w:rPr>
          <w:rFonts w:eastAsia="Aptos"/>
          <w:kern w:val="2"/>
          <w:szCs w:val="24"/>
          <w:lang w:eastAsia="lt-LT"/>
          <w14:ligatures w14:val="standardContextual"/>
        </w:rPr>
        <w:t xml:space="preserve">ne vėliau kaip per 15 kalendorinių dienų.  </w:t>
      </w:r>
    </w:p>
    <w:p w14:paraId="7F6D36F3" w14:textId="20B335AC" w:rsidR="00BC1889" w:rsidRPr="004858A5" w:rsidRDefault="00ED6133" w:rsidP="009659CC">
      <w:pPr>
        <w:spacing w:after="160" w:line="278" w:lineRule="auto"/>
        <w:contextualSpacing/>
        <w:jc w:val="both"/>
        <w:rPr>
          <w:rFonts w:eastAsia="Aptos"/>
          <w:kern w:val="2"/>
          <w:szCs w:val="24"/>
          <w14:ligatures w14:val="standardContextual"/>
        </w:rPr>
      </w:pPr>
      <w:r>
        <w:rPr>
          <w:rFonts w:eastAsia="Aptos"/>
          <w:kern w:val="2"/>
          <w:szCs w:val="24"/>
          <w:lang w:eastAsia="lt-LT"/>
          <w14:ligatures w14:val="standardContextual"/>
        </w:rPr>
        <w:t xml:space="preserve">4.2.2. </w:t>
      </w:r>
      <w:r w:rsidR="00641DAC">
        <w:rPr>
          <w:rFonts w:eastAsia="Aptos"/>
          <w:kern w:val="2"/>
          <w:szCs w:val="24"/>
          <w:lang w:eastAsia="lt-LT"/>
          <w14:ligatures w14:val="standardContextual"/>
        </w:rPr>
        <w:t xml:space="preserve">Nustatytų trūkumų ištaisymo (pašalinimo) terminas </w:t>
      </w:r>
      <w:r w:rsidR="00270883">
        <w:rPr>
          <w:rFonts w:eastAsia="Aptos"/>
          <w:kern w:val="2"/>
          <w:szCs w:val="24"/>
          <w:lang w:eastAsia="lt-LT"/>
          <w14:ligatures w14:val="standardContextual"/>
        </w:rPr>
        <w:t xml:space="preserve">ne vėliau kaip per </w:t>
      </w:r>
      <w:r w:rsidR="006025E0" w:rsidRPr="005B389F">
        <w:rPr>
          <w:rFonts w:eastAsia="Aptos"/>
          <w:kern w:val="2"/>
          <w:szCs w:val="24"/>
          <w:lang w:eastAsia="lt-LT"/>
          <w14:ligatures w14:val="standardContextual"/>
        </w:rPr>
        <w:t>5</w:t>
      </w:r>
      <w:r w:rsidR="006025E0">
        <w:rPr>
          <w:rFonts w:eastAsia="Aptos"/>
          <w:kern w:val="2"/>
          <w:szCs w:val="24"/>
          <w:lang w:eastAsia="lt-LT"/>
          <w14:ligatures w14:val="standardContextual"/>
        </w:rPr>
        <w:t xml:space="preserve"> d. d. </w:t>
      </w:r>
      <w:r w:rsidR="00011187">
        <w:rPr>
          <w:rFonts w:eastAsia="Aptos"/>
          <w:kern w:val="2"/>
          <w:szCs w:val="24"/>
          <w:lang w:eastAsia="lt-LT"/>
          <w14:ligatures w14:val="standardContextual"/>
        </w:rPr>
        <w:t xml:space="preserve">po </w:t>
      </w:r>
      <w:r w:rsidR="006E765C">
        <w:rPr>
          <w:rFonts w:eastAsia="Aptos"/>
          <w:kern w:val="2"/>
          <w:szCs w:val="24"/>
          <w:lang w:eastAsia="lt-LT"/>
          <w14:ligatures w14:val="standardContextual"/>
        </w:rPr>
        <w:t xml:space="preserve">to, kai </w:t>
      </w:r>
      <w:r w:rsidR="001B1459">
        <w:rPr>
          <w:rFonts w:eastAsia="Aptos"/>
          <w:kern w:val="2"/>
          <w:szCs w:val="24"/>
          <w:lang w:eastAsia="lt-LT"/>
          <w14:ligatures w14:val="standardContextual"/>
        </w:rPr>
        <w:t>buvo pateikt</w:t>
      </w:r>
      <w:r w:rsidR="00131CFA">
        <w:rPr>
          <w:rFonts w:eastAsia="Aptos"/>
          <w:kern w:val="2"/>
          <w:szCs w:val="24"/>
          <w:lang w:eastAsia="lt-LT"/>
          <w14:ligatures w14:val="standardContextual"/>
        </w:rPr>
        <w:t xml:space="preserve">os Paslaugos gavėjo pastabos. </w:t>
      </w:r>
      <w:r w:rsidR="00D54C8E">
        <w:rPr>
          <w:rFonts w:eastAsia="Aptos"/>
          <w:kern w:val="2"/>
          <w:szCs w:val="24"/>
          <w:lang w:eastAsia="lt-LT"/>
          <w14:ligatures w14:val="standardContextual"/>
        </w:rPr>
        <w:t>Trūkumų i</w:t>
      </w:r>
      <w:r w:rsidR="008D781A">
        <w:rPr>
          <w:rFonts w:eastAsia="Aptos"/>
          <w:kern w:val="2"/>
          <w:szCs w:val="24"/>
          <w:lang w:eastAsia="lt-LT"/>
          <w14:ligatures w14:val="standardContextual"/>
        </w:rPr>
        <w:t xml:space="preserve">štaisymo terminas </w:t>
      </w:r>
      <w:r w:rsidR="00D54C8E">
        <w:rPr>
          <w:rFonts w:eastAsia="Aptos"/>
          <w:kern w:val="2"/>
          <w:szCs w:val="24"/>
          <w:lang w:eastAsia="lt-LT"/>
          <w14:ligatures w14:val="standardContextual"/>
        </w:rPr>
        <w:t xml:space="preserve">gali būti pratęstas ne ilgiau kaip </w:t>
      </w:r>
      <w:r w:rsidR="00D54C8E" w:rsidRPr="005B389F">
        <w:rPr>
          <w:rFonts w:eastAsia="Aptos"/>
          <w:kern w:val="2"/>
          <w:szCs w:val="24"/>
          <w:lang w:eastAsia="lt-LT"/>
          <w14:ligatures w14:val="standardContextual"/>
        </w:rPr>
        <w:t>3</w:t>
      </w:r>
      <w:r w:rsidR="00D54C8E">
        <w:rPr>
          <w:rFonts w:eastAsia="Aptos"/>
          <w:kern w:val="2"/>
          <w:szCs w:val="24"/>
          <w:lang w:eastAsia="lt-LT"/>
          <w14:ligatures w14:val="standardContextual"/>
        </w:rPr>
        <w:t xml:space="preserve"> d. d.</w:t>
      </w:r>
    </w:p>
    <w:p w14:paraId="3F99B686" w14:textId="7788C266" w:rsidR="00A9296E" w:rsidRPr="004858A5" w:rsidRDefault="00ED6133" w:rsidP="00ED6133">
      <w:pPr>
        <w:spacing w:after="160" w:line="278" w:lineRule="auto"/>
        <w:contextualSpacing/>
        <w:jc w:val="both"/>
        <w:rPr>
          <w:rFonts w:eastAsia="Aptos"/>
          <w:kern w:val="2"/>
          <w:szCs w:val="24"/>
          <w14:ligatures w14:val="standardContextual"/>
        </w:rPr>
      </w:pPr>
      <w:r>
        <w:rPr>
          <w:rFonts w:eastAsia="Aptos"/>
          <w:kern w:val="2"/>
          <w:szCs w:val="24"/>
          <w14:ligatures w14:val="standardContextual"/>
        </w:rPr>
        <w:t xml:space="preserve">4.2.3. </w:t>
      </w:r>
      <w:r w:rsidR="00A9296E" w:rsidRPr="004858A5">
        <w:rPr>
          <w:rFonts w:eastAsia="Aptos"/>
          <w:kern w:val="2"/>
          <w:szCs w:val="24"/>
          <w14:ligatures w14:val="standardContextual"/>
        </w:rPr>
        <w:t xml:space="preserve">Kai paslauga yra suteikta tinkamai ir Kultūros ministerija priima teigiamą sprendimą dėl galutinės ataskaitos kokybės, </w:t>
      </w:r>
      <w:r w:rsidR="00A9296E" w:rsidRPr="00ED6133">
        <w:rPr>
          <w:rFonts w:eastAsia="Aptos"/>
          <w:kern w:val="2"/>
          <w:szCs w:val="24"/>
          <w14:ligatures w14:val="standardContextual"/>
        </w:rPr>
        <w:t xml:space="preserve">per </w:t>
      </w:r>
      <w:r w:rsidR="00A52E8E" w:rsidRPr="00ED6133">
        <w:rPr>
          <w:rFonts w:eastAsia="Aptos"/>
          <w:kern w:val="2"/>
          <w:szCs w:val="24"/>
          <w14:ligatures w14:val="standardContextual"/>
        </w:rPr>
        <w:t>5</w:t>
      </w:r>
      <w:r w:rsidR="00A9296E" w:rsidRPr="00ED6133">
        <w:rPr>
          <w:rFonts w:eastAsia="Aptos"/>
          <w:kern w:val="2"/>
          <w:szCs w:val="24"/>
          <w14:ligatures w14:val="standardContextual"/>
        </w:rPr>
        <w:t xml:space="preserve"> darbo dienas</w:t>
      </w:r>
      <w:r w:rsidR="00A9296E" w:rsidRPr="004858A5">
        <w:rPr>
          <w:rFonts w:eastAsia="Aptos"/>
          <w:kern w:val="2"/>
          <w:szCs w:val="24"/>
          <w14:ligatures w14:val="standardContextual"/>
        </w:rPr>
        <w:t xml:space="preserve"> nuo priimto sprendimo suderinamas ir pasirašomas paslaugų perdavimo-priėmimo aktas.</w:t>
      </w:r>
    </w:p>
    <w:p w14:paraId="06FC08DA" w14:textId="77777777" w:rsidR="00A9296E" w:rsidRPr="004858A5" w:rsidRDefault="00A9296E" w:rsidP="00A9296E">
      <w:pPr>
        <w:keepNext/>
        <w:keepLines/>
        <w:jc w:val="center"/>
        <w:outlineLvl w:val="2"/>
        <w:rPr>
          <w:rFonts w:eastAsia="Aptos"/>
          <w:kern w:val="2"/>
          <w:szCs w:val="24"/>
          <w14:ligatures w14:val="standardContextual"/>
        </w:rPr>
      </w:pPr>
      <w:r w:rsidRPr="004858A5">
        <w:rPr>
          <w:kern w:val="2"/>
          <w:szCs w:val="24"/>
          <w14:ligatures w14:val="standardContextual"/>
        </w:rPr>
        <w:t>____________________</w:t>
      </w:r>
    </w:p>
    <w:p w14:paraId="0DEC4254" w14:textId="77777777" w:rsidR="00A9296E" w:rsidRPr="004858A5" w:rsidRDefault="00A9296E" w:rsidP="00A9296E">
      <w:pPr>
        <w:jc w:val="both"/>
        <w:rPr>
          <w:kern w:val="2"/>
          <w:szCs w:val="24"/>
          <w14:ligatures w14:val="standardContextual"/>
        </w:rPr>
      </w:pPr>
    </w:p>
    <w:p w14:paraId="3BB94DA8" w14:textId="77777777" w:rsidR="00A9296E" w:rsidRPr="00536BDE" w:rsidRDefault="00A9296E" w:rsidP="00A9296E">
      <w:pPr>
        <w:tabs>
          <w:tab w:val="left" w:pos="284"/>
        </w:tabs>
        <w:spacing w:line="276" w:lineRule="auto"/>
        <w:rPr>
          <w:szCs w:val="24"/>
          <w:lang w:eastAsia="lt-LT"/>
        </w:rPr>
      </w:pPr>
    </w:p>
    <w:p w14:paraId="20C93FFE" w14:textId="77777777" w:rsidR="008462CB" w:rsidRDefault="008462CB"/>
    <w:sectPr w:rsidR="008462CB" w:rsidSect="00A9296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BF9B" w14:textId="77777777" w:rsidR="00573828" w:rsidRDefault="00573828">
      <w:r>
        <w:separator/>
      </w:r>
    </w:p>
  </w:endnote>
  <w:endnote w:type="continuationSeparator" w:id="0">
    <w:p w14:paraId="6BAAE081" w14:textId="77777777" w:rsidR="00573828" w:rsidRDefault="0057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CE0B" w14:textId="77777777" w:rsidR="00573828" w:rsidRDefault="00573828">
      <w:r>
        <w:separator/>
      </w:r>
    </w:p>
  </w:footnote>
  <w:footnote w:type="continuationSeparator" w:id="0">
    <w:p w14:paraId="166728E3" w14:textId="77777777" w:rsidR="00573828" w:rsidRDefault="0057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0843" w14:textId="77777777" w:rsidR="00A9296E" w:rsidRDefault="00A9296E" w:rsidP="00800949">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542"/>
    <w:multiLevelType w:val="multilevel"/>
    <w:tmpl w:val="10733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1" w15:restartNumberingAfterBreak="0">
    <w:nsid w:val="11A50E8B"/>
    <w:multiLevelType w:val="multilevel"/>
    <w:tmpl w:val="4AF89C8E"/>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858040734">
    <w:abstractNumId w:val="0"/>
  </w:num>
  <w:num w:numId="2" w16cid:durableId="83784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6E"/>
    <w:rsid w:val="00010597"/>
    <w:rsid w:val="00011187"/>
    <w:rsid w:val="00021E83"/>
    <w:rsid w:val="00056C18"/>
    <w:rsid w:val="0008327E"/>
    <w:rsid w:val="00084382"/>
    <w:rsid w:val="000948DF"/>
    <w:rsid w:val="000A108C"/>
    <w:rsid w:val="00131CFA"/>
    <w:rsid w:val="00133950"/>
    <w:rsid w:val="00172C4A"/>
    <w:rsid w:val="00194DA9"/>
    <w:rsid w:val="001B1459"/>
    <w:rsid w:val="002156F4"/>
    <w:rsid w:val="00250E2C"/>
    <w:rsid w:val="00261FAE"/>
    <w:rsid w:val="00270883"/>
    <w:rsid w:val="002E0477"/>
    <w:rsid w:val="002E6598"/>
    <w:rsid w:val="00321564"/>
    <w:rsid w:val="003B2469"/>
    <w:rsid w:val="003E1F26"/>
    <w:rsid w:val="0044448D"/>
    <w:rsid w:val="0045389A"/>
    <w:rsid w:val="004B00B1"/>
    <w:rsid w:val="004F71F1"/>
    <w:rsid w:val="00523438"/>
    <w:rsid w:val="0055310A"/>
    <w:rsid w:val="00566648"/>
    <w:rsid w:val="00573828"/>
    <w:rsid w:val="00583AE7"/>
    <w:rsid w:val="005B389F"/>
    <w:rsid w:val="005B6EE8"/>
    <w:rsid w:val="005F0BBA"/>
    <w:rsid w:val="005F729F"/>
    <w:rsid w:val="006025E0"/>
    <w:rsid w:val="00641DAC"/>
    <w:rsid w:val="00666DD2"/>
    <w:rsid w:val="006D0D43"/>
    <w:rsid w:val="006E765C"/>
    <w:rsid w:val="00741448"/>
    <w:rsid w:val="0079353D"/>
    <w:rsid w:val="007B653E"/>
    <w:rsid w:val="007D34AE"/>
    <w:rsid w:val="00815DF0"/>
    <w:rsid w:val="00825582"/>
    <w:rsid w:val="008462CB"/>
    <w:rsid w:val="0089345A"/>
    <w:rsid w:val="008B0624"/>
    <w:rsid w:val="008D781A"/>
    <w:rsid w:val="0093555E"/>
    <w:rsid w:val="0095048C"/>
    <w:rsid w:val="00963A8D"/>
    <w:rsid w:val="009659CC"/>
    <w:rsid w:val="009A6363"/>
    <w:rsid w:val="009D5B33"/>
    <w:rsid w:val="00A10B04"/>
    <w:rsid w:val="00A52E8E"/>
    <w:rsid w:val="00A9296E"/>
    <w:rsid w:val="00AB63C7"/>
    <w:rsid w:val="00AC7D4A"/>
    <w:rsid w:val="00B739A6"/>
    <w:rsid w:val="00BC1889"/>
    <w:rsid w:val="00BF5816"/>
    <w:rsid w:val="00C1302F"/>
    <w:rsid w:val="00C57E73"/>
    <w:rsid w:val="00C60FBB"/>
    <w:rsid w:val="00C75ED1"/>
    <w:rsid w:val="00C874A1"/>
    <w:rsid w:val="00C92FA7"/>
    <w:rsid w:val="00CA2BF9"/>
    <w:rsid w:val="00CB435E"/>
    <w:rsid w:val="00CB5F6F"/>
    <w:rsid w:val="00CC7AE5"/>
    <w:rsid w:val="00D4454A"/>
    <w:rsid w:val="00D54C8E"/>
    <w:rsid w:val="00D96A49"/>
    <w:rsid w:val="00ED6133"/>
    <w:rsid w:val="00EE70D0"/>
    <w:rsid w:val="00F37B33"/>
    <w:rsid w:val="00F477B3"/>
    <w:rsid w:val="00F75663"/>
    <w:rsid w:val="00FA37BD"/>
    <w:rsid w:val="00FD3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3B07"/>
  <w15:chartTrackingRefBased/>
  <w15:docId w15:val="{F0B67134-E12B-490F-BABD-77099FD3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6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92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9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9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9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9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96E"/>
    <w:rPr>
      <w:rFonts w:eastAsiaTheme="majorEastAsia" w:cstheme="majorBidi"/>
      <w:color w:val="272727" w:themeColor="text1" w:themeTint="D8"/>
    </w:rPr>
  </w:style>
  <w:style w:type="paragraph" w:styleId="Title">
    <w:name w:val="Title"/>
    <w:basedOn w:val="Normal"/>
    <w:next w:val="Normal"/>
    <w:link w:val="TitleChar"/>
    <w:uiPriority w:val="10"/>
    <w:qFormat/>
    <w:rsid w:val="00A929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96E"/>
    <w:pPr>
      <w:spacing w:before="160"/>
      <w:jc w:val="center"/>
    </w:pPr>
    <w:rPr>
      <w:i/>
      <w:iCs/>
      <w:color w:val="404040" w:themeColor="text1" w:themeTint="BF"/>
    </w:rPr>
  </w:style>
  <w:style w:type="character" w:customStyle="1" w:styleId="QuoteChar">
    <w:name w:val="Quote Char"/>
    <w:basedOn w:val="DefaultParagraphFont"/>
    <w:link w:val="Quote"/>
    <w:uiPriority w:val="29"/>
    <w:rsid w:val="00A9296E"/>
    <w:rPr>
      <w:i/>
      <w:iCs/>
      <w:color w:val="404040" w:themeColor="text1" w:themeTint="BF"/>
    </w:rPr>
  </w:style>
  <w:style w:type="paragraph" w:styleId="ListParagraph">
    <w:name w:val="List Paragraph"/>
    <w:basedOn w:val="Normal"/>
    <w:uiPriority w:val="34"/>
    <w:qFormat/>
    <w:rsid w:val="00A9296E"/>
    <w:pPr>
      <w:ind w:left="720"/>
      <w:contextualSpacing/>
    </w:pPr>
  </w:style>
  <w:style w:type="character" w:styleId="IntenseEmphasis">
    <w:name w:val="Intense Emphasis"/>
    <w:basedOn w:val="DefaultParagraphFont"/>
    <w:uiPriority w:val="21"/>
    <w:qFormat/>
    <w:rsid w:val="00A9296E"/>
    <w:rPr>
      <w:i/>
      <w:iCs/>
      <w:color w:val="0F4761" w:themeColor="accent1" w:themeShade="BF"/>
    </w:rPr>
  </w:style>
  <w:style w:type="paragraph" w:styleId="IntenseQuote">
    <w:name w:val="Intense Quote"/>
    <w:basedOn w:val="Normal"/>
    <w:next w:val="Normal"/>
    <w:link w:val="IntenseQuoteChar"/>
    <w:uiPriority w:val="30"/>
    <w:qFormat/>
    <w:rsid w:val="00A92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96E"/>
    <w:rPr>
      <w:i/>
      <w:iCs/>
      <w:color w:val="0F4761" w:themeColor="accent1" w:themeShade="BF"/>
    </w:rPr>
  </w:style>
  <w:style w:type="character" w:styleId="IntenseReference">
    <w:name w:val="Intense Reference"/>
    <w:basedOn w:val="DefaultParagraphFont"/>
    <w:uiPriority w:val="32"/>
    <w:qFormat/>
    <w:rsid w:val="00A9296E"/>
    <w:rPr>
      <w:b/>
      <w:bCs/>
      <w:smallCaps/>
      <w:color w:val="0F4761" w:themeColor="accent1" w:themeShade="BF"/>
      <w:spacing w:val="5"/>
    </w:rPr>
  </w:style>
  <w:style w:type="paragraph" w:styleId="Header">
    <w:name w:val="header"/>
    <w:basedOn w:val="Normal"/>
    <w:link w:val="HeaderChar"/>
    <w:uiPriority w:val="99"/>
    <w:unhideWhenUsed/>
    <w:rsid w:val="00A9296E"/>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A9296E"/>
    <w:rPr>
      <w:rFonts w:ascii="Times New Roman" w:eastAsia="Times New Roman" w:hAnsi="Times New Roman" w:cs="Times New Roman"/>
      <w:kern w:val="0"/>
      <w:szCs w:val="20"/>
      <w:lang w:eastAsia="lt-LT"/>
      <w14:ligatures w14:val="none"/>
    </w:rPr>
  </w:style>
  <w:style w:type="paragraph" w:styleId="Revision">
    <w:name w:val="Revision"/>
    <w:hidden/>
    <w:uiPriority w:val="99"/>
    <w:semiHidden/>
    <w:rsid w:val="009D5B33"/>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BF5816"/>
    <w:rPr>
      <w:sz w:val="16"/>
      <w:szCs w:val="16"/>
    </w:rPr>
  </w:style>
  <w:style w:type="paragraph" w:styleId="CommentText">
    <w:name w:val="annotation text"/>
    <w:basedOn w:val="Normal"/>
    <w:link w:val="CommentTextChar"/>
    <w:uiPriority w:val="99"/>
    <w:unhideWhenUsed/>
    <w:rsid w:val="00BF5816"/>
    <w:rPr>
      <w:sz w:val="20"/>
    </w:rPr>
  </w:style>
  <w:style w:type="character" w:customStyle="1" w:styleId="CommentTextChar">
    <w:name w:val="Comment Text Char"/>
    <w:basedOn w:val="DefaultParagraphFont"/>
    <w:link w:val="CommentText"/>
    <w:uiPriority w:val="99"/>
    <w:rsid w:val="00BF581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5816"/>
    <w:rPr>
      <w:b/>
      <w:bCs/>
    </w:rPr>
  </w:style>
  <w:style w:type="character" w:customStyle="1" w:styleId="CommentSubjectChar">
    <w:name w:val="Comment Subject Char"/>
    <w:basedOn w:val="CommentTextChar"/>
    <w:link w:val="CommentSubject"/>
    <w:uiPriority w:val="99"/>
    <w:semiHidden/>
    <w:rsid w:val="00BF581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ata.kurklt.lt/wp-content/uploads/2023/04/Laisvalaikio-kulturos-ir-meno-poveikis-sveikatai.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2D6A9F-F319-44EB-8A71-578FBA036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F2F7E-EE28-412C-8958-6AEFC8301F17}">
  <ds:schemaRefs>
    <ds:schemaRef ds:uri="http://schemas.microsoft.com/sharepoint/v3/contenttype/forms"/>
  </ds:schemaRefs>
</ds:datastoreItem>
</file>

<file path=customXml/itemProps3.xml><?xml version="1.0" encoding="utf-8"?>
<ds:datastoreItem xmlns:ds="http://schemas.openxmlformats.org/officeDocument/2006/customXml" ds:itemID="{536E21CF-4A09-40DF-8C1C-6B413CD833A5}">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Benetienė</dc:creator>
  <cp:keywords/>
  <dc:description/>
  <cp:lastModifiedBy>Rimantė Deringytė</cp:lastModifiedBy>
  <cp:revision>43</cp:revision>
  <dcterms:created xsi:type="dcterms:W3CDTF">2026-06-25T07:51:00Z</dcterms:created>
  <dcterms:modified xsi:type="dcterms:W3CDTF">2026-06-25T12:23:00Z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