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15FFA" w14:textId="45DC4B58" w:rsidR="004B1153" w:rsidRPr="006D57A9" w:rsidRDefault="00C64EEE" w:rsidP="006D57A9">
      <w:pPr>
        <w:spacing w:after="0" w:line="276" w:lineRule="auto"/>
        <w:jc w:val="both"/>
        <w:rPr>
          <w:rFonts w:cstheme="minorHAnsi"/>
          <w:b/>
          <w:sz w:val="28"/>
          <w:szCs w:val="28"/>
          <w:lang w:val="lt-LT"/>
        </w:rPr>
      </w:pPr>
      <w:r w:rsidRPr="006D57A9">
        <w:rPr>
          <w:rFonts w:cstheme="minorHAnsi"/>
          <w:b/>
          <w:sz w:val="28"/>
          <w:szCs w:val="28"/>
          <w:lang w:val="lt-LT"/>
        </w:rPr>
        <w:t>Viešojo pirkimo dokumentų paaiškinimas</w:t>
      </w:r>
      <w:r w:rsidR="00AC1118">
        <w:rPr>
          <w:rFonts w:cstheme="minorHAnsi"/>
          <w:b/>
          <w:sz w:val="28"/>
          <w:szCs w:val="28"/>
          <w:lang w:val="lt-LT"/>
        </w:rPr>
        <w:t xml:space="preserve"> ir(ar) patikslinimas</w:t>
      </w:r>
      <w:r>
        <w:rPr>
          <w:rFonts w:cstheme="minorHAnsi"/>
          <w:b/>
          <w:sz w:val="28"/>
          <w:szCs w:val="28"/>
          <w:lang w:val="lt-LT"/>
        </w:rPr>
        <w:t xml:space="preserve"> / </w:t>
      </w:r>
      <w:proofErr w:type="spellStart"/>
      <w:r w:rsidRPr="00C64EEE">
        <w:rPr>
          <w:rFonts w:cstheme="minorHAnsi"/>
          <w:b/>
          <w:sz w:val="28"/>
          <w:szCs w:val="28"/>
          <w:lang w:val="lt-LT"/>
        </w:rPr>
        <w:t>Explanation</w:t>
      </w:r>
      <w:proofErr w:type="spellEnd"/>
      <w:r w:rsidR="00AC1118">
        <w:rPr>
          <w:rFonts w:cstheme="minorHAnsi"/>
          <w:b/>
          <w:sz w:val="28"/>
          <w:szCs w:val="28"/>
          <w:lang w:val="lt-LT"/>
        </w:rPr>
        <w:t xml:space="preserve"> </w:t>
      </w:r>
      <w:proofErr w:type="spellStart"/>
      <w:r w:rsidR="00AC1118">
        <w:rPr>
          <w:rFonts w:cstheme="minorHAnsi"/>
          <w:b/>
          <w:sz w:val="28"/>
          <w:szCs w:val="28"/>
          <w:lang w:val="lt-LT"/>
        </w:rPr>
        <w:t>and</w:t>
      </w:r>
      <w:proofErr w:type="spellEnd"/>
      <w:r w:rsidR="00AC1118">
        <w:rPr>
          <w:rFonts w:cstheme="minorHAnsi"/>
          <w:b/>
          <w:sz w:val="28"/>
          <w:szCs w:val="28"/>
          <w:lang w:val="lt-LT"/>
        </w:rPr>
        <w:t xml:space="preserve"> (</w:t>
      </w:r>
      <w:proofErr w:type="spellStart"/>
      <w:r w:rsidR="00AC1118">
        <w:rPr>
          <w:rFonts w:cstheme="minorHAnsi"/>
          <w:b/>
          <w:sz w:val="28"/>
          <w:szCs w:val="28"/>
          <w:lang w:val="lt-LT"/>
        </w:rPr>
        <w:t>or</w:t>
      </w:r>
      <w:proofErr w:type="spellEnd"/>
      <w:r w:rsidR="00AC1118">
        <w:rPr>
          <w:rFonts w:cstheme="minorHAnsi"/>
          <w:b/>
          <w:sz w:val="28"/>
          <w:szCs w:val="28"/>
          <w:lang w:val="lt-LT"/>
        </w:rPr>
        <w:t xml:space="preserve">) </w:t>
      </w:r>
      <w:proofErr w:type="spellStart"/>
      <w:r w:rsidR="00AC1118" w:rsidRPr="00AC1118">
        <w:rPr>
          <w:rFonts w:cstheme="minorHAnsi"/>
          <w:b/>
          <w:bCs/>
          <w:sz w:val="28"/>
          <w:szCs w:val="28"/>
          <w:lang w:val="lt-LT"/>
        </w:rPr>
        <w:t>Clarification</w:t>
      </w:r>
      <w:proofErr w:type="spellEnd"/>
      <w:r w:rsidRPr="00C64EEE">
        <w:rPr>
          <w:rFonts w:cstheme="minorHAnsi"/>
          <w:b/>
          <w:sz w:val="28"/>
          <w:szCs w:val="28"/>
          <w:lang w:val="lt-LT"/>
        </w:rPr>
        <w:t xml:space="preserve"> </w:t>
      </w:r>
      <w:proofErr w:type="spellStart"/>
      <w:r w:rsidRPr="00C64EEE">
        <w:rPr>
          <w:rFonts w:cstheme="minorHAnsi"/>
          <w:b/>
          <w:sz w:val="28"/>
          <w:szCs w:val="28"/>
          <w:lang w:val="lt-LT"/>
        </w:rPr>
        <w:t>of</w:t>
      </w:r>
      <w:proofErr w:type="spellEnd"/>
      <w:r w:rsidRPr="00C64EEE">
        <w:rPr>
          <w:rFonts w:cstheme="minorHAnsi"/>
          <w:b/>
          <w:sz w:val="28"/>
          <w:szCs w:val="28"/>
          <w:lang w:val="lt-LT"/>
        </w:rPr>
        <w:t xml:space="preserve"> </w:t>
      </w:r>
      <w:proofErr w:type="spellStart"/>
      <w:r w:rsidRPr="00C64EEE">
        <w:rPr>
          <w:rFonts w:cstheme="minorHAnsi"/>
          <w:b/>
          <w:sz w:val="28"/>
          <w:szCs w:val="28"/>
          <w:lang w:val="lt-LT"/>
        </w:rPr>
        <w:t>the</w:t>
      </w:r>
      <w:proofErr w:type="spellEnd"/>
      <w:r w:rsidRPr="00C64EEE">
        <w:rPr>
          <w:rFonts w:cstheme="minorHAnsi"/>
          <w:b/>
          <w:sz w:val="28"/>
          <w:szCs w:val="28"/>
          <w:lang w:val="lt-LT"/>
        </w:rPr>
        <w:t xml:space="preserve"> Procurement </w:t>
      </w:r>
      <w:proofErr w:type="spellStart"/>
      <w:r w:rsidRPr="00C64EEE">
        <w:rPr>
          <w:rFonts w:cstheme="minorHAnsi"/>
          <w:b/>
          <w:sz w:val="28"/>
          <w:szCs w:val="28"/>
          <w:lang w:val="lt-LT"/>
        </w:rPr>
        <w:t>Documents</w:t>
      </w:r>
      <w:proofErr w:type="spellEnd"/>
    </w:p>
    <w:p w14:paraId="5D2771BF" w14:textId="77777777" w:rsidR="00C64EEE" w:rsidRPr="006D57A9" w:rsidRDefault="00C64EEE" w:rsidP="004B1153">
      <w:pPr>
        <w:spacing w:after="0" w:line="276" w:lineRule="auto"/>
        <w:ind w:firstLine="709"/>
        <w:jc w:val="both"/>
        <w:rPr>
          <w:rFonts w:cstheme="minorHAnsi"/>
          <w:b/>
          <w:sz w:val="28"/>
          <w:szCs w:val="28"/>
          <w:lang w:val="lt-LT"/>
        </w:rPr>
      </w:pPr>
    </w:p>
    <w:p w14:paraId="52CBEF9B" w14:textId="5E6DEE25" w:rsidR="004B1153" w:rsidRPr="00567E7F" w:rsidRDefault="004B1153" w:rsidP="004B1153">
      <w:pPr>
        <w:spacing w:after="0" w:line="276" w:lineRule="auto"/>
        <w:jc w:val="both"/>
        <w:rPr>
          <w:rFonts w:cstheme="minorHAnsi"/>
          <w:b/>
          <w:lang w:val="lt-LT"/>
        </w:rPr>
      </w:pPr>
      <w:r w:rsidRPr="004D2364">
        <w:rPr>
          <w:rFonts w:cstheme="minorHAnsi"/>
          <w:shd w:val="clear" w:color="auto" w:fill="FFFFFF"/>
          <w:lang w:val="lt-LT"/>
        </w:rPr>
        <w:t>Viešojo pirkimo komisija išnagrinėjo tiekėjo pateikt</w:t>
      </w:r>
      <w:r w:rsidR="008E7AAC">
        <w:rPr>
          <w:rFonts w:cstheme="minorHAnsi"/>
          <w:shd w:val="clear" w:color="auto" w:fill="FFFFFF"/>
          <w:lang w:val="lt-LT"/>
        </w:rPr>
        <w:t>ą</w:t>
      </w:r>
      <w:r w:rsidRPr="004D2364">
        <w:rPr>
          <w:rFonts w:cstheme="minorHAnsi"/>
          <w:shd w:val="clear" w:color="auto" w:fill="FFFFFF"/>
          <w:lang w:val="lt-LT"/>
        </w:rPr>
        <w:t xml:space="preserve"> paklausim</w:t>
      </w:r>
      <w:r w:rsidR="008E7AAC">
        <w:rPr>
          <w:rFonts w:cstheme="minorHAnsi"/>
          <w:shd w:val="clear" w:color="auto" w:fill="FFFFFF"/>
          <w:lang w:val="lt-LT"/>
        </w:rPr>
        <w:t>ą</w:t>
      </w:r>
      <w:r w:rsidRPr="004D2364">
        <w:rPr>
          <w:rFonts w:cstheme="minorHAnsi"/>
          <w:shd w:val="clear" w:color="auto" w:fill="FFFFFF"/>
          <w:lang w:val="lt-LT"/>
        </w:rPr>
        <w:t xml:space="preserve"> / prašym</w:t>
      </w:r>
      <w:r w:rsidR="008E7AAC">
        <w:rPr>
          <w:rFonts w:cstheme="minorHAnsi"/>
          <w:shd w:val="clear" w:color="auto" w:fill="FFFFFF"/>
          <w:lang w:val="lt-LT"/>
        </w:rPr>
        <w:t>ą</w:t>
      </w:r>
      <w:r w:rsidRPr="004D2364">
        <w:rPr>
          <w:rFonts w:cstheme="minorHAnsi"/>
          <w:shd w:val="clear" w:color="auto" w:fill="FFFFFF"/>
          <w:lang w:val="lt-LT"/>
        </w:rPr>
        <w:t xml:space="preserve"> paaiškinti pirkimo sąlygas ir teikia atsakymu</w:t>
      </w:r>
      <w:r w:rsidRPr="004D2364">
        <w:rPr>
          <w:rFonts w:cstheme="minorHAnsi"/>
          <w:lang w:val="lt-LT"/>
        </w:rPr>
        <w:t>s /</w:t>
      </w:r>
      <w:r w:rsidRPr="004D2364">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Public Procurement </w:t>
      </w:r>
      <w:proofErr w:type="spellStart"/>
      <w:r w:rsidR="0084056F" w:rsidRPr="0084056F">
        <w:rPr>
          <w:rFonts w:cstheme="minorHAnsi"/>
          <w:b/>
          <w:lang w:val="lt-LT"/>
        </w:rPr>
        <w:t>Commission</w:t>
      </w:r>
      <w:proofErr w:type="spellEnd"/>
      <w:r w:rsidR="0084056F" w:rsidRPr="0084056F">
        <w:rPr>
          <w:rFonts w:cstheme="minorHAnsi"/>
          <w:b/>
          <w:lang w:val="lt-LT"/>
        </w:rPr>
        <w:t xml:space="preserve"> </w:t>
      </w:r>
      <w:proofErr w:type="spellStart"/>
      <w:r w:rsidR="0084056F" w:rsidRPr="0084056F">
        <w:rPr>
          <w:rFonts w:cstheme="minorHAnsi"/>
          <w:b/>
          <w:lang w:val="lt-LT"/>
        </w:rPr>
        <w:t>has</w:t>
      </w:r>
      <w:proofErr w:type="spellEnd"/>
      <w:r w:rsidR="0084056F" w:rsidRPr="0084056F">
        <w:rPr>
          <w:rFonts w:cstheme="minorHAnsi"/>
          <w:b/>
          <w:lang w:val="lt-LT"/>
        </w:rPr>
        <w:t xml:space="preserve"> </w:t>
      </w:r>
      <w:proofErr w:type="spellStart"/>
      <w:r w:rsidR="0084056F" w:rsidRPr="0084056F">
        <w:rPr>
          <w:rFonts w:cstheme="minorHAnsi"/>
          <w:b/>
          <w:lang w:val="lt-LT"/>
        </w:rPr>
        <w:t>examined</w:t>
      </w:r>
      <w:proofErr w:type="spellEnd"/>
      <w:r w:rsidR="0084056F" w:rsidRPr="0084056F">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w:t>
      </w:r>
      <w:proofErr w:type="spellStart"/>
      <w:r w:rsidR="0084056F" w:rsidRPr="0084056F">
        <w:rPr>
          <w:rFonts w:cstheme="minorHAnsi"/>
          <w:b/>
          <w:lang w:val="lt-LT"/>
        </w:rPr>
        <w:t>supplier’s</w:t>
      </w:r>
      <w:proofErr w:type="spellEnd"/>
      <w:r w:rsidR="0084056F" w:rsidRPr="0084056F">
        <w:rPr>
          <w:rFonts w:cstheme="minorHAnsi"/>
          <w:b/>
          <w:lang w:val="lt-LT"/>
        </w:rPr>
        <w:t xml:space="preserve"> </w:t>
      </w:r>
      <w:proofErr w:type="spellStart"/>
      <w:r w:rsidR="0084056F" w:rsidRPr="0084056F">
        <w:rPr>
          <w:rFonts w:cstheme="minorHAnsi"/>
          <w:b/>
          <w:lang w:val="lt-LT"/>
        </w:rPr>
        <w:t>request</w:t>
      </w:r>
      <w:proofErr w:type="spellEnd"/>
      <w:r w:rsidR="0084056F" w:rsidRPr="0084056F">
        <w:rPr>
          <w:rFonts w:cstheme="minorHAnsi"/>
          <w:b/>
          <w:lang w:val="lt-LT"/>
        </w:rPr>
        <w:t xml:space="preserve"> </w:t>
      </w:r>
      <w:proofErr w:type="spellStart"/>
      <w:r w:rsidR="0084056F" w:rsidRPr="0084056F">
        <w:rPr>
          <w:rFonts w:cstheme="minorHAnsi"/>
          <w:b/>
          <w:lang w:val="lt-LT"/>
        </w:rPr>
        <w:t>for</w:t>
      </w:r>
      <w:proofErr w:type="spellEnd"/>
      <w:r w:rsidR="0084056F" w:rsidRPr="0084056F">
        <w:rPr>
          <w:rFonts w:cstheme="minorHAnsi"/>
          <w:b/>
          <w:lang w:val="lt-LT"/>
        </w:rPr>
        <w:t xml:space="preserve"> </w:t>
      </w:r>
      <w:proofErr w:type="spellStart"/>
      <w:r w:rsidR="0084056F" w:rsidRPr="0084056F">
        <w:rPr>
          <w:rFonts w:cstheme="minorHAnsi"/>
          <w:b/>
          <w:lang w:val="lt-LT"/>
        </w:rPr>
        <w:t>clarification</w:t>
      </w:r>
      <w:proofErr w:type="spellEnd"/>
      <w:r w:rsidR="0084056F" w:rsidRPr="0084056F">
        <w:rPr>
          <w:rFonts w:cstheme="minorHAnsi"/>
          <w:b/>
          <w:lang w:val="lt-LT"/>
        </w:rPr>
        <w:t xml:space="preserve"> </w:t>
      </w:r>
      <w:proofErr w:type="spellStart"/>
      <w:r w:rsidR="0084056F" w:rsidRPr="0084056F">
        <w:rPr>
          <w:rFonts w:cstheme="minorHAnsi"/>
          <w:b/>
          <w:lang w:val="lt-LT"/>
        </w:rPr>
        <w:t>of</w:t>
      </w:r>
      <w:proofErr w:type="spellEnd"/>
      <w:r w:rsidR="0084056F" w:rsidRPr="0084056F">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Procurement </w:t>
      </w:r>
      <w:proofErr w:type="spellStart"/>
      <w:r w:rsidR="0084056F" w:rsidRPr="0084056F">
        <w:rPr>
          <w:rFonts w:cstheme="minorHAnsi"/>
          <w:b/>
          <w:lang w:val="lt-LT"/>
        </w:rPr>
        <w:t>Conditions</w:t>
      </w:r>
      <w:proofErr w:type="spellEnd"/>
      <w:r w:rsidR="0084056F" w:rsidRPr="0084056F">
        <w:rPr>
          <w:rFonts w:cstheme="minorHAnsi"/>
          <w:b/>
          <w:lang w:val="lt-LT"/>
        </w:rPr>
        <w:t xml:space="preserve"> </w:t>
      </w:r>
      <w:proofErr w:type="spellStart"/>
      <w:r w:rsidR="0084056F" w:rsidRPr="0084056F">
        <w:rPr>
          <w:rFonts w:cstheme="minorHAnsi"/>
          <w:b/>
          <w:lang w:val="lt-LT"/>
        </w:rPr>
        <w:t>and</w:t>
      </w:r>
      <w:proofErr w:type="spellEnd"/>
      <w:r w:rsidR="0084056F" w:rsidRPr="0084056F">
        <w:rPr>
          <w:rFonts w:cstheme="minorHAnsi"/>
          <w:b/>
          <w:lang w:val="lt-LT"/>
        </w:rPr>
        <w:t xml:space="preserve"> </w:t>
      </w:r>
      <w:proofErr w:type="spellStart"/>
      <w:r w:rsidR="0084056F" w:rsidRPr="0084056F">
        <w:rPr>
          <w:rFonts w:cstheme="minorHAnsi"/>
          <w:b/>
          <w:lang w:val="lt-LT"/>
        </w:rPr>
        <w:t>provides</w:t>
      </w:r>
      <w:proofErr w:type="spellEnd"/>
      <w:r w:rsidR="0084056F" w:rsidRPr="0084056F">
        <w:rPr>
          <w:rFonts w:cstheme="minorHAnsi"/>
          <w:b/>
          <w:lang w:val="lt-LT"/>
        </w:rPr>
        <w:t xml:space="preserve"> </w:t>
      </w:r>
      <w:proofErr w:type="spellStart"/>
      <w:r w:rsidR="0084056F" w:rsidRPr="0084056F">
        <w:rPr>
          <w:rFonts w:cstheme="minorHAnsi"/>
          <w:b/>
          <w:lang w:val="lt-LT"/>
        </w:rPr>
        <w:t>the</w:t>
      </w:r>
      <w:proofErr w:type="spellEnd"/>
      <w:r w:rsidR="0084056F" w:rsidRPr="0084056F">
        <w:rPr>
          <w:rFonts w:cstheme="minorHAnsi"/>
          <w:b/>
          <w:lang w:val="lt-LT"/>
        </w:rPr>
        <w:t xml:space="preserve"> </w:t>
      </w:r>
      <w:proofErr w:type="spellStart"/>
      <w:r w:rsidR="0084056F" w:rsidRPr="0084056F">
        <w:rPr>
          <w:rFonts w:cstheme="minorHAnsi"/>
          <w:b/>
          <w:lang w:val="lt-LT"/>
        </w:rPr>
        <w:t>following</w:t>
      </w:r>
      <w:proofErr w:type="spellEnd"/>
      <w:r w:rsidR="0084056F" w:rsidRPr="0084056F">
        <w:rPr>
          <w:rFonts w:cstheme="minorHAnsi"/>
          <w:b/>
          <w:lang w:val="lt-LT"/>
        </w:rPr>
        <w:t xml:space="preserve"> </w:t>
      </w:r>
      <w:proofErr w:type="spellStart"/>
      <w:r w:rsidR="0084056F" w:rsidRPr="0084056F">
        <w:rPr>
          <w:rFonts w:cstheme="minorHAnsi"/>
          <w:b/>
          <w:lang w:val="lt-LT"/>
        </w:rPr>
        <w:t>response</w:t>
      </w:r>
      <w:proofErr w:type="spellEnd"/>
      <w:r w:rsidR="0084056F" w:rsidRPr="0084056F">
        <w:rPr>
          <w:rFonts w:cstheme="minorHAnsi"/>
          <w:b/>
          <w:lang w:val="lt-LT"/>
        </w:rPr>
        <w:t>:</w:t>
      </w:r>
    </w:p>
    <w:p w14:paraId="74B3FBD3" w14:textId="77777777" w:rsidR="004B1153" w:rsidRPr="004D2364" w:rsidRDefault="004B1153" w:rsidP="004B1153">
      <w:pPr>
        <w:spacing w:after="0" w:line="276" w:lineRule="auto"/>
        <w:jc w:val="both"/>
        <w:rPr>
          <w:rFonts w:cstheme="minorHAnsi"/>
          <w:b/>
          <w:lang w:val="lt-LT"/>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252"/>
        <w:gridCol w:w="4820"/>
      </w:tblGrid>
      <w:tr w:rsidR="004B1153" w:rsidRPr="004D2364" w14:paraId="17B9D21D" w14:textId="77777777" w:rsidTr="00C25CE9">
        <w:tc>
          <w:tcPr>
            <w:tcW w:w="851" w:type="dxa"/>
            <w:tcBorders>
              <w:top w:val="single" w:sz="4" w:space="0" w:color="auto"/>
              <w:left w:val="single" w:sz="4" w:space="0" w:color="auto"/>
              <w:bottom w:val="single" w:sz="4" w:space="0" w:color="auto"/>
              <w:right w:val="single" w:sz="4" w:space="0" w:color="auto"/>
            </w:tcBorders>
            <w:hideMark/>
          </w:tcPr>
          <w:p w14:paraId="37D0CAC9" w14:textId="77777777" w:rsidR="004B1153" w:rsidRPr="00A3552A" w:rsidRDefault="004B1153" w:rsidP="00A3552A">
            <w:pPr>
              <w:spacing w:before="60" w:after="60" w:line="240" w:lineRule="auto"/>
              <w:ind w:firstLine="40"/>
              <w:jc w:val="center"/>
              <w:rPr>
                <w:rFonts w:cstheme="minorHAnsi"/>
                <w:b/>
                <w:shd w:val="clear" w:color="auto" w:fill="FFFFFF"/>
                <w:lang w:val="lt-LT"/>
              </w:rPr>
            </w:pPr>
            <w:r w:rsidRPr="00A3552A">
              <w:rPr>
                <w:rFonts w:cstheme="minorHAnsi"/>
                <w:b/>
                <w:shd w:val="clear" w:color="auto" w:fill="FFFFFF"/>
                <w:lang w:val="lt-LT"/>
              </w:rPr>
              <w:t>Nr./</w:t>
            </w:r>
          </w:p>
          <w:p w14:paraId="600041AE" w14:textId="77777777" w:rsidR="004B1153" w:rsidRPr="00A3552A" w:rsidRDefault="004B1153" w:rsidP="00A3552A">
            <w:pPr>
              <w:spacing w:before="60" w:after="60" w:line="240" w:lineRule="auto"/>
              <w:ind w:firstLine="40"/>
              <w:jc w:val="center"/>
              <w:rPr>
                <w:rFonts w:cstheme="minorHAnsi"/>
                <w:b/>
                <w:shd w:val="clear" w:color="auto" w:fill="FFFFFF"/>
                <w:lang w:val="lt-LT"/>
              </w:rPr>
            </w:pPr>
            <w:proofErr w:type="spellStart"/>
            <w:r w:rsidRPr="00A3552A">
              <w:rPr>
                <w:rFonts w:cstheme="minorHAnsi"/>
                <w:b/>
                <w:shd w:val="clear" w:color="auto" w:fill="FFFFFF"/>
                <w:lang w:val="lt-LT"/>
              </w:rPr>
              <w:t>No</w:t>
            </w:r>
            <w:proofErr w:type="spellEnd"/>
          </w:p>
          <w:p w14:paraId="04E4A70D" w14:textId="77777777" w:rsidR="004B1153" w:rsidRPr="00A3552A" w:rsidRDefault="004B1153" w:rsidP="00A3552A">
            <w:pPr>
              <w:spacing w:before="60" w:after="60" w:line="240" w:lineRule="auto"/>
              <w:ind w:firstLine="40"/>
              <w:jc w:val="center"/>
              <w:rPr>
                <w:rFonts w:cstheme="minorHAnsi"/>
                <w:b/>
                <w:shd w:val="clear" w:color="auto" w:fill="FFFFFF"/>
                <w:lang w:val="lt-LT"/>
              </w:rPr>
            </w:pPr>
          </w:p>
        </w:tc>
        <w:tc>
          <w:tcPr>
            <w:tcW w:w="4252" w:type="dxa"/>
            <w:tcBorders>
              <w:top w:val="single" w:sz="4" w:space="0" w:color="auto"/>
              <w:left w:val="single" w:sz="4" w:space="0" w:color="auto"/>
              <w:bottom w:val="single" w:sz="4" w:space="0" w:color="auto"/>
              <w:right w:val="single" w:sz="4" w:space="0" w:color="auto"/>
            </w:tcBorders>
            <w:hideMark/>
          </w:tcPr>
          <w:p w14:paraId="52E95458" w14:textId="0BC43F95" w:rsidR="004B1153" w:rsidRPr="00A3552A" w:rsidRDefault="004B1153" w:rsidP="00A3552A">
            <w:pPr>
              <w:spacing w:before="60" w:after="60" w:line="240" w:lineRule="auto"/>
              <w:ind w:hanging="108"/>
              <w:jc w:val="center"/>
              <w:rPr>
                <w:rFonts w:cstheme="minorHAnsi"/>
                <w:b/>
                <w:shd w:val="clear" w:color="auto" w:fill="FFFFFF"/>
                <w:lang w:val="lt-LT"/>
              </w:rPr>
            </w:pPr>
            <w:r w:rsidRPr="00A3552A">
              <w:rPr>
                <w:rFonts w:cstheme="minorHAnsi"/>
                <w:b/>
                <w:shd w:val="clear" w:color="auto" w:fill="FFFFFF"/>
                <w:lang w:val="lt-LT"/>
              </w:rPr>
              <w:t xml:space="preserve">Klausimas/prašymas* / </w:t>
            </w:r>
            <w:proofErr w:type="spellStart"/>
            <w:r w:rsidRPr="00A3552A">
              <w:rPr>
                <w:rFonts w:cstheme="minorHAnsi"/>
                <w:b/>
                <w:shd w:val="clear" w:color="auto" w:fill="FFFFFF"/>
                <w:lang w:val="lt-LT"/>
              </w:rPr>
              <w:t>Question</w:t>
            </w:r>
            <w:proofErr w:type="spellEnd"/>
            <w:r w:rsidRPr="00A3552A">
              <w:rPr>
                <w:rFonts w:cstheme="minorHAnsi"/>
                <w:b/>
                <w:shd w:val="clear" w:color="auto" w:fill="FFFFFF"/>
                <w:lang w:val="lt-LT"/>
              </w:rPr>
              <w:t>/</w:t>
            </w:r>
            <w:proofErr w:type="spellStart"/>
            <w:r w:rsidRPr="00A3552A">
              <w:rPr>
                <w:rFonts w:cstheme="minorHAnsi"/>
                <w:b/>
                <w:shd w:val="clear" w:color="auto" w:fill="FFFFFF"/>
                <w:lang w:val="lt-LT"/>
              </w:rPr>
              <w:t>request</w:t>
            </w:r>
            <w:proofErr w:type="spellEnd"/>
            <w:r w:rsidRPr="00A3552A">
              <w:rPr>
                <w:rFonts w:cstheme="minorHAnsi"/>
                <w:b/>
                <w:shd w:val="clear" w:color="auto" w:fill="FFFFFF"/>
                <w:lang w:val="lt-LT"/>
              </w:rPr>
              <w:t xml:space="preserve">* </w:t>
            </w:r>
          </w:p>
        </w:tc>
        <w:tc>
          <w:tcPr>
            <w:tcW w:w="4820" w:type="dxa"/>
            <w:tcBorders>
              <w:top w:val="single" w:sz="4" w:space="0" w:color="auto"/>
              <w:left w:val="single" w:sz="4" w:space="0" w:color="auto"/>
              <w:bottom w:val="single" w:sz="4" w:space="0" w:color="auto"/>
              <w:right w:val="single" w:sz="4" w:space="0" w:color="auto"/>
            </w:tcBorders>
            <w:hideMark/>
          </w:tcPr>
          <w:p w14:paraId="5C559DC4" w14:textId="77777777" w:rsidR="004B1153" w:rsidRPr="00A3552A" w:rsidRDefault="004B1153" w:rsidP="00A3552A">
            <w:pPr>
              <w:spacing w:before="60" w:after="60" w:line="240" w:lineRule="auto"/>
              <w:jc w:val="center"/>
              <w:rPr>
                <w:rFonts w:cstheme="minorHAnsi"/>
                <w:b/>
                <w:shd w:val="clear" w:color="auto" w:fill="FFFFFF"/>
                <w:lang w:val="lt-LT"/>
              </w:rPr>
            </w:pPr>
            <w:r w:rsidRPr="00A3552A">
              <w:rPr>
                <w:rFonts w:cstheme="minorHAnsi"/>
                <w:b/>
                <w:shd w:val="clear" w:color="auto" w:fill="FFFFFF"/>
                <w:lang w:val="lt-LT"/>
              </w:rPr>
              <w:t xml:space="preserve">Paaiškinimas / patikslinimas / </w:t>
            </w:r>
          </w:p>
          <w:p w14:paraId="5B925453" w14:textId="77777777" w:rsidR="004B1153" w:rsidRPr="00A3552A" w:rsidRDefault="004B1153" w:rsidP="00A3552A">
            <w:pPr>
              <w:spacing w:before="60" w:after="60" w:line="240" w:lineRule="auto"/>
              <w:jc w:val="center"/>
              <w:rPr>
                <w:rFonts w:cstheme="minorHAnsi"/>
                <w:b/>
                <w:shd w:val="clear" w:color="auto" w:fill="FFFFFF"/>
                <w:lang w:val="lt-LT"/>
              </w:rPr>
            </w:pPr>
            <w:proofErr w:type="spellStart"/>
            <w:r w:rsidRPr="00A3552A">
              <w:rPr>
                <w:rFonts w:cstheme="minorHAnsi"/>
                <w:b/>
                <w:shd w:val="clear" w:color="auto" w:fill="FFFFFF"/>
                <w:lang w:val="lt-LT"/>
              </w:rPr>
              <w:t>Explanation</w:t>
            </w:r>
            <w:proofErr w:type="spellEnd"/>
            <w:r w:rsidRPr="00A3552A">
              <w:rPr>
                <w:rFonts w:cstheme="minorHAnsi"/>
                <w:b/>
                <w:shd w:val="clear" w:color="auto" w:fill="FFFFFF"/>
                <w:lang w:val="lt-LT"/>
              </w:rPr>
              <w:t xml:space="preserve"> / </w:t>
            </w:r>
            <w:proofErr w:type="spellStart"/>
            <w:r w:rsidRPr="00A3552A">
              <w:rPr>
                <w:rFonts w:cstheme="minorHAnsi"/>
                <w:b/>
                <w:shd w:val="clear" w:color="auto" w:fill="FFFFFF"/>
                <w:lang w:val="lt-LT"/>
              </w:rPr>
              <w:t>clarification</w:t>
            </w:r>
            <w:proofErr w:type="spellEnd"/>
          </w:p>
        </w:tc>
      </w:tr>
      <w:tr w:rsidR="004B1153" w:rsidRPr="00EA7D69" w14:paraId="5D8C2DA7" w14:textId="77777777" w:rsidTr="00AC1118">
        <w:trPr>
          <w:trHeight w:val="1128"/>
        </w:trPr>
        <w:tc>
          <w:tcPr>
            <w:tcW w:w="851" w:type="dxa"/>
          </w:tcPr>
          <w:p w14:paraId="4EBE73D5" w14:textId="1FF4A02D" w:rsidR="004B1153" w:rsidRPr="00A3552A" w:rsidRDefault="00A93D8D" w:rsidP="00A3552A">
            <w:pPr>
              <w:spacing w:before="60" w:after="60" w:line="240" w:lineRule="auto"/>
              <w:ind w:left="360"/>
              <w:jc w:val="both"/>
              <w:rPr>
                <w:rFonts w:cstheme="minorHAnsi"/>
                <w:shd w:val="clear" w:color="auto" w:fill="FFFFFF"/>
              </w:rPr>
            </w:pPr>
            <w:r w:rsidRPr="00A3552A">
              <w:rPr>
                <w:rFonts w:cstheme="minorHAnsi"/>
                <w:shd w:val="clear" w:color="auto" w:fill="FFFFFF"/>
              </w:rPr>
              <w:t>1.</w:t>
            </w:r>
          </w:p>
        </w:tc>
        <w:tc>
          <w:tcPr>
            <w:tcW w:w="4252" w:type="dxa"/>
          </w:tcPr>
          <w:p w14:paraId="5CEC0C2E" w14:textId="5B81EE27" w:rsidR="004B1153" w:rsidRPr="00A668CF" w:rsidRDefault="00A1792D" w:rsidP="00A3552A">
            <w:pPr>
              <w:spacing w:before="60" w:after="60" w:line="240" w:lineRule="auto"/>
              <w:jc w:val="both"/>
              <w:rPr>
                <w:rFonts w:eastAsia="Times New Roman" w:cs="Times New Roman"/>
                <w:b/>
                <w:bCs/>
                <w:lang w:val="pt-BR" w:eastAsia="lt-LT"/>
              </w:rPr>
            </w:pPr>
            <w:r w:rsidRPr="00A668CF">
              <w:rPr>
                <w:rFonts w:eastAsia="Times New Roman" w:cs="Times New Roman"/>
                <w:b/>
                <w:bCs/>
                <w:lang w:val="pt-BR" w:eastAsia="lt-LT"/>
              </w:rPr>
              <w:t>L</w:t>
            </w:r>
            <w:r w:rsidR="00EA0A91" w:rsidRPr="00A668CF">
              <w:rPr>
                <w:rFonts w:eastAsia="Times New Roman" w:cs="Times New Roman"/>
                <w:b/>
                <w:bCs/>
                <w:lang w:val="pt-BR" w:eastAsia="lt-LT"/>
              </w:rPr>
              <w:t>ietuvių kalb</w:t>
            </w:r>
            <w:r w:rsidR="00A668CF" w:rsidRPr="00A668CF">
              <w:rPr>
                <w:rFonts w:eastAsia="Times New Roman" w:cs="Times New Roman"/>
                <w:b/>
                <w:bCs/>
                <w:lang w:val="pt-BR" w:eastAsia="lt-LT"/>
              </w:rPr>
              <w:t>a</w:t>
            </w:r>
            <w:r w:rsidR="00EA0A91" w:rsidRPr="00A668CF">
              <w:rPr>
                <w:rFonts w:eastAsia="Times New Roman" w:cs="Times New Roman"/>
                <w:b/>
                <w:bCs/>
                <w:lang w:val="pt-BR" w:eastAsia="lt-LT"/>
              </w:rPr>
              <w:t xml:space="preserve">: </w:t>
            </w:r>
          </w:p>
          <w:p w14:paraId="2952BA88" w14:textId="77777777" w:rsidR="0098600B" w:rsidRPr="0098600B" w:rsidRDefault="0098600B" w:rsidP="0098600B">
            <w:pPr>
              <w:spacing w:before="60" w:after="60" w:line="240" w:lineRule="auto"/>
              <w:jc w:val="both"/>
              <w:rPr>
                <w:rFonts w:eastAsia="Times New Roman" w:cs="Times New Roman"/>
                <w:lang w:val="lt-LT" w:eastAsia="lt-LT"/>
              </w:rPr>
            </w:pPr>
            <w:r w:rsidRPr="0098600B">
              <w:rPr>
                <w:rFonts w:eastAsia="Times New Roman" w:cs="Times New Roman"/>
                <w:lang w:val="lt-LT" w:eastAsia="lt-LT"/>
              </w:rPr>
              <w:t>Norėtume pasiteirauti, ar būtų galimybė avansinio mokėjimo garantiją, išduotą banko ar kitos finansinės institucijos, pakeisti gamintojo garantiniu raštu?</w:t>
            </w:r>
          </w:p>
          <w:p w14:paraId="7EA5FA3F" w14:textId="2E78EF59" w:rsidR="00DA7105" w:rsidRPr="00DA7105" w:rsidRDefault="0098600B" w:rsidP="0098600B">
            <w:pPr>
              <w:spacing w:before="60" w:after="60" w:line="240" w:lineRule="auto"/>
              <w:jc w:val="both"/>
              <w:rPr>
                <w:rFonts w:eastAsia="Times New Roman" w:cs="Times New Roman"/>
                <w:lang w:val="lt-LT" w:eastAsia="lt-LT"/>
              </w:rPr>
            </w:pPr>
            <w:r w:rsidRPr="0098600B">
              <w:rPr>
                <w:rFonts w:eastAsia="Times New Roman" w:cs="Times New Roman"/>
                <w:lang w:val="lt-LT" w:eastAsia="lt-LT"/>
              </w:rPr>
              <w:t>Gamintojas tokiu raštu patvirtintų, kad prekės bus pagamintos ir pristatytos laikantis sutarties sąlygų bei nustatytų terminų.</w:t>
            </w:r>
          </w:p>
          <w:p w14:paraId="68E480BB" w14:textId="733E08D1" w:rsidR="00A668CF" w:rsidRPr="00312C26" w:rsidRDefault="00A668CF" w:rsidP="00A3552A">
            <w:pPr>
              <w:spacing w:before="60" w:after="60" w:line="240" w:lineRule="auto"/>
              <w:jc w:val="both"/>
              <w:rPr>
                <w:rFonts w:eastAsia="Times New Roman" w:cs="Times New Roman"/>
                <w:lang w:val="lt-LT" w:eastAsia="lt-LT"/>
              </w:rPr>
            </w:pPr>
          </w:p>
          <w:p w14:paraId="212B6CF6" w14:textId="77777777" w:rsidR="00A668CF" w:rsidRPr="00A668CF" w:rsidRDefault="00A668CF" w:rsidP="00A668CF">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09FB0B5B" w14:textId="77777777" w:rsidR="009E37D5" w:rsidRPr="009E37D5" w:rsidRDefault="009E37D5" w:rsidP="009E37D5">
            <w:pPr>
              <w:spacing w:before="60" w:after="60" w:line="240" w:lineRule="auto"/>
              <w:jc w:val="both"/>
              <w:rPr>
                <w:rFonts w:eastAsia="Times New Roman" w:cs="Times New Roman"/>
                <w:lang w:val="en-GB" w:eastAsia="lt-LT"/>
              </w:rPr>
            </w:pPr>
            <w:r w:rsidRPr="009E37D5">
              <w:rPr>
                <w:rFonts w:eastAsia="Times New Roman" w:cs="Times New Roman"/>
                <w:lang w:val="en-GB" w:eastAsia="lt-LT"/>
              </w:rPr>
              <w:t>We would like to inquire whether it would be possible to replace the advance payment guarantee issued by a bank or another financial institution with a manufacturer's letter of guarantee.</w:t>
            </w:r>
          </w:p>
          <w:p w14:paraId="41083870" w14:textId="401E4A04" w:rsidR="00A668CF" w:rsidRPr="00A668CF" w:rsidRDefault="009E37D5" w:rsidP="009E37D5">
            <w:pPr>
              <w:spacing w:before="60" w:after="60" w:line="240" w:lineRule="auto"/>
              <w:jc w:val="both"/>
              <w:rPr>
                <w:rFonts w:eastAsia="Times New Roman" w:cs="Times New Roman"/>
                <w:lang w:val="lt-LT" w:eastAsia="lt-LT"/>
              </w:rPr>
            </w:pPr>
            <w:r w:rsidRPr="009E37D5">
              <w:rPr>
                <w:rFonts w:eastAsia="Times New Roman" w:cs="Times New Roman"/>
                <w:lang w:val="en-GB" w:eastAsia="lt-LT"/>
              </w:rPr>
              <w:t>In such a letter, the manufacturer would confirm that the goods will be manufactured and delivered in accordance with the terms of the contract and within the specified deadlines.</w:t>
            </w:r>
          </w:p>
        </w:tc>
        <w:tc>
          <w:tcPr>
            <w:tcW w:w="4820" w:type="dxa"/>
          </w:tcPr>
          <w:p w14:paraId="5241C9B6" w14:textId="40E42542" w:rsidR="00A668CF" w:rsidRPr="00A668CF" w:rsidRDefault="00A668CF" w:rsidP="00A668CF">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07DD8F59" w14:textId="77777777" w:rsidR="00832059" w:rsidRPr="00832059" w:rsidRDefault="00832059" w:rsidP="00832059">
            <w:pPr>
              <w:spacing w:before="60" w:after="60" w:line="240" w:lineRule="auto"/>
              <w:jc w:val="both"/>
              <w:rPr>
                <w:rFonts w:cstheme="minorHAnsi"/>
                <w:shd w:val="clear" w:color="auto" w:fill="FFFFFF"/>
                <w:lang w:val="lt-LT"/>
              </w:rPr>
            </w:pPr>
            <w:r w:rsidRPr="00832059">
              <w:rPr>
                <w:rFonts w:cstheme="minorHAnsi"/>
                <w:shd w:val="clear" w:color="auto" w:fill="FFFFFF"/>
                <w:lang w:val="lt-LT"/>
              </w:rPr>
              <w:t>Avansinio mokėjimo užtikrinimas turės būti pateiktas Pirkimo sąlygų 5 priede pateikto Sutarties projekto Bendrųjų sąlygų 2.3.2 punkte nustatyta tvarka. Pagal šį punktą avansinis mokėjimas gali būti užtikrinamas finansine garantija, kurią išduoda:</w:t>
            </w:r>
          </w:p>
          <w:p w14:paraId="59D0EDBF" w14:textId="77777777" w:rsidR="00832059" w:rsidRPr="00832059" w:rsidRDefault="00832059" w:rsidP="00832059">
            <w:pPr>
              <w:numPr>
                <w:ilvl w:val="0"/>
                <w:numId w:val="21"/>
              </w:numPr>
              <w:tabs>
                <w:tab w:val="clear" w:pos="720"/>
              </w:tabs>
              <w:spacing w:before="60" w:after="60" w:line="240" w:lineRule="auto"/>
              <w:ind w:left="466"/>
              <w:jc w:val="both"/>
              <w:rPr>
                <w:rFonts w:cstheme="minorHAnsi"/>
                <w:shd w:val="clear" w:color="auto" w:fill="FFFFFF"/>
                <w:lang w:val="lt-LT"/>
              </w:rPr>
            </w:pPr>
            <w:r w:rsidRPr="00832059">
              <w:rPr>
                <w:rFonts w:cstheme="minorHAnsi"/>
                <w:shd w:val="clear" w:color="auto" w:fill="FFFFFF"/>
                <w:lang w:val="lt-LT"/>
              </w:rPr>
              <w:t xml:space="preserve">Europos Sąjungoje licencijuotas bankas arba finansų įstaiga; arba </w:t>
            </w:r>
          </w:p>
          <w:p w14:paraId="3F3D9CDE" w14:textId="77777777" w:rsidR="00832059" w:rsidRPr="00832059" w:rsidRDefault="00832059" w:rsidP="00832059">
            <w:pPr>
              <w:numPr>
                <w:ilvl w:val="0"/>
                <w:numId w:val="21"/>
              </w:numPr>
              <w:tabs>
                <w:tab w:val="clear" w:pos="720"/>
              </w:tabs>
              <w:spacing w:before="60" w:after="60" w:line="240" w:lineRule="auto"/>
              <w:ind w:left="466"/>
              <w:jc w:val="both"/>
              <w:rPr>
                <w:rFonts w:cstheme="minorHAnsi"/>
                <w:shd w:val="clear" w:color="auto" w:fill="FFFFFF"/>
                <w:lang w:val="lt-LT"/>
              </w:rPr>
            </w:pPr>
            <w:r w:rsidRPr="00832059">
              <w:rPr>
                <w:rFonts w:cstheme="minorHAnsi"/>
                <w:shd w:val="clear" w:color="auto" w:fill="FFFFFF"/>
                <w:lang w:val="lt-LT"/>
              </w:rPr>
              <w:t xml:space="preserve">trečiojoje šalyje įsteigtas bankas, jeigu garantijos išdavimo dieną pats bankas arba jo patronuojanti bankų grupė turi ne žemesnį kaip investicinio lygio ilgalaikį kredito reitingą: „BBB-“ pagal Standard &amp; </w:t>
            </w:r>
            <w:proofErr w:type="spellStart"/>
            <w:r w:rsidRPr="00832059">
              <w:rPr>
                <w:rFonts w:cstheme="minorHAnsi"/>
                <w:shd w:val="clear" w:color="auto" w:fill="FFFFFF"/>
                <w:lang w:val="lt-LT"/>
              </w:rPr>
              <w:t>Poor’s</w:t>
            </w:r>
            <w:proofErr w:type="spellEnd"/>
            <w:r w:rsidRPr="00832059">
              <w:rPr>
                <w:rFonts w:cstheme="minorHAnsi"/>
                <w:shd w:val="clear" w:color="auto" w:fill="FFFFFF"/>
                <w:lang w:val="lt-LT"/>
              </w:rPr>
              <w:t xml:space="preserve">, „BBB-“ pagal </w:t>
            </w:r>
            <w:proofErr w:type="spellStart"/>
            <w:r w:rsidRPr="00832059">
              <w:rPr>
                <w:rFonts w:cstheme="minorHAnsi"/>
                <w:shd w:val="clear" w:color="auto" w:fill="FFFFFF"/>
                <w:lang w:val="lt-LT"/>
              </w:rPr>
              <w:t>Fitch</w:t>
            </w:r>
            <w:proofErr w:type="spellEnd"/>
            <w:r w:rsidRPr="00832059">
              <w:rPr>
                <w:rFonts w:cstheme="minorHAnsi"/>
                <w:shd w:val="clear" w:color="auto" w:fill="FFFFFF"/>
                <w:lang w:val="lt-LT"/>
              </w:rPr>
              <w:t xml:space="preserve">, „Baa3“ pagal </w:t>
            </w:r>
            <w:proofErr w:type="spellStart"/>
            <w:r w:rsidRPr="00832059">
              <w:rPr>
                <w:rFonts w:cstheme="minorHAnsi"/>
                <w:shd w:val="clear" w:color="auto" w:fill="FFFFFF"/>
                <w:lang w:val="lt-LT"/>
              </w:rPr>
              <w:t>Moody’s</w:t>
            </w:r>
            <w:proofErr w:type="spellEnd"/>
            <w:r w:rsidRPr="00832059">
              <w:rPr>
                <w:rFonts w:cstheme="minorHAnsi"/>
                <w:shd w:val="clear" w:color="auto" w:fill="FFFFFF"/>
                <w:lang w:val="lt-LT"/>
              </w:rPr>
              <w:t xml:space="preserve"> arba lygiavertį reitingą; arba </w:t>
            </w:r>
          </w:p>
          <w:p w14:paraId="39B7BA61" w14:textId="77777777" w:rsidR="00832059" w:rsidRPr="00832059" w:rsidRDefault="00832059" w:rsidP="00832059">
            <w:pPr>
              <w:numPr>
                <w:ilvl w:val="0"/>
                <w:numId w:val="21"/>
              </w:numPr>
              <w:tabs>
                <w:tab w:val="clear" w:pos="720"/>
              </w:tabs>
              <w:spacing w:before="60" w:after="60" w:line="240" w:lineRule="auto"/>
              <w:ind w:left="466"/>
              <w:jc w:val="both"/>
              <w:rPr>
                <w:rFonts w:cstheme="minorHAnsi"/>
                <w:shd w:val="clear" w:color="auto" w:fill="FFFFFF"/>
                <w:lang w:val="lt-LT"/>
              </w:rPr>
            </w:pPr>
            <w:r w:rsidRPr="00832059">
              <w:rPr>
                <w:rFonts w:cstheme="minorHAnsi"/>
                <w:shd w:val="clear" w:color="auto" w:fill="FFFFFF"/>
                <w:lang w:val="lt-LT"/>
              </w:rPr>
              <w:t xml:space="preserve">jeigu dėl konkrečiai šaliai būdingos rizikos tiekėjo šalyje licencijuotiems bankams nėra suteikiamas tarptautinis kredito reitingas – bankas, turintis ne žemesnį kaip A nacionalinės skalės reitingą, suteiktą pripažintos vietos reitingų agentūros. </w:t>
            </w:r>
          </w:p>
          <w:p w14:paraId="5875EAE3" w14:textId="77777777" w:rsidR="00832059" w:rsidRPr="00832059" w:rsidRDefault="00832059" w:rsidP="00832059">
            <w:pPr>
              <w:spacing w:before="60" w:after="60" w:line="240" w:lineRule="auto"/>
              <w:jc w:val="both"/>
              <w:rPr>
                <w:rFonts w:cstheme="minorHAnsi"/>
                <w:shd w:val="clear" w:color="auto" w:fill="FFFFFF"/>
                <w:lang w:val="lt-LT"/>
              </w:rPr>
            </w:pPr>
            <w:r w:rsidRPr="00832059">
              <w:rPr>
                <w:rFonts w:cstheme="minorHAnsi"/>
                <w:shd w:val="clear" w:color="auto" w:fill="FFFFFF"/>
                <w:lang w:val="lt-LT"/>
              </w:rPr>
              <w:t>Gamintojo garantinis raštas nėra numatytas Sutarties projekte kaip tinkama avansinio mokėjimo užtikrinimo forma, todėl jis negalėtų pakeisti banko ar kitos finansų įstaigos išduodamos finansinės garantijos.</w:t>
            </w:r>
          </w:p>
          <w:p w14:paraId="3EC0E387" w14:textId="77777777" w:rsidR="00832059" w:rsidRPr="00832059" w:rsidRDefault="00832059" w:rsidP="00832059">
            <w:pPr>
              <w:spacing w:before="60" w:after="60" w:line="240" w:lineRule="auto"/>
              <w:jc w:val="both"/>
              <w:rPr>
                <w:rFonts w:cstheme="minorHAnsi"/>
                <w:shd w:val="clear" w:color="auto" w:fill="FFFFFF"/>
                <w:lang w:val="lt-LT"/>
              </w:rPr>
            </w:pPr>
            <w:r w:rsidRPr="00832059">
              <w:rPr>
                <w:rFonts w:cstheme="minorHAnsi"/>
                <w:shd w:val="clear" w:color="auto" w:fill="FFFFFF"/>
                <w:lang w:val="lt-LT"/>
              </w:rPr>
              <w:t xml:space="preserve">Pažymėtina, kad pirkimas finansuojamas NATO lėšomis, todėl perkančioji organizacija, įgyvendindama pirkimą, privalo užtikrinti tinkamą, skaidrų ir saugų lėšų panaudojimą, taip pat sumažinti galimas rizikas ir finansinių nuostolių tikimybę tais atvejais, kai tiekėjas neįvykdytų ar netinkamai įvykdytų sutartinius įsipareigojimus. Atsižvelgiant į tai, Sutarties </w:t>
            </w:r>
            <w:r w:rsidRPr="00832059">
              <w:rPr>
                <w:rFonts w:cstheme="minorHAnsi"/>
                <w:shd w:val="clear" w:color="auto" w:fill="FFFFFF"/>
                <w:lang w:val="lt-LT"/>
              </w:rPr>
              <w:lastRenderedPageBreak/>
              <w:t>projekte nustatyti avansinio mokėjimo užtikrinimo reikalavimai nebus keičiami.</w:t>
            </w:r>
          </w:p>
          <w:p w14:paraId="664BE3EB" w14:textId="77777777" w:rsidR="00E6698E" w:rsidRPr="00A668CF" w:rsidRDefault="00E6698E" w:rsidP="00A3552A">
            <w:pPr>
              <w:spacing w:before="60" w:after="60" w:line="240" w:lineRule="auto"/>
              <w:jc w:val="both"/>
              <w:rPr>
                <w:rFonts w:cstheme="minorHAnsi"/>
                <w:shd w:val="clear" w:color="auto" w:fill="FFFFFF"/>
                <w:lang w:val="lt-LT"/>
              </w:rPr>
            </w:pPr>
          </w:p>
          <w:p w14:paraId="1C53917B" w14:textId="3147E596" w:rsidR="00192618" w:rsidRPr="00A668CF" w:rsidRDefault="00192618" w:rsidP="00A3552A">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4D48C71A" w14:textId="77777777" w:rsidR="00832059" w:rsidRPr="00832059" w:rsidRDefault="00832059" w:rsidP="00832059">
            <w:pPr>
              <w:spacing w:before="60" w:after="60" w:line="240" w:lineRule="auto"/>
              <w:jc w:val="both"/>
              <w:rPr>
                <w:rFonts w:cstheme="minorHAnsi"/>
                <w:shd w:val="clear" w:color="auto" w:fill="FFFFFF"/>
                <w:lang w:val="en-GB"/>
              </w:rPr>
            </w:pPr>
            <w:r w:rsidRPr="00832059">
              <w:rPr>
                <w:rFonts w:cstheme="minorHAnsi"/>
                <w:shd w:val="clear" w:color="auto" w:fill="FFFFFF"/>
                <w:lang w:val="en-GB"/>
              </w:rPr>
              <w:t>The advance payment security shall be provided in accordance with Clause 2.3.2 of the General Conditions of the draft Contract provided in Annex 5 to the Procurement Documents. Pursuant to this clause, the advance payment may be secured by a financial guarantee issued by:</w:t>
            </w:r>
          </w:p>
          <w:p w14:paraId="7C0B1EE3" w14:textId="77777777" w:rsidR="00832059" w:rsidRPr="00832059" w:rsidRDefault="00832059" w:rsidP="00832059">
            <w:pPr>
              <w:numPr>
                <w:ilvl w:val="0"/>
                <w:numId w:val="22"/>
              </w:numPr>
              <w:tabs>
                <w:tab w:val="clear" w:pos="720"/>
              </w:tabs>
              <w:spacing w:before="60" w:after="60" w:line="240" w:lineRule="auto"/>
              <w:ind w:left="466"/>
              <w:jc w:val="both"/>
              <w:rPr>
                <w:rFonts w:cstheme="minorHAnsi"/>
                <w:shd w:val="clear" w:color="auto" w:fill="FFFFFF"/>
                <w:lang w:val="en-GB"/>
              </w:rPr>
            </w:pPr>
            <w:r w:rsidRPr="00832059">
              <w:rPr>
                <w:rFonts w:cstheme="minorHAnsi"/>
                <w:shd w:val="clear" w:color="auto" w:fill="FFFFFF"/>
                <w:lang w:val="en-GB"/>
              </w:rPr>
              <w:t xml:space="preserve">a bank or financial institution licensed in the European Union; or </w:t>
            </w:r>
          </w:p>
          <w:p w14:paraId="51ACE0A0" w14:textId="77777777" w:rsidR="00832059" w:rsidRPr="00832059" w:rsidRDefault="00832059" w:rsidP="00832059">
            <w:pPr>
              <w:numPr>
                <w:ilvl w:val="0"/>
                <w:numId w:val="22"/>
              </w:numPr>
              <w:tabs>
                <w:tab w:val="clear" w:pos="720"/>
              </w:tabs>
              <w:spacing w:before="60" w:after="60" w:line="240" w:lineRule="auto"/>
              <w:ind w:left="466"/>
              <w:jc w:val="both"/>
              <w:rPr>
                <w:rFonts w:cstheme="minorHAnsi"/>
                <w:shd w:val="clear" w:color="auto" w:fill="FFFFFF"/>
                <w:lang w:val="en-GB"/>
              </w:rPr>
            </w:pPr>
            <w:r w:rsidRPr="00832059">
              <w:rPr>
                <w:rFonts w:cstheme="minorHAnsi"/>
                <w:shd w:val="clear" w:color="auto" w:fill="FFFFFF"/>
                <w:lang w:val="en-GB"/>
              </w:rPr>
              <w:t xml:space="preserve">a bank established in a third country, provided that, at the date of issue of the guarantee, it holds an investment-grade long-term rating of 'BBB-' by Standard &amp; Poor's, or 'BBB-' by Fitch, or 'Baa3' by Moody's, or an equivalent rating, either for the bank itself or for its parent banking group; or </w:t>
            </w:r>
          </w:p>
          <w:p w14:paraId="70324532" w14:textId="77777777" w:rsidR="00832059" w:rsidRPr="00832059" w:rsidRDefault="00832059" w:rsidP="00832059">
            <w:pPr>
              <w:numPr>
                <w:ilvl w:val="0"/>
                <w:numId w:val="22"/>
              </w:numPr>
              <w:tabs>
                <w:tab w:val="clear" w:pos="720"/>
              </w:tabs>
              <w:spacing w:before="60" w:after="60" w:line="240" w:lineRule="auto"/>
              <w:ind w:left="466"/>
              <w:jc w:val="both"/>
              <w:rPr>
                <w:rFonts w:cstheme="minorHAnsi"/>
                <w:shd w:val="clear" w:color="auto" w:fill="FFFFFF"/>
                <w:lang w:val="en-GB"/>
              </w:rPr>
            </w:pPr>
            <w:r w:rsidRPr="00832059">
              <w:rPr>
                <w:rFonts w:cstheme="minorHAnsi"/>
                <w:shd w:val="clear" w:color="auto" w:fill="FFFFFF"/>
                <w:lang w:val="en-GB"/>
              </w:rPr>
              <w:t xml:space="preserve">where no international credit rating is available for the banks licensed in Supplier's country due to country-specific risk, the Supplier shall provide a guarantee issued by a bank holding a national-scale rating of at least A from a recognised local rating agency. </w:t>
            </w:r>
          </w:p>
          <w:p w14:paraId="53957EA8" w14:textId="77777777" w:rsidR="00832059" w:rsidRPr="00832059" w:rsidRDefault="00832059" w:rsidP="00832059">
            <w:pPr>
              <w:spacing w:before="60" w:after="60" w:line="240" w:lineRule="auto"/>
              <w:jc w:val="both"/>
              <w:rPr>
                <w:rFonts w:cstheme="minorHAnsi"/>
                <w:shd w:val="clear" w:color="auto" w:fill="FFFFFF"/>
                <w:lang w:val="en-GB"/>
              </w:rPr>
            </w:pPr>
            <w:r w:rsidRPr="00832059">
              <w:rPr>
                <w:rFonts w:cstheme="minorHAnsi"/>
                <w:shd w:val="clear" w:color="auto" w:fill="FFFFFF"/>
                <w:lang w:val="en-GB"/>
              </w:rPr>
              <w:t>A manufacturer’s letter of guarantee is not provided for in the draft Contract as an acceptable form of advance payment security and therefore cannot replace the financial guarantee issued by a bank or another financial institution.</w:t>
            </w:r>
          </w:p>
          <w:p w14:paraId="77644A88" w14:textId="6383CFA1" w:rsidR="005D3147" w:rsidRPr="00832059" w:rsidRDefault="00832059" w:rsidP="00992C59">
            <w:pPr>
              <w:spacing w:before="60" w:after="60" w:line="240" w:lineRule="auto"/>
              <w:jc w:val="both"/>
              <w:rPr>
                <w:rFonts w:cstheme="minorHAnsi"/>
                <w:shd w:val="clear" w:color="auto" w:fill="FFFFFF"/>
                <w:lang w:val="en-GB"/>
              </w:rPr>
            </w:pPr>
            <w:r w:rsidRPr="00832059">
              <w:rPr>
                <w:rFonts w:cstheme="minorHAnsi"/>
                <w:shd w:val="clear" w:color="auto" w:fill="FFFFFF"/>
                <w:lang w:val="en-GB"/>
              </w:rPr>
              <w:t>It should be noted that the procurement is financed by NATO funds. Therefore, the Contracting Authority, when implementing the procurement, must ensure the proper, transparent and secure use of funds, as well as mitigate potential risks and the likelihood of financial losses in cases where the Supplier fails to perform or improperly performs its contractual obligations. In view of the above, the requirements for advance payment security set out in the draft Contract will not be amended.</w:t>
            </w:r>
          </w:p>
        </w:tc>
      </w:tr>
      <w:tr w:rsidR="0098600B" w:rsidRPr="00EA7D69" w14:paraId="1A5DF829" w14:textId="77777777" w:rsidTr="00AC1118">
        <w:trPr>
          <w:trHeight w:val="1128"/>
        </w:trPr>
        <w:tc>
          <w:tcPr>
            <w:tcW w:w="851" w:type="dxa"/>
          </w:tcPr>
          <w:p w14:paraId="0557275A" w14:textId="7DDEC734" w:rsidR="0098600B" w:rsidRPr="00A3552A" w:rsidRDefault="0098600B" w:rsidP="0098600B">
            <w:pPr>
              <w:spacing w:before="60" w:after="60" w:line="240" w:lineRule="auto"/>
              <w:ind w:left="360"/>
              <w:jc w:val="both"/>
              <w:rPr>
                <w:rFonts w:cstheme="minorHAnsi"/>
                <w:shd w:val="clear" w:color="auto" w:fill="FFFFFF"/>
              </w:rPr>
            </w:pPr>
            <w:r>
              <w:rPr>
                <w:rFonts w:cstheme="minorHAnsi"/>
                <w:shd w:val="clear" w:color="auto" w:fill="FFFFFF"/>
              </w:rPr>
              <w:lastRenderedPageBreak/>
              <w:t>2.</w:t>
            </w:r>
          </w:p>
        </w:tc>
        <w:tc>
          <w:tcPr>
            <w:tcW w:w="4252" w:type="dxa"/>
          </w:tcPr>
          <w:p w14:paraId="062A5500" w14:textId="77777777" w:rsidR="0098600B" w:rsidRPr="00A668CF" w:rsidRDefault="0098600B" w:rsidP="0098600B">
            <w:pPr>
              <w:spacing w:before="60" w:after="60" w:line="240" w:lineRule="auto"/>
              <w:jc w:val="both"/>
              <w:rPr>
                <w:rFonts w:eastAsia="Times New Roman" w:cs="Times New Roman"/>
                <w:b/>
                <w:bCs/>
                <w:lang w:val="pt-BR" w:eastAsia="lt-LT"/>
              </w:rPr>
            </w:pPr>
            <w:r w:rsidRPr="00A668CF">
              <w:rPr>
                <w:rFonts w:eastAsia="Times New Roman" w:cs="Times New Roman"/>
                <w:b/>
                <w:bCs/>
                <w:lang w:val="pt-BR" w:eastAsia="lt-LT"/>
              </w:rPr>
              <w:t xml:space="preserve">Lietuvių kalba: </w:t>
            </w:r>
          </w:p>
          <w:p w14:paraId="210BA2DD" w14:textId="392FEEC9" w:rsidR="0098600B" w:rsidRPr="00DA7105" w:rsidRDefault="0098600B" w:rsidP="0098600B">
            <w:pPr>
              <w:spacing w:before="60" w:after="60" w:line="240" w:lineRule="auto"/>
              <w:jc w:val="both"/>
              <w:rPr>
                <w:rFonts w:eastAsia="Times New Roman" w:cs="Times New Roman"/>
                <w:lang w:val="lt-LT" w:eastAsia="lt-LT"/>
              </w:rPr>
            </w:pPr>
            <w:r w:rsidRPr="0098600B">
              <w:rPr>
                <w:rFonts w:eastAsia="Times New Roman" w:cs="Times New Roman"/>
                <w:lang w:val="lt-LT" w:eastAsia="lt-LT"/>
              </w:rPr>
              <w:t>Prašome patvirtinti, ar bus pripažįstami tik nepriklausomų akredituotų laboratorijų išduoti bandymų protokolai, o gamintojo deklaracijos bei vidiniai („</w:t>
            </w:r>
            <w:proofErr w:type="spellStart"/>
            <w:r w:rsidRPr="0098600B">
              <w:rPr>
                <w:rFonts w:eastAsia="Times New Roman" w:cs="Times New Roman"/>
                <w:lang w:val="lt-LT" w:eastAsia="lt-LT"/>
              </w:rPr>
              <w:t>in-house</w:t>
            </w:r>
            <w:proofErr w:type="spellEnd"/>
            <w:r w:rsidRPr="0098600B">
              <w:rPr>
                <w:rFonts w:eastAsia="Times New Roman" w:cs="Times New Roman"/>
                <w:lang w:val="lt-LT" w:eastAsia="lt-LT"/>
              </w:rPr>
              <w:t>“) bandymų protokolai nebus laikomi tinkamais atitikties įrodymais.</w:t>
            </w:r>
          </w:p>
          <w:p w14:paraId="5673C529" w14:textId="77777777" w:rsidR="0098600B" w:rsidRPr="00312C26" w:rsidRDefault="0098600B" w:rsidP="0098600B">
            <w:pPr>
              <w:spacing w:before="60" w:after="60" w:line="240" w:lineRule="auto"/>
              <w:jc w:val="both"/>
              <w:rPr>
                <w:rFonts w:eastAsia="Times New Roman" w:cs="Times New Roman"/>
                <w:lang w:val="lt-LT" w:eastAsia="lt-LT"/>
              </w:rPr>
            </w:pPr>
          </w:p>
          <w:p w14:paraId="325F9DAC" w14:textId="77777777" w:rsidR="0098600B" w:rsidRPr="00A668CF" w:rsidRDefault="0098600B" w:rsidP="0098600B">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7B8D4836" w14:textId="53BB2833" w:rsidR="0098600B" w:rsidRPr="00A668CF" w:rsidRDefault="0098600B" w:rsidP="0098600B">
            <w:pPr>
              <w:spacing w:before="60" w:after="60" w:line="240" w:lineRule="auto"/>
              <w:jc w:val="both"/>
              <w:rPr>
                <w:rFonts w:eastAsia="Times New Roman" w:cs="Times New Roman"/>
                <w:b/>
                <w:bCs/>
                <w:lang w:val="pt-BR" w:eastAsia="lt-LT"/>
              </w:rPr>
            </w:pPr>
            <w:r w:rsidRPr="00603E8B">
              <w:rPr>
                <w:rFonts w:eastAsia="Times New Roman" w:cs="Times New Roman"/>
                <w:lang w:eastAsia="lt-LT"/>
              </w:rPr>
              <w:t>Please confirm whether only test reports issued by independent accredited laboratories will be accepted, and whether manufacturer declarations and in-house test reports will not be considered sufficient evidence of compliance.</w:t>
            </w:r>
          </w:p>
        </w:tc>
        <w:tc>
          <w:tcPr>
            <w:tcW w:w="4820" w:type="dxa"/>
          </w:tcPr>
          <w:p w14:paraId="78672325" w14:textId="77777777" w:rsidR="0098600B" w:rsidRPr="00A668CF" w:rsidRDefault="0098600B" w:rsidP="0098600B">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t>Lietuvių kalba:</w:t>
            </w:r>
          </w:p>
          <w:p w14:paraId="59EC8668" w14:textId="7567F81E" w:rsidR="009E37D5" w:rsidRPr="009E37D5" w:rsidRDefault="009E37D5" w:rsidP="009E37D5">
            <w:pPr>
              <w:spacing w:before="60" w:after="60" w:line="240" w:lineRule="auto"/>
              <w:jc w:val="both"/>
              <w:rPr>
                <w:rFonts w:cstheme="minorHAnsi"/>
                <w:shd w:val="clear" w:color="auto" w:fill="FFFFFF"/>
                <w:lang w:val="lt-LT"/>
              </w:rPr>
            </w:pPr>
            <w:r w:rsidRPr="009E37D5">
              <w:rPr>
                <w:rFonts w:cstheme="minorHAnsi"/>
                <w:shd w:val="clear" w:color="auto" w:fill="FFFFFF"/>
                <w:lang w:val="lt-LT"/>
              </w:rPr>
              <w:t>Atsižvelgiant į techninėje specifikacijoje 6 punkte (2,</w:t>
            </w:r>
            <w:r>
              <w:rPr>
                <w:rFonts w:cstheme="minorHAnsi"/>
                <w:shd w:val="clear" w:color="auto" w:fill="FFFFFF"/>
                <w:lang w:val="lt-LT"/>
              </w:rPr>
              <w:t xml:space="preserve"> </w:t>
            </w:r>
            <w:r w:rsidRPr="009E37D5">
              <w:rPr>
                <w:rFonts w:cstheme="minorHAnsi"/>
                <w:shd w:val="clear" w:color="auto" w:fill="FFFFFF"/>
                <w:lang w:val="lt-LT"/>
              </w:rPr>
              <w:t>3 ir 9 dalyse) numatytus audinių ir komponentų  atsparumo standartus tiekėjas turės pateikti audinių ar komponentų gamintojo informaciją, patvatinančią kad audiniai ar komponentai atitinka keliamus reikalavimus.  </w:t>
            </w:r>
          </w:p>
          <w:p w14:paraId="60513189" w14:textId="30A68E69" w:rsidR="009E37D5" w:rsidRPr="009E37D5" w:rsidRDefault="009E37D5" w:rsidP="009E37D5">
            <w:pPr>
              <w:spacing w:before="60" w:after="60" w:line="240" w:lineRule="auto"/>
              <w:jc w:val="both"/>
              <w:rPr>
                <w:rFonts w:cstheme="minorHAnsi"/>
                <w:shd w:val="clear" w:color="auto" w:fill="FFFFFF"/>
                <w:lang w:val="lt-LT"/>
              </w:rPr>
            </w:pPr>
            <w:r w:rsidRPr="009E37D5">
              <w:rPr>
                <w:rFonts w:cstheme="minorHAnsi"/>
                <w:shd w:val="clear" w:color="auto" w:fill="FFFFFF"/>
                <w:lang w:val="lt-LT"/>
              </w:rPr>
              <w:t>8 punkte numatytiems balistiniams ir apsaugos standartams tiekėjas turės pateikti akredituotų laboratorijų bandymų protokolus, patvirtinančius, kad siūlomos balistinės plokštės atitinka numatytų standartų reikalavimus. Gamintojo vidiniai bandymų protokolai ir deklaracijos nebus laikomi tinkamais atitikties įrodymais.</w:t>
            </w:r>
          </w:p>
          <w:p w14:paraId="7989C5F6" w14:textId="77777777" w:rsidR="0098600B" w:rsidRPr="00A668CF" w:rsidRDefault="0098600B" w:rsidP="0098600B">
            <w:pPr>
              <w:spacing w:before="60" w:after="60" w:line="240" w:lineRule="auto"/>
              <w:jc w:val="both"/>
              <w:rPr>
                <w:rFonts w:cstheme="minorHAnsi"/>
                <w:shd w:val="clear" w:color="auto" w:fill="FFFFFF"/>
                <w:lang w:val="lt-LT"/>
              </w:rPr>
            </w:pPr>
          </w:p>
          <w:p w14:paraId="357C7264" w14:textId="77777777" w:rsidR="0098600B" w:rsidRPr="00A668CF" w:rsidRDefault="0098600B" w:rsidP="0098600B">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713B0122" w14:textId="77777777" w:rsidR="009E37D5" w:rsidRPr="009E37D5" w:rsidRDefault="009E37D5" w:rsidP="009E37D5">
            <w:pPr>
              <w:spacing w:before="60" w:after="60" w:line="240" w:lineRule="auto"/>
              <w:jc w:val="both"/>
              <w:rPr>
                <w:rFonts w:cstheme="minorHAnsi"/>
                <w:shd w:val="clear" w:color="auto" w:fill="FFFFFF"/>
                <w:lang w:val="en-GB"/>
              </w:rPr>
            </w:pPr>
            <w:proofErr w:type="gramStart"/>
            <w:r w:rsidRPr="009E37D5">
              <w:rPr>
                <w:rFonts w:cstheme="minorHAnsi"/>
                <w:shd w:val="clear" w:color="auto" w:fill="FFFFFF"/>
                <w:lang w:val="en-GB"/>
              </w:rPr>
              <w:t>With regard to</w:t>
            </w:r>
            <w:proofErr w:type="gramEnd"/>
            <w:r w:rsidRPr="009E37D5">
              <w:rPr>
                <w:rFonts w:cstheme="minorHAnsi"/>
                <w:shd w:val="clear" w:color="auto" w:fill="FFFFFF"/>
                <w:lang w:val="en-GB"/>
              </w:rPr>
              <w:t xml:space="preserve"> the fabric and component performance requirements set out in Section 6 (Parts 2, 3 and 9) of the Technical Specification, the tenderer shall provide information from the manufacturer of the fabrics or components confirming that the fabrics or components comply with the specified requirements.</w:t>
            </w:r>
          </w:p>
          <w:p w14:paraId="7618395F" w14:textId="513C6A2C" w:rsidR="0098600B" w:rsidRPr="009E37D5" w:rsidRDefault="009E37D5" w:rsidP="0098600B">
            <w:pPr>
              <w:spacing w:before="60" w:after="60" w:line="240" w:lineRule="auto"/>
              <w:jc w:val="both"/>
              <w:rPr>
                <w:rFonts w:cstheme="minorHAnsi"/>
                <w:shd w:val="clear" w:color="auto" w:fill="FFFFFF"/>
                <w:lang w:val="lt-LT"/>
              </w:rPr>
            </w:pPr>
            <w:proofErr w:type="gramStart"/>
            <w:r w:rsidRPr="009E37D5">
              <w:rPr>
                <w:rFonts w:cstheme="minorHAnsi"/>
                <w:shd w:val="clear" w:color="auto" w:fill="FFFFFF"/>
                <w:lang w:val="en-GB"/>
              </w:rPr>
              <w:t>With regard to</w:t>
            </w:r>
            <w:proofErr w:type="gramEnd"/>
            <w:r w:rsidRPr="009E37D5">
              <w:rPr>
                <w:rFonts w:cstheme="minorHAnsi"/>
                <w:shd w:val="clear" w:color="auto" w:fill="FFFFFF"/>
                <w:lang w:val="en-GB"/>
              </w:rPr>
              <w:t xml:space="preserve"> the ballistic and protection standards specified in Section 8 of the Technical Specification, the tenderer shall provide test reports issued by accredited laboratories confirming that the proposed ballistic plates comply with the requirements of the specified standards. Internal test reports and declarations issued by the manufacturer shall not be considered acceptable evidence of compliance.</w:t>
            </w:r>
          </w:p>
        </w:tc>
      </w:tr>
      <w:tr w:rsidR="0098600B" w:rsidRPr="00EA7D69" w14:paraId="1B5F4CE8" w14:textId="77777777" w:rsidTr="00AC1118">
        <w:trPr>
          <w:trHeight w:val="1128"/>
        </w:trPr>
        <w:tc>
          <w:tcPr>
            <w:tcW w:w="851" w:type="dxa"/>
          </w:tcPr>
          <w:p w14:paraId="7910D771" w14:textId="4D05BA78" w:rsidR="0098600B" w:rsidRPr="00A3552A" w:rsidRDefault="0098600B" w:rsidP="0098600B">
            <w:pPr>
              <w:spacing w:before="60" w:after="60" w:line="240" w:lineRule="auto"/>
              <w:ind w:left="360"/>
              <w:jc w:val="both"/>
              <w:rPr>
                <w:rFonts w:cstheme="minorHAnsi"/>
                <w:shd w:val="clear" w:color="auto" w:fill="FFFFFF"/>
              </w:rPr>
            </w:pPr>
            <w:r>
              <w:rPr>
                <w:rFonts w:cstheme="minorHAnsi"/>
                <w:shd w:val="clear" w:color="auto" w:fill="FFFFFF"/>
              </w:rPr>
              <w:t>3.</w:t>
            </w:r>
          </w:p>
        </w:tc>
        <w:tc>
          <w:tcPr>
            <w:tcW w:w="4252" w:type="dxa"/>
          </w:tcPr>
          <w:p w14:paraId="12D1A0E1" w14:textId="77777777" w:rsidR="0098600B" w:rsidRPr="00A668CF" w:rsidRDefault="0098600B" w:rsidP="0098600B">
            <w:pPr>
              <w:spacing w:before="60" w:after="60" w:line="240" w:lineRule="auto"/>
              <w:jc w:val="both"/>
              <w:rPr>
                <w:rFonts w:eastAsia="Times New Roman" w:cs="Times New Roman"/>
                <w:b/>
                <w:bCs/>
                <w:lang w:val="pt-BR" w:eastAsia="lt-LT"/>
              </w:rPr>
            </w:pPr>
            <w:r w:rsidRPr="00A668CF">
              <w:rPr>
                <w:rFonts w:eastAsia="Times New Roman" w:cs="Times New Roman"/>
                <w:b/>
                <w:bCs/>
                <w:lang w:val="pt-BR" w:eastAsia="lt-LT"/>
              </w:rPr>
              <w:t xml:space="preserve">Lietuvių kalba: </w:t>
            </w:r>
          </w:p>
          <w:p w14:paraId="02B8D56D" w14:textId="77777777" w:rsidR="0098600B" w:rsidRPr="0098600B" w:rsidRDefault="0098600B" w:rsidP="0098600B">
            <w:pPr>
              <w:spacing w:before="60" w:after="60" w:line="240" w:lineRule="auto"/>
              <w:jc w:val="both"/>
              <w:rPr>
                <w:rFonts w:eastAsia="Times New Roman" w:cs="Times New Roman"/>
                <w:lang w:val="lt-LT" w:eastAsia="lt-LT"/>
              </w:rPr>
            </w:pPr>
            <w:r w:rsidRPr="0098600B">
              <w:rPr>
                <w:rFonts w:eastAsia="Times New Roman" w:cs="Times New Roman"/>
                <w:lang w:val="lt-LT" w:eastAsia="lt-LT"/>
              </w:rPr>
              <w:t>Ruošiantis galimam pasiūlymo pateikimui norėtumėme pateikti papildomus klausimus susijusius su techniniais reikalavimais:</w:t>
            </w:r>
          </w:p>
          <w:p w14:paraId="4951D58E" w14:textId="77777777" w:rsidR="0098600B" w:rsidRPr="0098600B" w:rsidRDefault="0098600B" w:rsidP="0098600B">
            <w:pPr>
              <w:spacing w:before="60" w:after="60" w:line="240" w:lineRule="auto"/>
              <w:jc w:val="both"/>
              <w:rPr>
                <w:rFonts w:eastAsia="Times New Roman" w:cs="Times New Roman"/>
                <w:lang w:val="lt-LT" w:eastAsia="lt-LT"/>
              </w:rPr>
            </w:pPr>
            <w:r w:rsidRPr="0098600B">
              <w:rPr>
                <w:rFonts w:eastAsia="Times New Roman" w:cs="Times New Roman"/>
                <w:lang w:val="lt-LT" w:eastAsia="lt-LT"/>
              </w:rPr>
              <w:t>1 . Ar kietosios balistinės plokštės turi būti testuojamos kaip ICW (</w:t>
            </w:r>
            <w:proofErr w:type="spellStart"/>
            <w:r w:rsidRPr="0098600B">
              <w:rPr>
                <w:rFonts w:eastAsia="Times New Roman" w:cs="Times New Roman"/>
                <w:lang w:val="lt-LT" w:eastAsia="lt-LT"/>
              </w:rPr>
              <w:t>In</w:t>
            </w:r>
            <w:proofErr w:type="spellEnd"/>
            <w:r w:rsidRPr="0098600B">
              <w:rPr>
                <w:rFonts w:eastAsia="Times New Roman" w:cs="Times New Roman"/>
                <w:lang w:val="lt-LT" w:eastAsia="lt-LT"/>
              </w:rPr>
              <w:t xml:space="preserve"> </w:t>
            </w:r>
            <w:proofErr w:type="spellStart"/>
            <w:r w:rsidRPr="0098600B">
              <w:rPr>
                <w:rFonts w:eastAsia="Times New Roman" w:cs="Times New Roman"/>
                <w:lang w:val="lt-LT" w:eastAsia="lt-LT"/>
              </w:rPr>
              <w:t>Conjunction</w:t>
            </w:r>
            <w:proofErr w:type="spellEnd"/>
            <w:r w:rsidRPr="0098600B">
              <w:rPr>
                <w:rFonts w:eastAsia="Times New Roman" w:cs="Times New Roman"/>
                <w:lang w:val="lt-LT" w:eastAsia="lt-LT"/>
              </w:rPr>
              <w:t xml:space="preserve"> </w:t>
            </w:r>
            <w:proofErr w:type="spellStart"/>
            <w:r w:rsidRPr="0098600B">
              <w:rPr>
                <w:rFonts w:eastAsia="Times New Roman" w:cs="Times New Roman"/>
                <w:lang w:val="lt-LT" w:eastAsia="lt-LT"/>
              </w:rPr>
              <w:t>With</w:t>
            </w:r>
            <w:proofErr w:type="spellEnd"/>
            <w:r w:rsidRPr="0098600B">
              <w:rPr>
                <w:rFonts w:eastAsia="Times New Roman" w:cs="Times New Roman"/>
                <w:lang w:val="lt-LT" w:eastAsia="lt-LT"/>
              </w:rPr>
              <w:t xml:space="preserve"> – naudojamos kartu su minkšta balistine apsauga), ar kaip SA (</w:t>
            </w:r>
            <w:proofErr w:type="spellStart"/>
            <w:r w:rsidRPr="0098600B">
              <w:rPr>
                <w:rFonts w:eastAsia="Times New Roman" w:cs="Times New Roman"/>
                <w:lang w:val="lt-LT" w:eastAsia="lt-LT"/>
              </w:rPr>
              <w:t>Stand</w:t>
            </w:r>
            <w:proofErr w:type="spellEnd"/>
            <w:r w:rsidRPr="0098600B">
              <w:rPr>
                <w:rFonts w:eastAsia="Times New Roman" w:cs="Times New Roman"/>
                <w:lang w:val="lt-LT" w:eastAsia="lt-LT"/>
              </w:rPr>
              <w:t xml:space="preserve"> </w:t>
            </w:r>
            <w:proofErr w:type="spellStart"/>
            <w:r w:rsidRPr="0098600B">
              <w:rPr>
                <w:rFonts w:eastAsia="Times New Roman" w:cs="Times New Roman"/>
                <w:lang w:val="lt-LT" w:eastAsia="lt-LT"/>
              </w:rPr>
              <w:t>Alone</w:t>
            </w:r>
            <w:proofErr w:type="spellEnd"/>
            <w:r w:rsidRPr="0098600B">
              <w:rPr>
                <w:rFonts w:eastAsia="Times New Roman" w:cs="Times New Roman"/>
                <w:lang w:val="lt-LT" w:eastAsia="lt-LT"/>
              </w:rPr>
              <w:t xml:space="preserve"> – savarankiškai, be papildomos minkštos apsaugos)?</w:t>
            </w:r>
          </w:p>
          <w:p w14:paraId="70990659" w14:textId="77777777" w:rsidR="0098600B" w:rsidRPr="0098600B" w:rsidRDefault="0098600B" w:rsidP="0098600B">
            <w:pPr>
              <w:spacing w:before="60" w:after="60" w:line="240" w:lineRule="auto"/>
              <w:jc w:val="both"/>
              <w:rPr>
                <w:rFonts w:eastAsia="Times New Roman" w:cs="Times New Roman"/>
                <w:lang w:val="lt-LT" w:eastAsia="lt-LT"/>
              </w:rPr>
            </w:pPr>
            <w:r w:rsidRPr="0098600B">
              <w:rPr>
                <w:rFonts w:eastAsia="Times New Roman" w:cs="Times New Roman"/>
                <w:lang w:val="lt-LT" w:eastAsia="lt-LT"/>
              </w:rPr>
              <w:lastRenderedPageBreak/>
              <w:t>2. Ar NIJ 0101.06 IV apsaugos lygis turi apimti atsparumą 7,62×51 mm M80 šoviniui, ar tik 7,62×63 mm AP M2 šoviniui?</w:t>
            </w:r>
          </w:p>
          <w:p w14:paraId="33C8DE75" w14:textId="77777777" w:rsidR="0098600B" w:rsidRPr="0098600B" w:rsidRDefault="0098600B" w:rsidP="0098600B">
            <w:pPr>
              <w:spacing w:before="60" w:after="60" w:line="240" w:lineRule="auto"/>
              <w:jc w:val="both"/>
              <w:rPr>
                <w:rFonts w:eastAsia="Times New Roman" w:cs="Times New Roman"/>
                <w:lang w:val="lt-LT" w:eastAsia="lt-LT"/>
              </w:rPr>
            </w:pPr>
            <w:r w:rsidRPr="0098600B">
              <w:rPr>
                <w:rFonts w:eastAsia="Times New Roman" w:cs="Times New Roman"/>
                <w:lang w:val="lt-LT" w:eastAsia="lt-LT"/>
              </w:rPr>
              <w:t>3. Pasiūlymų pateikimo terminas yra gana trumpas. Ar būtų galima jį pratęsti, kad būtų pakankamai laiko atlikti bandymus ir pateikti geresnius techninius sprendimus?</w:t>
            </w:r>
          </w:p>
          <w:p w14:paraId="0C941D6E" w14:textId="77777777" w:rsidR="0098600B" w:rsidRPr="0098600B" w:rsidRDefault="0098600B" w:rsidP="0098600B">
            <w:pPr>
              <w:spacing w:before="60" w:after="60" w:line="240" w:lineRule="auto"/>
              <w:jc w:val="both"/>
              <w:rPr>
                <w:rFonts w:eastAsia="Times New Roman" w:cs="Times New Roman"/>
                <w:lang w:val="lt-LT" w:eastAsia="lt-LT"/>
              </w:rPr>
            </w:pPr>
            <w:r w:rsidRPr="0098600B">
              <w:rPr>
                <w:rFonts w:eastAsia="Times New Roman" w:cs="Times New Roman"/>
                <w:lang w:val="lt-LT" w:eastAsia="lt-LT"/>
              </w:rPr>
              <w:t>4. Ar šoninės balistinės plokštės taip pat turi būti testuojamos?</w:t>
            </w:r>
          </w:p>
          <w:p w14:paraId="28D5364C" w14:textId="77777777" w:rsidR="0098600B" w:rsidRPr="0098600B" w:rsidRDefault="0098600B" w:rsidP="0098600B">
            <w:pPr>
              <w:spacing w:before="60" w:after="60" w:line="240" w:lineRule="auto"/>
              <w:jc w:val="both"/>
              <w:rPr>
                <w:rFonts w:eastAsia="Times New Roman" w:cs="Times New Roman"/>
                <w:lang w:val="lt-LT" w:eastAsia="lt-LT"/>
              </w:rPr>
            </w:pPr>
            <w:r w:rsidRPr="0098600B">
              <w:rPr>
                <w:rFonts w:eastAsia="Times New Roman" w:cs="Times New Roman"/>
                <w:lang w:val="lt-LT" w:eastAsia="lt-LT"/>
              </w:rPr>
              <w:t>5. Prašome patikslinti, ar techninėje specifikacijoje yra taikomas maksimalus leistinas visos komplektuojamos sistemos svoris. Jei toks reikalavimas nėra taikomas, prašome, esant galimybei, paaiškinti, kokiais argumentais vadovaudamasi perkančioji organizacija nusprendė jo nenurodyti. Mūsų nuomone, bendras sistemos svoris yra vienas svarbiausių reikalavimų įsigyjant tokio lygio balistines apsaugos sistemas.</w:t>
            </w:r>
          </w:p>
          <w:p w14:paraId="4C6551CA" w14:textId="77777777" w:rsidR="0098600B" w:rsidRPr="0098600B" w:rsidRDefault="0098600B" w:rsidP="0098600B">
            <w:pPr>
              <w:spacing w:before="60" w:after="60" w:line="240" w:lineRule="auto"/>
              <w:jc w:val="both"/>
              <w:rPr>
                <w:rFonts w:eastAsia="Times New Roman" w:cs="Times New Roman"/>
                <w:lang w:val="lt-LT" w:eastAsia="lt-LT"/>
              </w:rPr>
            </w:pPr>
            <w:r w:rsidRPr="0098600B">
              <w:rPr>
                <w:rFonts w:eastAsia="Times New Roman" w:cs="Times New Roman"/>
                <w:lang w:val="lt-LT" w:eastAsia="lt-LT"/>
              </w:rPr>
              <w:t>6. Techninėje specifikacijoje yra nustatyta ±5 procentų matmenų tolerancija, tačiau nėra nurodyta leistina svorio tolerancija. Prašome patikslinti, ar yra taikoma leistina svorio paklaida. Jei taip, prašome nurodyti maksimalų leistiną svorio nuokrypį.</w:t>
            </w:r>
          </w:p>
          <w:p w14:paraId="0F1582AD" w14:textId="160CAB65" w:rsidR="0098600B" w:rsidRPr="00DA7105" w:rsidRDefault="0098600B" w:rsidP="0098600B">
            <w:pPr>
              <w:spacing w:before="60" w:after="60" w:line="240" w:lineRule="auto"/>
              <w:jc w:val="both"/>
              <w:rPr>
                <w:rFonts w:eastAsia="Times New Roman" w:cs="Times New Roman"/>
                <w:lang w:val="lt-LT" w:eastAsia="lt-LT"/>
              </w:rPr>
            </w:pPr>
            <w:r w:rsidRPr="0098600B">
              <w:rPr>
                <w:rFonts w:eastAsia="Times New Roman" w:cs="Times New Roman"/>
                <w:lang w:val="lt-LT" w:eastAsia="lt-LT"/>
              </w:rPr>
              <w:t>7. Mūsų manymu, 2700 g svorio riba SAPI M dydžio plokštei yra gana griežta ir, iš dalies, riboja konkurencines sąlygas. Ar būtų galima ją padidinti iki 2900 g, kad būtų galima pasiūlyti daugiau techninių sprendimų ir konkurencingesnes kainas?</w:t>
            </w:r>
          </w:p>
          <w:p w14:paraId="4742DD65" w14:textId="77777777" w:rsidR="0098600B" w:rsidRPr="00312C26" w:rsidRDefault="0098600B" w:rsidP="0098600B">
            <w:pPr>
              <w:spacing w:before="60" w:after="60" w:line="240" w:lineRule="auto"/>
              <w:jc w:val="both"/>
              <w:rPr>
                <w:rFonts w:eastAsia="Times New Roman" w:cs="Times New Roman"/>
                <w:lang w:val="lt-LT" w:eastAsia="lt-LT"/>
              </w:rPr>
            </w:pPr>
          </w:p>
          <w:p w14:paraId="6B344E85" w14:textId="77777777" w:rsidR="0098600B" w:rsidRPr="00A668CF" w:rsidRDefault="0098600B" w:rsidP="0098600B">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t>In English:</w:t>
            </w:r>
          </w:p>
          <w:p w14:paraId="1AE9F60E" w14:textId="77777777" w:rsidR="00832059" w:rsidRPr="00832059" w:rsidRDefault="00832059" w:rsidP="00832059">
            <w:pPr>
              <w:spacing w:before="60" w:after="60" w:line="240" w:lineRule="auto"/>
              <w:jc w:val="both"/>
              <w:rPr>
                <w:rFonts w:eastAsia="Times New Roman" w:cs="Times New Roman"/>
                <w:lang w:val="en-GB" w:eastAsia="lt-LT"/>
              </w:rPr>
            </w:pPr>
            <w:r w:rsidRPr="00832059">
              <w:rPr>
                <w:rFonts w:eastAsia="Times New Roman" w:cs="Times New Roman"/>
                <w:lang w:val="en-GB" w:eastAsia="lt-LT"/>
              </w:rPr>
              <w:t>In preparation for the possible submission of a tender, we would like to submit additional questions related to the technical requirements:</w:t>
            </w:r>
          </w:p>
          <w:p w14:paraId="1C9136C7" w14:textId="77777777" w:rsidR="00832059" w:rsidRPr="00832059" w:rsidRDefault="00832059" w:rsidP="00832059">
            <w:pPr>
              <w:numPr>
                <w:ilvl w:val="0"/>
                <w:numId w:val="23"/>
              </w:numPr>
              <w:tabs>
                <w:tab w:val="clear" w:pos="720"/>
              </w:tabs>
              <w:spacing w:before="60" w:after="60" w:line="240" w:lineRule="auto"/>
              <w:ind w:left="459"/>
              <w:jc w:val="both"/>
              <w:rPr>
                <w:rFonts w:eastAsia="Times New Roman" w:cs="Times New Roman"/>
                <w:lang w:val="en-GB" w:eastAsia="lt-LT"/>
              </w:rPr>
            </w:pPr>
            <w:r w:rsidRPr="00832059">
              <w:rPr>
                <w:rFonts w:eastAsia="Times New Roman" w:cs="Times New Roman"/>
                <w:lang w:val="en-GB" w:eastAsia="lt-LT"/>
              </w:rPr>
              <w:t xml:space="preserve">Should the hard ballistic plates be tested as ICW (In Conjunction With – used together with soft ballistic protection) or as SA (Stand Alone – independently, without additional soft ballistic protection)? </w:t>
            </w:r>
          </w:p>
          <w:p w14:paraId="09EF32E8" w14:textId="77777777" w:rsidR="00832059" w:rsidRPr="00832059" w:rsidRDefault="00832059" w:rsidP="00832059">
            <w:pPr>
              <w:numPr>
                <w:ilvl w:val="0"/>
                <w:numId w:val="23"/>
              </w:numPr>
              <w:tabs>
                <w:tab w:val="clear" w:pos="720"/>
              </w:tabs>
              <w:spacing w:before="60" w:after="60" w:line="240" w:lineRule="auto"/>
              <w:ind w:left="459"/>
              <w:jc w:val="both"/>
              <w:rPr>
                <w:rFonts w:eastAsia="Times New Roman" w:cs="Times New Roman"/>
                <w:lang w:val="en-GB" w:eastAsia="lt-LT"/>
              </w:rPr>
            </w:pPr>
            <w:r w:rsidRPr="00832059">
              <w:rPr>
                <w:rFonts w:eastAsia="Times New Roman" w:cs="Times New Roman"/>
                <w:lang w:val="en-GB" w:eastAsia="lt-LT"/>
              </w:rPr>
              <w:t xml:space="preserve">Should NIJ 0101.06 Level IV protection include resistance to the 7.62×51 mm </w:t>
            </w:r>
            <w:r w:rsidRPr="00832059">
              <w:rPr>
                <w:rFonts w:eastAsia="Times New Roman" w:cs="Times New Roman"/>
                <w:lang w:val="en-GB" w:eastAsia="lt-LT"/>
              </w:rPr>
              <w:lastRenderedPageBreak/>
              <w:t xml:space="preserve">M80 round, or only to the 7.62×63 mm AP M2 round? </w:t>
            </w:r>
          </w:p>
          <w:p w14:paraId="3880B41D" w14:textId="77777777" w:rsidR="00832059" w:rsidRPr="00832059" w:rsidRDefault="00832059" w:rsidP="00832059">
            <w:pPr>
              <w:numPr>
                <w:ilvl w:val="0"/>
                <w:numId w:val="23"/>
              </w:numPr>
              <w:tabs>
                <w:tab w:val="clear" w:pos="720"/>
              </w:tabs>
              <w:spacing w:before="60" w:after="60" w:line="240" w:lineRule="auto"/>
              <w:ind w:left="459"/>
              <w:jc w:val="both"/>
              <w:rPr>
                <w:rFonts w:eastAsia="Times New Roman" w:cs="Times New Roman"/>
                <w:lang w:val="en-GB" w:eastAsia="lt-LT"/>
              </w:rPr>
            </w:pPr>
            <w:r w:rsidRPr="00832059">
              <w:rPr>
                <w:rFonts w:eastAsia="Times New Roman" w:cs="Times New Roman"/>
                <w:lang w:val="en-GB" w:eastAsia="lt-LT"/>
              </w:rPr>
              <w:t xml:space="preserve">The deadline for submission of tenders is rather short. Would it be possible to extend it </w:t>
            </w:r>
            <w:proofErr w:type="gramStart"/>
            <w:r w:rsidRPr="00832059">
              <w:rPr>
                <w:rFonts w:eastAsia="Times New Roman" w:cs="Times New Roman"/>
                <w:lang w:val="en-GB" w:eastAsia="lt-LT"/>
              </w:rPr>
              <w:t>in order to</w:t>
            </w:r>
            <w:proofErr w:type="gramEnd"/>
            <w:r w:rsidRPr="00832059">
              <w:rPr>
                <w:rFonts w:eastAsia="Times New Roman" w:cs="Times New Roman"/>
                <w:lang w:val="en-GB" w:eastAsia="lt-LT"/>
              </w:rPr>
              <w:t xml:space="preserve"> allow sufficient time to carry out testing and submit better technical solutions? </w:t>
            </w:r>
          </w:p>
          <w:p w14:paraId="3C8AA177" w14:textId="77777777" w:rsidR="00832059" w:rsidRPr="00832059" w:rsidRDefault="00832059" w:rsidP="00832059">
            <w:pPr>
              <w:numPr>
                <w:ilvl w:val="0"/>
                <w:numId w:val="23"/>
              </w:numPr>
              <w:tabs>
                <w:tab w:val="clear" w:pos="720"/>
              </w:tabs>
              <w:spacing w:before="60" w:after="60" w:line="240" w:lineRule="auto"/>
              <w:ind w:left="459"/>
              <w:jc w:val="both"/>
              <w:rPr>
                <w:rFonts w:eastAsia="Times New Roman" w:cs="Times New Roman"/>
                <w:lang w:val="en-GB" w:eastAsia="lt-LT"/>
              </w:rPr>
            </w:pPr>
            <w:r w:rsidRPr="00832059">
              <w:rPr>
                <w:rFonts w:eastAsia="Times New Roman" w:cs="Times New Roman"/>
                <w:lang w:val="en-GB" w:eastAsia="lt-LT"/>
              </w:rPr>
              <w:t xml:space="preserve">Should the side ballistic plates also be tested? </w:t>
            </w:r>
          </w:p>
          <w:p w14:paraId="2D611F68" w14:textId="77777777" w:rsidR="00832059" w:rsidRPr="00832059" w:rsidRDefault="00832059" w:rsidP="00832059">
            <w:pPr>
              <w:numPr>
                <w:ilvl w:val="0"/>
                <w:numId w:val="23"/>
              </w:numPr>
              <w:tabs>
                <w:tab w:val="clear" w:pos="720"/>
              </w:tabs>
              <w:spacing w:before="60" w:after="60" w:line="240" w:lineRule="auto"/>
              <w:ind w:left="459"/>
              <w:jc w:val="both"/>
              <w:rPr>
                <w:rFonts w:eastAsia="Times New Roman" w:cs="Times New Roman"/>
                <w:lang w:val="en-GB" w:eastAsia="lt-LT"/>
              </w:rPr>
            </w:pPr>
            <w:r w:rsidRPr="00832059">
              <w:rPr>
                <w:rFonts w:eastAsia="Times New Roman" w:cs="Times New Roman"/>
                <w:lang w:val="en-GB" w:eastAsia="lt-LT"/>
              </w:rPr>
              <w:t xml:space="preserve">Please clarify whether the Technical Specification sets a maximum permitted weight for the complete configured system. If no such requirement applies, please explain, where possible, the reasons </w:t>
            </w:r>
            <w:proofErr w:type="gramStart"/>
            <w:r w:rsidRPr="00832059">
              <w:rPr>
                <w:rFonts w:eastAsia="Times New Roman" w:cs="Times New Roman"/>
                <w:lang w:val="en-GB" w:eastAsia="lt-LT"/>
              </w:rPr>
              <w:t>on the basis of</w:t>
            </w:r>
            <w:proofErr w:type="gramEnd"/>
            <w:r w:rsidRPr="00832059">
              <w:rPr>
                <w:rFonts w:eastAsia="Times New Roman" w:cs="Times New Roman"/>
                <w:lang w:val="en-GB" w:eastAsia="lt-LT"/>
              </w:rPr>
              <w:t xml:space="preserve"> which the Contracting Authority decided not to specify it. In our opinion, the overall system weight is one of the most important requirements when procuring ballistic protection systems of this level. </w:t>
            </w:r>
          </w:p>
          <w:p w14:paraId="01FEB612" w14:textId="77777777" w:rsidR="00832059" w:rsidRPr="00832059" w:rsidRDefault="00832059" w:rsidP="00832059">
            <w:pPr>
              <w:numPr>
                <w:ilvl w:val="0"/>
                <w:numId w:val="23"/>
              </w:numPr>
              <w:tabs>
                <w:tab w:val="clear" w:pos="720"/>
              </w:tabs>
              <w:spacing w:before="60" w:after="60" w:line="240" w:lineRule="auto"/>
              <w:ind w:left="459"/>
              <w:jc w:val="both"/>
              <w:rPr>
                <w:rFonts w:eastAsia="Times New Roman" w:cs="Times New Roman"/>
                <w:lang w:val="en-GB" w:eastAsia="lt-LT"/>
              </w:rPr>
            </w:pPr>
            <w:r w:rsidRPr="00832059">
              <w:rPr>
                <w:rFonts w:eastAsia="Times New Roman" w:cs="Times New Roman"/>
                <w:lang w:val="en-GB" w:eastAsia="lt-LT"/>
              </w:rPr>
              <w:t xml:space="preserve">The Technical Specification provides for a ±5 percent dimensional </w:t>
            </w:r>
            <w:proofErr w:type="gramStart"/>
            <w:r w:rsidRPr="00832059">
              <w:rPr>
                <w:rFonts w:eastAsia="Times New Roman" w:cs="Times New Roman"/>
                <w:lang w:val="en-GB" w:eastAsia="lt-LT"/>
              </w:rPr>
              <w:t>tolerance, but</w:t>
            </w:r>
            <w:proofErr w:type="gramEnd"/>
            <w:r w:rsidRPr="00832059">
              <w:rPr>
                <w:rFonts w:eastAsia="Times New Roman" w:cs="Times New Roman"/>
                <w:lang w:val="en-GB" w:eastAsia="lt-LT"/>
              </w:rPr>
              <w:t xml:space="preserve"> does not specify any permitted weight tolerance. Please clarify whether any permitted weight deviation applies. If so, please indicate the maximum permitted weight deviation. </w:t>
            </w:r>
          </w:p>
          <w:p w14:paraId="239B897D" w14:textId="77777777" w:rsidR="00832059" w:rsidRPr="00832059" w:rsidRDefault="00832059" w:rsidP="00832059">
            <w:pPr>
              <w:numPr>
                <w:ilvl w:val="0"/>
                <w:numId w:val="23"/>
              </w:numPr>
              <w:tabs>
                <w:tab w:val="clear" w:pos="720"/>
              </w:tabs>
              <w:spacing w:before="60" w:after="60" w:line="240" w:lineRule="auto"/>
              <w:ind w:left="459"/>
              <w:jc w:val="both"/>
              <w:rPr>
                <w:rFonts w:eastAsia="Times New Roman" w:cs="Times New Roman"/>
                <w:lang w:val="en-GB" w:eastAsia="lt-LT"/>
              </w:rPr>
            </w:pPr>
            <w:r w:rsidRPr="00832059">
              <w:rPr>
                <w:rFonts w:eastAsia="Times New Roman" w:cs="Times New Roman"/>
                <w:lang w:val="en-GB" w:eastAsia="lt-LT"/>
              </w:rPr>
              <w:t xml:space="preserve">In our opinion, the 2,700 g weight limit for a SAPI size M plate is rather strict and, to some extent, restricts competition. Would it be possible to increase it to 2,900 g </w:t>
            </w:r>
            <w:proofErr w:type="gramStart"/>
            <w:r w:rsidRPr="00832059">
              <w:rPr>
                <w:rFonts w:eastAsia="Times New Roman" w:cs="Times New Roman"/>
                <w:lang w:val="en-GB" w:eastAsia="lt-LT"/>
              </w:rPr>
              <w:t>in order to</w:t>
            </w:r>
            <w:proofErr w:type="gramEnd"/>
            <w:r w:rsidRPr="00832059">
              <w:rPr>
                <w:rFonts w:eastAsia="Times New Roman" w:cs="Times New Roman"/>
                <w:lang w:val="en-GB" w:eastAsia="lt-LT"/>
              </w:rPr>
              <w:t xml:space="preserve"> allow for a wider range of technical solutions and more competitive prices?</w:t>
            </w:r>
          </w:p>
          <w:p w14:paraId="1626060F" w14:textId="57886A17" w:rsidR="0098600B" w:rsidRPr="00A668CF" w:rsidRDefault="0098600B" w:rsidP="0098600B">
            <w:pPr>
              <w:spacing w:before="60" w:after="60" w:line="240" w:lineRule="auto"/>
              <w:jc w:val="both"/>
              <w:rPr>
                <w:rFonts w:eastAsia="Times New Roman" w:cs="Times New Roman"/>
                <w:b/>
                <w:bCs/>
                <w:lang w:val="pt-BR" w:eastAsia="lt-LT"/>
              </w:rPr>
            </w:pPr>
          </w:p>
        </w:tc>
        <w:tc>
          <w:tcPr>
            <w:tcW w:w="4820" w:type="dxa"/>
          </w:tcPr>
          <w:p w14:paraId="52AE2FAF" w14:textId="77777777" w:rsidR="0098600B" w:rsidRPr="00A668CF" w:rsidRDefault="0098600B" w:rsidP="0098600B">
            <w:pPr>
              <w:spacing w:before="60" w:after="60" w:line="240" w:lineRule="auto"/>
              <w:jc w:val="both"/>
              <w:rPr>
                <w:rFonts w:cstheme="minorHAnsi"/>
                <w:b/>
                <w:bCs/>
                <w:shd w:val="clear" w:color="auto" w:fill="FFFFFF"/>
                <w:lang w:val="lt-LT"/>
              </w:rPr>
            </w:pPr>
            <w:r w:rsidRPr="00A668CF">
              <w:rPr>
                <w:rFonts w:cstheme="minorHAnsi"/>
                <w:b/>
                <w:bCs/>
                <w:shd w:val="clear" w:color="auto" w:fill="FFFFFF"/>
                <w:lang w:val="lt-LT"/>
              </w:rPr>
              <w:lastRenderedPageBreak/>
              <w:t>Lietuvių kalba:</w:t>
            </w:r>
          </w:p>
          <w:p w14:paraId="7F682F53" w14:textId="6D827CA5" w:rsidR="0098600B" w:rsidRDefault="0098600B" w:rsidP="0098600B">
            <w:pPr>
              <w:spacing w:before="60" w:after="60" w:line="240" w:lineRule="auto"/>
              <w:jc w:val="both"/>
              <w:rPr>
                <w:rFonts w:cstheme="minorHAnsi"/>
                <w:shd w:val="clear" w:color="auto" w:fill="FFFFFF"/>
                <w:lang w:val="lt-LT"/>
              </w:rPr>
            </w:pPr>
            <w:r>
              <w:rPr>
                <w:rFonts w:cstheme="minorHAnsi"/>
                <w:shd w:val="clear" w:color="auto" w:fill="FFFFFF"/>
                <w:lang w:val="lt-LT"/>
              </w:rPr>
              <w:t xml:space="preserve">1. </w:t>
            </w:r>
            <w:r w:rsidRPr="0098600B">
              <w:rPr>
                <w:rFonts w:cstheme="minorHAnsi"/>
                <w:shd w:val="clear" w:color="auto" w:fill="FFFFFF"/>
                <w:lang w:val="lt-LT"/>
              </w:rPr>
              <w:t>Numatyti balistinio atsparumo reikalavimai (</w:t>
            </w:r>
            <w:proofErr w:type="spellStart"/>
            <w:r w:rsidRPr="0098600B">
              <w:rPr>
                <w:rFonts w:cstheme="minorHAnsi"/>
                <w:shd w:val="clear" w:color="auto" w:fill="FFFFFF"/>
                <w:lang w:val="lt-LT"/>
              </w:rPr>
              <w:t>Level</w:t>
            </w:r>
            <w:proofErr w:type="spellEnd"/>
            <w:r w:rsidRPr="0098600B">
              <w:rPr>
                <w:rFonts w:cstheme="minorHAnsi"/>
                <w:shd w:val="clear" w:color="auto" w:fill="FFFFFF"/>
                <w:lang w:val="lt-LT"/>
              </w:rPr>
              <w:t xml:space="preserve"> IV pagal NIJ 0106.01) yra nustatyti balistinėms plokštėms, todėl testo rezultatai turi patvirtinti plokščių atitikimą šiam standartui. kadangi reikalavimas keliamas plokštėms bei nenumatytas reikalavimas papildomiems nugaros, krūtinės ir šonų minkštiems balistiniams įdėklams, plokštės turi būti testuojamos kaip SA (</w:t>
            </w:r>
            <w:proofErr w:type="spellStart"/>
            <w:r w:rsidRPr="0098600B">
              <w:rPr>
                <w:rFonts w:cstheme="minorHAnsi"/>
                <w:shd w:val="clear" w:color="auto" w:fill="FFFFFF"/>
                <w:lang w:val="lt-LT"/>
              </w:rPr>
              <w:t>Stand</w:t>
            </w:r>
            <w:proofErr w:type="spellEnd"/>
            <w:r w:rsidRPr="0098600B">
              <w:rPr>
                <w:rFonts w:cstheme="minorHAnsi"/>
                <w:shd w:val="clear" w:color="auto" w:fill="FFFFFF"/>
                <w:lang w:val="lt-LT"/>
              </w:rPr>
              <w:t xml:space="preserve"> </w:t>
            </w:r>
            <w:proofErr w:type="spellStart"/>
            <w:r w:rsidRPr="0098600B">
              <w:rPr>
                <w:rFonts w:cstheme="minorHAnsi"/>
                <w:shd w:val="clear" w:color="auto" w:fill="FFFFFF"/>
                <w:lang w:val="lt-LT"/>
              </w:rPr>
              <w:t>Alone</w:t>
            </w:r>
            <w:proofErr w:type="spellEnd"/>
            <w:r w:rsidRPr="0098600B">
              <w:rPr>
                <w:rFonts w:cstheme="minorHAnsi"/>
                <w:shd w:val="clear" w:color="auto" w:fill="FFFFFF"/>
                <w:lang w:val="lt-LT"/>
              </w:rPr>
              <w:t>) komponentai.</w:t>
            </w:r>
          </w:p>
          <w:p w14:paraId="642644D9" w14:textId="32C3B454" w:rsidR="0098600B" w:rsidRDefault="0098600B" w:rsidP="0098600B">
            <w:pPr>
              <w:spacing w:before="60" w:after="60" w:line="240" w:lineRule="auto"/>
              <w:jc w:val="both"/>
              <w:rPr>
                <w:rFonts w:cstheme="minorHAnsi"/>
                <w:shd w:val="clear" w:color="auto" w:fill="FFFFFF"/>
                <w:lang w:val="lt-LT"/>
              </w:rPr>
            </w:pPr>
            <w:r>
              <w:rPr>
                <w:rFonts w:cstheme="minorHAnsi"/>
                <w:shd w:val="clear" w:color="auto" w:fill="FFFFFF"/>
                <w:lang w:val="lt-LT"/>
              </w:rPr>
              <w:t xml:space="preserve">2. </w:t>
            </w:r>
            <w:r w:rsidRPr="0098600B">
              <w:rPr>
                <w:rFonts w:cstheme="minorHAnsi"/>
                <w:shd w:val="clear" w:color="auto" w:fill="FFFFFF"/>
                <w:lang w:val="lt-LT"/>
              </w:rPr>
              <w:t xml:space="preserve">Atsižvelgiant į tai, kad </w:t>
            </w:r>
            <w:proofErr w:type="spellStart"/>
            <w:r w:rsidRPr="0098600B">
              <w:rPr>
                <w:rFonts w:cstheme="minorHAnsi"/>
                <w:shd w:val="clear" w:color="auto" w:fill="FFFFFF"/>
                <w:lang w:val="lt-LT"/>
              </w:rPr>
              <w:t>Level</w:t>
            </w:r>
            <w:proofErr w:type="spellEnd"/>
            <w:r w:rsidRPr="0098600B">
              <w:rPr>
                <w:rFonts w:cstheme="minorHAnsi"/>
                <w:shd w:val="clear" w:color="auto" w:fill="FFFFFF"/>
                <w:lang w:val="lt-LT"/>
              </w:rPr>
              <w:t xml:space="preserve"> IV pagal  NIJ 0106.01 numato privalomą atsparumą tik </w:t>
            </w:r>
            <w:r w:rsidRPr="0098600B">
              <w:rPr>
                <w:rFonts w:cstheme="minorHAnsi"/>
                <w:shd w:val="clear" w:color="auto" w:fill="FFFFFF"/>
                <w:lang w:val="lt-LT"/>
              </w:rPr>
              <w:lastRenderedPageBreak/>
              <w:t>7,62×63 mm AP M2 šoviniui tik šis atsparumas bus vertinamas kaip privalomas.</w:t>
            </w:r>
          </w:p>
          <w:p w14:paraId="5AEC92CA" w14:textId="30D8DB61" w:rsidR="0098600B" w:rsidRDefault="0098600B" w:rsidP="0098600B">
            <w:pPr>
              <w:spacing w:before="60" w:after="60" w:line="240" w:lineRule="auto"/>
              <w:jc w:val="both"/>
              <w:rPr>
                <w:rFonts w:cstheme="minorHAnsi"/>
                <w:shd w:val="clear" w:color="auto" w:fill="FFFFFF"/>
                <w:lang w:val="lt-LT"/>
              </w:rPr>
            </w:pPr>
            <w:r>
              <w:rPr>
                <w:rFonts w:cstheme="minorHAnsi"/>
                <w:shd w:val="clear" w:color="auto" w:fill="FFFFFF"/>
                <w:lang w:val="lt-LT"/>
              </w:rPr>
              <w:t xml:space="preserve">3. </w:t>
            </w:r>
            <w:r w:rsidR="009E37D5" w:rsidRPr="009E37D5">
              <w:rPr>
                <w:rFonts w:cstheme="minorHAnsi"/>
                <w:shd w:val="clear" w:color="auto" w:fill="FFFFFF"/>
                <w:lang w:val="lt-LT"/>
              </w:rPr>
              <w:t>Atkreipiame dėmesį, kad pirkimo procedūros vykdomos etapais. Pirmajame etape tiekėjai teikia paraiškas dalyvauti pirkime kartu su Pirkimo sąlygose nustatytais kvalifikaciją pagrindžiančiais dokumentais. Įvertinusi paraiškas</w:t>
            </w:r>
            <w:r w:rsidR="009E37D5">
              <w:rPr>
                <w:rFonts w:cstheme="minorHAnsi"/>
                <w:shd w:val="clear" w:color="auto" w:fill="FFFFFF"/>
                <w:lang w:val="lt-LT"/>
              </w:rPr>
              <w:t xml:space="preserve"> bei tiekėjų kvalifikaciją</w:t>
            </w:r>
            <w:r w:rsidR="009E37D5" w:rsidRPr="009E37D5">
              <w:rPr>
                <w:rFonts w:cstheme="minorHAnsi"/>
                <w:shd w:val="clear" w:color="auto" w:fill="FFFFFF"/>
                <w:lang w:val="lt-LT"/>
              </w:rPr>
              <w:t>, perkančioji organizacija reikalavimus atitikusius tiekėjus pakvies pateikti pirminius pasiūlymus, kuriems pateikti bus nustatytas atskiras terminas. Atsižvelgdama į tai, Komisija mano, kad tiekėjams suteikiama pakankamai laiko susipažinti su techniniais reikalavimais, atlikti reikalingus pasirengimo darbus ir parengti bei pateikti kokybiškus pasiūlymus. Todėl paraiškų pateikimo termino pratęs</w:t>
            </w:r>
            <w:r w:rsidR="009E37D5">
              <w:rPr>
                <w:rFonts w:cstheme="minorHAnsi"/>
                <w:shd w:val="clear" w:color="auto" w:fill="FFFFFF"/>
                <w:lang w:val="lt-LT"/>
              </w:rPr>
              <w:t>imui šiuo metu nematome pagrindo</w:t>
            </w:r>
            <w:r w:rsidR="009E37D5" w:rsidRPr="009E37D5">
              <w:rPr>
                <w:rFonts w:cstheme="minorHAnsi"/>
                <w:shd w:val="clear" w:color="auto" w:fill="FFFFFF"/>
                <w:lang w:val="lt-LT"/>
              </w:rPr>
              <w:t>.</w:t>
            </w:r>
          </w:p>
          <w:p w14:paraId="141E7B47" w14:textId="7A1215AA" w:rsidR="0098600B" w:rsidRDefault="0098600B" w:rsidP="0098600B">
            <w:pPr>
              <w:spacing w:before="60" w:after="60" w:line="240" w:lineRule="auto"/>
              <w:jc w:val="both"/>
              <w:rPr>
                <w:rFonts w:cstheme="minorHAnsi"/>
                <w:shd w:val="clear" w:color="auto" w:fill="FFFFFF"/>
                <w:lang w:val="lt-LT"/>
              </w:rPr>
            </w:pPr>
            <w:r>
              <w:rPr>
                <w:rFonts w:cstheme="minorHAnsi"/>
                <w:shd w:val="clear" w:color="auto" w:fill="FFFFFF"/>
                <w:lang w:val="lt-LT"/>
              </w:rPr>
              <w:t xml:space="preserve">4. </w:t>
            </w:r>
            <w:r w:rsidRPr="0098600B">
              <w:rPr>
                <w:rFonts w:cstheme="minorHAnsi"/>
                <w:shd w:val="clear" w:color="auto" w:fill="FFFFFF"/>
                <w:lang w:val="lt-LT"/>
              </w:rPr>
              <w:t xml:space="preserve">Taip, Techninės specifikacijos 8 punktas numato, kad šoninės plokštės taip pat turi atitikti </w:t>
            </w:r>
            <w:proofErr w:type="spellStart"/>
            <w:r w:rsidRPr="0098600B">
              <w:rPr>
                <w:rFonts w:cstheme="minorHAnsi"/>
                <w:shd w:val="clear" w:color="auto" w:fill="FFFFFF"/>
                <w:lang w:val="lt-LT"/>
              </w:rPr>
              <w:t>Level</w:t>
            </w:r>
            <w:proofErr w:type="spellEnd"/>
            <w:r w:rsidRPr="0098600B">
              <w:rPr>
                <w:rFonts w:cstheme="minorHAnsi"/>
                <w:shd w:val="clear" w:color="auto" w:fill="FFFFFF"/>
                <w:lang w:val="lt-LT"/>
              </w:rPr>
              <w:t xml:space="preserve"> IV pagal NIJ 0106.01 reikalavimus ir atitikimas turės būti patvirtintas testų rezultatais.</w:t>
            </w:r>
          </w:p>
          <w:p w14:paraId="098D6FDC" w14:textId="7CC74891" w:rsidR="0098600B" w:rsidRDefault="0098600B" w:rsidP="0098600B">
            <w:pPr>
              <w:spacing w:before="60" w:after="60" w:line="240" w:lineRule="auto"/>
              <w:jc w:val="both"/>
              <w:rPr>
                <w:rFonts w:cstheme="minorHAnsi"/>
                <w:shd w:val="clear" w:color="auto" w:fill="FFFFFF"/>
                <w:lang w:val="lt-LT"/>
              </w:rPr>
            </w:pPr>
            <w:r>
              <w:rPr>
                <w:rFonts w:cstheme="minorHAnsi"/>
                <w:shd w:val="clear" w:color="auto" w:fill="FFFFFF"/>
                <w:lang w:val="lt-LT"/>
              </w:rPr>
              <w:t xml:space="preserve">5. </w:t>
            </w:r>
            <w:r w:rsidRPr="0098600B">
              <w:rPr>
                <w:rFonts w:cstheme="minorHAnsi"/>
                <w:shd w:val="clear" w:color="auto" w:fill="FFFFFF"/>
                <w:lang w:val="lt-LT"/>
              </w:rPr>
              <w:t>Atsižvelgiant į tai, kad svorio reikalavimai keliami balistinėms plokštėms, kurios sudaro pagrindinę sistemos svorio dalį, naudos gavėjas nekėlė reikalavimo bendram sistemos svoriui. Perkančioji organizacija atsižvelgdama į tai, kad sistema yra modulinė ir gali būti naudojama įvairiomis komplektacijomis, taip pat į tai, kad naudos gavėjas nenurodė ribojimų svoriui, nekėlė papildomų reikalavimų visos sistemos bendram svoriui.</w:t>
            </w:r>
          </w:p>
          <w:p w14:paraId="6FC83AE4" w14:textId="34DD32C0" w:rsidR="0098600B" w:rsidRDefault="0098600B" w:rsidP="0098600B">
            <w:pPr>
              <w:spacing w:before="60" w:after="60" w:line="240" w:lineRule="auto"/>
              <w:jc w:val="both"/>
              <w:rPr>
                <w:rFonts w:cstheme="minorHAnsi"/>
                <w:shd w:val="clear" w:color="auto" w:fill="FFFFFF"/>
                <w:lang w:val="lt-LT"/>
              </w:rPr>
            </w:pPr>
            <w:r>
              <w:rPr>
                <w:rFonts w:cstheme="minorHAnsi"/>
                <w:shd w:val="clear" w:color="auto" w:fill="FFFFFF"/>
                <w:lang w:val="lt-LT"/>
              </w:rPr>
              <w:t xml:space="preserve">6. </w:t>
            </w:r>
            <w:r w:rsidRPr="0098600B">
              <w:rPr>
                <w:rFonts w:cstheme="minorHAnsi"/>
                <w:shd w:val="clear" w:color="auto" w:fill="FFFFFF"/>
                <w:lang w:val="lt-LT"/>
              </w:rPr>
              <w:t>Atsižvelgiant į tai, kad plokščių svoriui numatyta maksimali naudos gavėjui priimtina reikšmė, paklaida nenumatyta kadangi paklaidos įvedimas galėtų padidinti didžiausia masę virš numatytos ir suderintos maksimalios ribos.</w:t>
            </w:r>
          </w:p>
          <w:p w14:paraId="41F7341C" w14:textId="2B196D14" w:rsidR="0098600B" w:rsidRDefault="0098600B" w:rsidP="0098600B">
            <w:pPr>
              <w:spacing w:before="60" w:after="60" w:line="240" w:lineRule="auto"/>
              <w:jc w:val="both"/>
              <w:rPr>
                <w:rFonts w:cstheme="minorHAnsi"/>
                <w:shd w:val="clear" w:color="auto" w:fill="FFFFFF"/>
                <w:lang w:val="lt-LT"/>
              </w:rPr>
            </w:pPr>
            <w:r>
              <w:rPr>
                <w:rFonts w:cstheme="minorHAnsi"/>
                <w:shd w:val="clear" w:color="auto" w:fill="FFFFFF"/>
                <w:lang w:val="lt-LT"/>
              </w:rPr>
              <w:t xml:space="preserve">7. </w:t>
            </w:r>
            <w:r w:rsidRPr="0098600B">
              <w:rPr>
                <w:rFonts w:cstheme="minorHAnsi"/>
                <w:shd w:val="clear" w:color="auto" w:fill="FFFFFF"/>
                <w:lang w:val="lt-LT"/>
              </w:rPr>
              <w:t>2700 g. svorio riba numatyta atsižvelgiant į modernias ir rinkoje prieinamas šarvines plokštes, atitinkančias naudos gavėjo reikalavimus bei pagamintas pagal šiuolaikinius gamybos sprendimus. Atsižvelgiant į tai, kad maksimali masė yra suderinta su naudos gavėju atsižvelgiant į naudos gavėjo poreikius, ši reikšmė negali būti padidinta</w:t>
            </w:r>
            <w:r>
              <w:rPr>
                <w:rFonts w:cstheme="minorHAnsi"/>
                <w:shd w:val="clear" w:color="auto" w:fill="FFFFFF"/>
                <w:lang w:val="lt-LT"/>
              </w:rPr>
              <w:t>.</w:t>
            </w:r>
          </w:p>
          <w:p w14:paraId="7C86C7BC" w14:textId="77777777" w:rsidR="0098600B" w:rsidRPr="00A668CF" w:rsidRDefault="0098600B" w:rsidP="0098600B">
            <w:pPr>
              <w:spacing w:before="60" w:after="60" w:line="240" w:lineRule="auto"/>
              <w:jc w:val="both"/>
              <w:rPr>
                <w:rFonts w:cstheme="minorHAnsi"/>
                <w:shd w:val="clear" w:color="auto" w:fill="FFFFFF"/>
                <w:lang w:val="lt-LT"/>
              </w:rPr>
            </w:pPr>
          </w:p>
          <w:p w14:paraId="40C8312A" w14:textId="77777777" w:rsidR="0098600B" w:rsidRPr="00A668CF" w:rsidRDefault="0098600B" w:rsidP="0098600B">
            <w:pPr>
              <w:spacing w:before="60" w:after="60" w:line="240" w:lineRule="auto"/>
              <w:jc w:val="both"/>
              <w:rPr>
                <w:rFonts w:cstheme="minorHAnsi"/>
                <w:b/>
                <w:bCs/>
                <w:shd w:val="clear" w:color="auto" w:fill="FFFFFF"/>
                <w:lang w:val="en-GB"/>
              </w:rPr>
            </w:pPr>
            <w:r w:rsidRPr="00A668CF">
              <w:rPr>
                <w:rFonts w:cstheme="minorHAnsi"/>
                <w:b/>
                <w:bCs/>
                <w:shd w:val="clear" w:color="auto" w:fill="FFFFFF"/>
                <w:lang w:val="en-GB"/>
              </w:rPr>
              <w:lastRenderedPageBreak/>
              <w:t>In English:</w:t>
            </w:r>
          </w:p>
          <w:p w14:paraId="1D5CA4B0" w14:textId="101675B2" w:rsidR="009E37D5" w:rsidRPr="009E37D5" w:rsidRDefault="009E37D5" w:rsidP="009E37D5">
            <w:pPr>
              <w:pStyle w:val="ListParagraph"/>
              <w:numPr>
                <w:ilvl w:val="0"/>
                <w:numId w:val="19"/>
              </w:numPr>
              <w:spacing w:before="60" w:after="60" w:line="240" w:lineRule="auto"/>
              <w:ind w:left="325"/>
              <w:jc w:val="both"/>
              <w:rPr>
                <w:rFonts w:cstheme="minorHAnsi"/>
                <w:shd w:val="clear" w:color="auto" w:fill="FFFFFF"/>
                <w:lang w:val="en-GB"/>
              </w:rPr>
            </w:pPr>
            <w:r w:rsidRPr="009E37D5">
              <w:rPr>
                <w:rFonts w:cstheme="minorHAnsi"/>
                <w:shd w:val="clear" w:color="auto" w:fill="FFFFFF"/>
                <w:lang w:val="en-GB"/>
              </w:rPr>
              <w:t xml:space="preserve">The specified ballistic resistance requirement (Level IV in accordance with NIJ 0106.01) applies to the ballistic plates. Therefore, the test results shall confirm the compliance of the plates with this standard. As the requirement applies only to the plates and no requirement has been established for additional soft ballistic inserts for the back, chest, or sides, the plates shall be tested as Stand Alone (SA) components. </w:t>
            </w:r>
          </w:p>
          <w:p w14:paraId="0626B222" w14:textId="77A36866" w:rsidR="009E37D5" w:rsidRPr="009E37D5" w:rsidRDefault="009E37D5" w:rsidP="009E37D5">
            <w:pPr>
              <w:pStyle w:val="ListParagraph"/>
              <w:numPr>
                <w:ilvl w:val="0"/>
                <w:numId w:val="19"/>
              </w:numPr>
              <w:spacing w:before="60" w:after="60" w:line="240" w:lineRule="auto"/>
              <w:ind w:left="325"/>
              <w:jc w:val="both"/>
              <w:rPr>
                <w:rFonts w:cstheme="minorHAnsi"/>
                <w:shd w:val="clear" w:color="auto" w:fill="FFFFFF"/>
                <w:lang w:val="en-GB"/>
              </w:rPr>
            </w:pPr>
            <w:r w:rsidRPr="009E37D5">
              <w:rPr>
                <w:rFonts w:cstheme="minorHAnsi"/>
                <w:shd w:val="clear" w:color="auto" w:fill="FFFFFF"/>
                <w:lang w:val="en-GB"/>
              </w:rPr>
              <w:t xml:space="preserve">Considering that Level IV under NIJ 0106.01 requires mandatory resistance only against the 7.62×63 mm AP M2 round, only this ballistic resistance will be considered mandatory for compliance. </w:t>
            </w:r>
          </w:p>
          <w:p w14:paraId="158C6CB0" w14:textId="3E3015AC" w:rsidR="009E37D5" w:rsidRPr="009E37D5" w:rsidRDefault="009E37D5" w:rsidP="009E37D5">
            <w:pPr>
              <w:pStyle w:val="ListParagraph"/>
              <w:numPr>
                <w:ilvl w:val="0"/>
                <w:numId w:val="19"/>
              </w:numPr>
              <w:spacing w:before="60" w:after="60" w:line="240" w:lineRule="auto"/>
              <w:ind w:left="325"/>
              <w:jc w:val="both"/>
              <w:rPr>
                <w:rFonts w:cstheme="minorHAnsi"/>
                <w:shd w:val="clear" w:color="auto" w:fill="FFFFFF"/>
                <w:lang w:val="en-GB"/>
              </w:rPr>
            </w:pPr>
            <w:r w:rsidRPr="009E37D5">
              <w:rPr>
                <w:rFonts w:cstheme="minorHAnsi"/>
                <w:shd w:val="clear" w:color="auto" w:fill="FFFFFF"/>
                <w:lang w:val="en-GB"/>
              </w:rPr>
              <w:t xml:space="preserve">Please note that the procurement procedure is conducted in stages. During the first stage, candidates submit requests to participate together with the qualification documents specified in the Procurement Documents. After evaluating the requests to participate and the qualifications of the candidates, the Contracting Authority will invite the qualified candidates to submit their initial tenders, for which a separate submission deadline will be established. In view of the above, the Commission considers that candidates are provided with sufficient time to review the technical requirements, complete the necessary preparatory work, and prepare and submit high-quality tenders. Therefore, the Commission currently sees no grounds for extending the deadline for the submission of requests to participate. </w:t>
            </w:r>
          </w:p>
          <w:p w14:paraId="47326777" w14:textId="3C334715" w:rsidR="009E37D5" w:rsidRPr="009E37D5" w:rsidRDefault="009E37D5" w:rsidP="009E37D5">
            <w:pPr>
              <w:pStyle w:val="ListParagraph"/>
              <w:numPr>
                <w:ilvl w:val="0"/>
                <w:numId w:val="19"/>
              </w:numPr>
              <w:spacing w:before="60" w:after="60" w:line="240" w:lineRule="auto"/>
              <w:ind w:left="325"/>
              <w:jc w:val="both"/>
              <w:rPr>
                <w:rFonts w:cstheme="minorHAnsi"/>
                <w:shd w:val="clear" w:color="auto" w:fill="FFFFFF"/>
                <w:lang w:val="en-GB"/>
              </w:rPr>
            </w:pPr>
            <w:r w:rsidRPr="009E37D5">
              <w:rPr>
                <w:rFonts w:cstheme="minorHAnsi"/>
                <w:shd w:val="clear" w:color="auto" w:fill="FFFFFF"/>
                <w:lang w:val="en-GB"/>
              </w:rPr>
              <w:t xml:space="preserve">Yes. Section 8 of the Technical Specification requires that the side plates also comply with Level IV in accordance with NIJ 0106.01, and such compliance shall be demonstrated by the relevant test reports. </w:t>
            </w:r>
          </w:p>
          <w:p w14:paraId="73B81DAA" w14:textId="38837CD2" w:rsidR="009E37D5" w:rsidRPr="009E37D5" w:rsidRDefault="009E37D5" w:rsidP="009E37D5">
            <w:pPr>
              <w:pStyle w:val="ListParagraph"/>
              <w:numPr>
                <w:ilvl w:val="0"/>
                <w:numId w:val="19"/>
              </w:numPr>
              <w:spacing w:before="60" w:after="60" w:line="240" w:lineRule="auto"/>
              <w:ind w:left="325"/>
              <w:jc w:val="both"/>
              <w:rPr>
                <w:rFonts w:cstheme="minorHAnsi"/>
                <w:shd w:val="clear" w:color="auto" w:fill="FFFFFF"/>
                <w:lang w:val="en-GB"/>
              </w:rPr>
            </w:pPr>
            <w:r w:rsidRPr="009E37D5">
              <w:rPr>
                <w:rFonts w:cstheme="minorHAnsi"/>
                <w:shd w:val="clear" w:color="auto" w:fill="FFFFFF"/>
                <w:lang w:val="en-GB"/>
              </w:rPr>
              <w:t xml:space="preserve">As the weight requirements apply to the ballistic plates, which constitute the main portion of the system's overall weight, the Beneficiary did not establish a requirement for the total weight of the complete system. Furthermore, considering that the system is modular and may be used in various configurations, and that the Beneficiary did </w:t>
            </w:r>
            <w:r w:rsidRPr="009E37D5">
              <w:rPr>
                <w:rFonts w:cstheme="minorHAnsi"/>
                <w:shd w:val="clear" w:color="auto" w:fill="FFFFFF"/>
                <w:lang w:val="en-GB"/>
              </w:rPr>
              <w:lastRenderedPageBreak/>
              <w:t xml:space="preserve">not specify any limitations regarding the total system weight, the Contracting Authority did not establish any additional requirements concerning the overall weight of the complete system. </w:t>
            </w:r>
          </w:p>
          <w:p w14:paraId="7956F000" w14:textId="2F0567BD" w:rsidR="009E37D5" w:rsidRPr="009E37D5" w:rsidRDefault="009E37D5" w:rsidP="009E37D5">
            <w:pPr>
              <w:pStyle w:val="ListParagraph"/>
              <w:numPr>
                <w:ilvl w:val="0"/>
                <w:numId w:val="19"/>
              </w:numPr>
              <w:spacing w:before="60" w:after="60" w:line="240" w:lineRule="auto"/>
              <w:ind w:left="325"/>
              <w:jc w:val="both"/>
              <w:rPr>
                <w:rFonts w:cstheme="minorHAnsi"/>
                <w:shd w:val="clear" w:color="auto" w:fill="FFFFFF"/>
                <w:lang w:val="en-GB"/>
              </w:rPr>
            </w:pPr>
            <w:r w:rsidRPr="009E37D5">
              <w:rPr>
                <w:rFonts w:cstheme="minorHAnsi"/>
                <w:shd w:val="clear" w:color="auto" w:fill="FFFFFF"/>
              </w:rPr>
              <w:t xml:space="preserve">As the maximum acceptable weight of the ballistic plates has been established by the Beneficiary, no weight tolerance has been provided. Introducing </w:t>
            </w:r>
            <w:proofErr w:type="gramStart"/>
            <w:r w:rsidRPr="009E37D5">
              <w:rPr>
                <w:rFonts w:cstheme="minorHAnsi"/>
                <w:shd w:val="clear" w:color="auto" w:fill="FFFFFF"/>
              </w:rPr>
              <w:t>a tolerance</w:t>
            </w:r>
            <w:proofErr w:type="gramEnd"/>
            <w:r w:rsidRPr="009E37D5">
              <w:rPr>
                <w:rFonts w:cstheme="minorHAnsi"/>
                <w:shd w:val="clear" w:color="auto" w:fill="FFFFFF"/>
              </w:rPr>
              <w:t xml:space="preserve"> could result in the maximum weight exceeding the agreed and approved limit.</w:t>
            </w:r>
          </w:p>
          <w:p w14:paraId="4BC3389A" w14:textId="20B48389" w:rsidR="0098600B" w:rsidRPr="009E37D5" w:rsidRDefault="009E37D5" w:rsidP="0098600B">
            <w:pPr>
              <w:pStyle w:val="ListParagraph"/>
              <w:numPr>
                <w:ilvl w:val="0"/>
                <w:numId w:val="19"/>
              </w:numPr>
              <w:spacing w:before="60" w:after="60" w:line="240" w:lineRule="auto"/>
              <w:ind w:left="325"/>
              <w:jc w:val="both"/>
              <w:rPr>
                <w:rFonts w:cstheme="minorHAnsi"/>
                <w:shd w:val="clear" w:color="auto" w:fill="FFFFFF"/>
                <w:lang w:val="en-GB"/>
              </w:rPr>
            </w:pPr>
            <w:r w:rsidRPr="009E37D5">
              <w:rPr>
                <w:rFonts w:cstheme="minorHAnsi"/>
                <w:shd w:val="clear" w:color="auto" w:fill="FFFFFF"/>
                <w:lang w:val="en-GB"/>
              </w:rPr>
              <w:t xml:space="preserve">The maximum weight limit of 2,700 g has been established </w:t>
            </w:r>
            <w:proofErr w:type="gramStart"/>
            <w:r w:rsidRPr="009E37D5">
              <w:rPr>
                <w:rFonts w:cstheme="minorHAnsi"/>
                <w:shd w:val="clear" w:color="auto" w:fill="FFFFFF"/>
                <w:lang w:val="en-GB"/>
              </w:rPr>
              <w:t>taking into account</w:t>
            </w:r>
            <w:proofErr w:type="gramEnd"/>
            <w:r w:rsidRPr="009E37D5">
              <w:rPr>
                <w:rFonts w:cstheme="minorHAnsi"/>
                <w:shd w:val="clear" w:color="auto" w:fill="FFFFFF"/>
                <w:lang w:val="en-GB"/>
              </w:rPr>
              <w:t xml:space="preserve"> modern ballistic plates currently available on the market that meet the Beneficiary's requirements and are manufactured using contemporary production technologies. As this maximum weight has been agreed with the Beneficiary based on its operational needs, it cannot be increased.</w:t>
            </w:r>
          </w:p>
        </w:tc>
      </w:tr>
    </w:tbl>
    <w:p w14:paraId="0E7261A6" w14:textId="77777777" w:rsidR="001758CB" w:rsidRPr="000D113E" w:rsidRDefault="001758CB" w:rsidP="004B1153">
      <w:pPr>
        <w:spacing w:after="0" w:line="276" w:lineRule="auto"/>
        <w:jc w:val="both"/>
        <w:rPr>
          <w:rFonts w:cstheme="minorHAnsi"/>
          <w:i/>
          <w:shd w:val="clear" w:color="auto" w:fill="FFFFFF"/>
          <w:lang w:val="lt-LT"/>
        </w:rPr>
      </w:pPr>
    </w:p>
    <w:p w14:paraId="7527CF07" w14:textId="653A739E" w:rsidR="004B1153" w:rsidRPr="004D2364" w:rsidRDefault="004B1153" w:rsidP="004B1153">
      <w:pPr>
        <w:spacing w:after="0" w:line="276" w:lineRule="auto"/>
        <w:jc w:val="both"/>
        <w:rPr>
          <w:rFonts w:cstheme="minorHAnsi"/>
          <w:i/>
          <w:iCs/>
          <w:shd w:val="clear" w:color="auto" w:fill="FFFFFF"/>
          <w:lang w:val="lt-LT"/>
        </w:rPr>
      </w:pPr>
      <w:r w:rsidRPr="004D2364">
        <w:rPr>
          <w:rFonts w:cstheme="minorHAnsi"/>
          <w:i/>
          <w:iCs/>
          <w:shd w:val="clear" w:color="auto" w:fill="FFFFFF"/>
          <w:lang w:val="lt-LT"/>
        </w:rPr>
        <w:t xml:space="preserve">* Tiekėjo pateikto paklausimo tekstas eina pirmas ir yra neredaguotas / </w:t>
      </w:r>
      <w:proofErr w:type="spellStart"/>
      <w:r w:rsidRPr="004D2364">
        <w:rPr>
          <w:rFonts w:cstheme="minorHAnsi"/>
          <w:i/>
          <w:iCs/>
          <w:shd w:val="clear" w:color="auto" w:fill="FFFFFF"/>
          <w:lang w:val="lt-LT"/>
        </w:rPr>
        <w:t>The</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text</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of</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the</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supplier's</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enquiry</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comes</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first</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and</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is</w:t>
      </w:r>
      <w:proofErr w:type="spellEnd"/>
      <w:r w:rsidRPr="004D2364">
        <w:rPr>
          <w:rFonts w:cstheme="minorHAnsi"/>
          <w:i/>
          <w:iCs/>
          <w:shd w:val="clear" w:color="auto" w:fill="FFFFFF"/>
          <w:lang w:val="lt-LT"/>
        </w:rPr>
        <w:t xml:space="preserve"> </w:t>
      </w:r>
      <w:proofErr w:type="spellStart"/>
      <w:r w:rsidRPr="004D2364">
        <w:rPr>
          <w:rFonts w:cstheme="minorHAnsi"/>
          <w:i/>
          <w:iCs/>
          <w:shd w:val="clear" w:color="auto" w:fill="FFFFFF"/>
          <w:lang w:val="lt-LT"/>
        </w:rPr>
        <w:t>unedited</w:t>
      </w:r>
      <w:proofErr w:type="spellEnd"/>
      <w:r w:rsidRPr="004D2364">
        <w:rPr>
          <w:rFonts w:cstheme="minorHAnsi"/>
          <w:i/>
          <w:iCs/>
          <w:shd w:val="clear" w:color="auto" w:fill="FFFFFF"/>
          <w:lang w:val="lt-LT"/>
        </w:rPr>
        <w:t>.</w:t>
      </w:r>
    </w:p>
    <w:p w14:paraId="133E2825" w14:textId="77777777" w:rsidR="004B1153" w:rsidRPr="004D2364" w:rsidRDefault="004B1153" w:rsidP="004B1153">
      <w:pPr>
        <w:spacing w:after="0" w:line="276" w:lineRule="auto"/>
        <w:jc w:val="both"/>
        <w:rPr>
          <w:rFonts w:cstheme="minorHAnsi"/>
          <w:shd w:val="clear" w:color="auto" w:fill="FFFFFF"/>
          <w:lang w:val="lt-LT"/>
        </w:rPr>
      </w:pPr>
    </w:p>
    <w:p w14:paraId="5296DCCC" w14:textId="77DA4CD9" w:rsidR="004B1153" w:rsidRPr="004D2364" w:rsidRDefault="004B1153" w:rsidP="004B1153">
      <w:pPr>
        <w:spacing w:after="0" w:line="276" w:lineRule="auto"/>
        <w:jc w:val="both"/>
        <w:rPr>
          <w:rFonts w:cstheme="minorHAnsi"/>
          <w:shd w:val="clear" w:color="auto" w:fill="FFFFFF"/>
          <w:lang w:val="lt-LT"/>
        </w:rPr>
      </w:pPr>
      <w:r w:rsidRPr="004D2364">
        <w:rPr>
          <w:rFonts w:cstheme="minorHAnsi"/>
          <w:shd w:val="clear" w:color="auto" w:fill="FFFFFF"/>
          <w:lang w:val="lt-LT"/>
        </w:rPr>
        <w:t xml:space="preserve">Pažymėtina, kad bet kuris CPVA atliktas paaiškinimas / patikslinimas yra laikomas neatskiriama Pirkimo dokumentų dalimi ir jo nuostatos turi viršenybę prieš ankstesnes Pirkimo dokumentuose išdėstytas nuostatas. </w:t>
      </w:r>
      <w:r w:rsidRPr="00712146">
        <w:rPr>
          <w:rFonts w:cstheme="minorHAnsi"/>
          <w:lang w:val="lt-LT"/>
        </w:rPr>
        <w:t xml:space="preserve"> </w:t>
      </w:r>
      <w:r w:rsidRPr="004D2364">
        <w:rPr>
          <w:rFonts w:cstheme="minorHAnsi"/>
        </w:rPr>
        <w:t xml:space="preserve">/ </w:t>
      </w:r>
      <w:r w:rsidRPr="004D2364">
        <w:rPr>
          <w:rFonts w:cstheme="minorHAnsi"/>
          <w:b/>
          <w:shd w:val="clear" w:color="auto" w:fill="FFFFFF"/>
          <w:lang w:val="lt-LT"/>
        </w:rPr>
        <w:t xml:space="preserve">It </w:t>
      </w:r>
      <w:proofErr w:type="spellStart"/>
      <w:r w:rsidRPr="004D2364">
        <w:rPr>
          <w:rFonts w:cstheme="minorHAnsi"/>
          <w:b/>
          <w:shd w:val="clear" w:color="auto" w:fill="FFFFFF"/>
          <w:lang w:val="lt-LT"/>
        </w:rPr>
        <w:t>should</w:t>
      </w:r>
      <w:proofErr w:type="spellEnd"/>
      <w:r w:rsidRPr="004D2364">
        <w:rPr>
          <w:rFonts w:cstheme="minorHAnsi"/>
          <w:b/>
          <w:shd w:val="clear" w:color="auto" w:fill="FFFFFF"/>
          <w:lang w:val="lt-LT"/>
        </w:rPr>
        <w:t xml:space="preserve"> be </w:t>
      </w:r>
      <w:proofErr w:type="spellStart"/>
      <w:r w:rsidRPr="004D2364">
        <w:rPr>
          <w:rFonts w:cstheme="minorHAnsi"/>
          <w:b/>
          <w:shd w:val="clear" w:color="auto" w:fill="FFFFFF"/>
          <w:lang w:val="lt-LT"/>
        </w:rPr>
        <w:t>noted</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that</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any</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explanation</w:t>
      </w:r>
      <w:proofErr w:type="spellEnd"/>
      <w:r w:rsidRPr="004D2364">
        <w:rPr>
          <w:rFonts w:cstheme="minorHAnsi"/>
          <w:b/>
          <w:shd w:val="clear" w:color="auto" w:fill="FFFFFF"/>
          <w:lang w:val="lt-LT"/>
        </w:rPr>
        <w:t>/</w:t>
      </w:r>
      <w:proofErr w:type="spellStart"/>
      <w:r w:rsidRPr="004D2364">
        <w:rPr>
          <w:rFonts w:cstheme="minorHAnsi"/>
          <w:b/>
          <w:shd w:val="clear" w:color="auto" w:fill="FFFFFF"/>
          <w:lang w:val="lt-LT"/>
        </w:rPr>
        <w:t>clarification</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made</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by</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CP</w:t>
      </w:r>
      <w:r w:rsidR="008E4B01">
        <w:rPr>
          <w:rFonts w:cstheme="minorHAnsi"/>
          <w:b/>
          <w:shd w:val="clear" w:color="auto" w:fill="FFFFFF"/>
          <w:lang w:val="lt-LT"/>
        </w:rPr>
        <w:t>V</w:t>
      </w:r>
      <w:r w:rsidRPr="004D2364">
        <w:rPr>
          <w:rFonts w:cstheme="minorHAnsi"/>
          <w:b/>
          <w:shd w:val="clear" w:color="auto" w:fill="FFFFFF"/>
          <w:lang w:val="lt-LT"/>
        </w:rPr>
        <w:t xml:space="preserve">A </w:t>
      </w:r>
      <w:proofErr w:type="spellStart"/>
      <w:r w:rsidRPr="004D2364">
        <w:rPr>
          <w:rFonts w:cstheme="minorHAnsi"/>
          <w:b/>
          <w:shd w:val="clear" w:color="auto" w:fill="FFFFFF"/>
          <w:lang w:val="lt-LT"/>
        </w:rPr>
        <w:t>is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considered</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an</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integral</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part</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of</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Procurement </w:t>
      </w:r>
      <w:proofErr w:type="spellStart"/>
      <w:r w:rsidRPr="004D2364">
        <w:rPr>
          <w:rFonts w:cstheme="minorHAnsi"/>
          <w:b/>
          <w:shd w:val="clear" w:color="auto" w:fill="FFFFFF"/>
          <w:lang w:val="lt-LT"/>
        </w:rPr>
        <w:t>Documents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and</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its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provisions</w:t>
      </w:r>
      <w:proofErr w:type="spellEnd"/>
      <w:r w:rsidRPr="004D2364">
        <w:rPr>
          <w:rFonts w:cstheme="minorHAnsi"/>
          <w:b/>
          <w:shd w:val="clear" w:color="auto" w:fill="FFFFFF"/>
          <w:lang w:val="lt-LT"/>
        </w:rPr>
        <w:t xml:space="preserve"> take </w:t>
      </w:r>
      <w:proofErr w:type="spellStart"/>
      <w:r w:rsidRPr="004D2364">
        <w:rPr>
          <w:rFonts w:cstheme="minorHAnsi"/>
          <w:b/>
          <w:shd w:val="clear" w:color="auto" w:fill="FFFFFF"/>
          <w:lang w:val="lt-LT"/>
        </w:rPr>
        <w:t>precedence</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over</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previous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provisions</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set</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forth</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in</w:t>
      </w:r>
      <w:proofErr w:type="spellEnd"/>
      <w:r w:rsidRPr="004D2364">
        <w:rPr>
          <w:rFonts w:cstheme="minorHAnsi"/>
          <w:b/>
          <w:shd w:val="clear" w:color="auto" w:fill="FFFFFF"/>
          <w:lang w:val="lt-LT"/>
        </w:rPr>
        <w:t xml:space="preserve"> </w:t>
      </w:r>
      <w:proofErr w:type="spellStart"/>
      <w:r w:rsidRPr="004D2364">
        <w:rPr>
          <w:rFonts w:cstheme="minorHAnsi"/>
          <w:b/>
          <w:shd w:val="clear" w:color="auto" w:fill="FFFFFF"/>
          <w:lang w:val="lt-LT"/>
        </w:rPr>
        <w:t>the</w:t>
      </w:r>
      <w:proofErr w:type="spellEnd"/>
      <w:r w:rsidRPr="004D2364">
        <w:rPr>
          <w:rFonts w:cstheme="minorHAnsi"/>
          <w:b/>
          <w:shd w:val="clear" w:color="auto" w:fill="FFFFFF"/>
          <w:lang w:val="lt-LT"/>
        </w:rPr>
        <w:t xml:space="preserve"> Procurement </w:t>
      </w:r>
      <w:proofErr w:type="spellStart"/>
      <w:r w:rsidRPr="004D2364">
        <w:rPr>
          <w:rFonts w:cstheme="minorHAnsi"/>
          <w:b/>
          <w:shd w:val="clear" w:color="auto" w:fill="FFFFFF"/>
          <w:lang w:val="lt-LT"/>
        </w:rPr>
        <w:t>Documents</w:t>
      </w:r>
      <w:proofErr w:type="spellEnd"/>
      <w:r w:rsidRPr="004D2364">
        <w:rPr>
          <w:rFonts w:cstheme="minorHAnsi"/>
          <w:b/>
          <w:shd w:val="clear" w:color="auto" w:fill="FFFFFF"/>
          <w:lang w:val="lt-LT"/>
        </w:rPr>
        <w:t xml:space="preserve">. </w:t>
      </w:r>
    </w:p>
    <w:p w14:paraId="00A15149" w14:textId="77777777" w:rsidR="004B1153" w:rsidRDefault="004B1153" w:rsidP="004B1153">
      <w:pPr>
        <w:spacing w:after="0" w:line="276" w:lineRule="auto"/>
        <w:ind w:firstLine="709"/>
        <w:jc w:val="both"/>
        <w:rPr>
          <w:rFonts w:cstheme="minorHAnsi"/>
          <w:highlight w:val="yellow"/>
          <w:shd w:val="clear" w:color="auto" w:fill="FFFFFF"/>
          <w:lang w:val="lt-LT"/>
        </w:rPr>
      </w:pPr>
    </w:p>
    <w:p w14:paraId="021CCD76" w14:textId="77777777" w:rsidR="004B1153" w:rsidRPr="004D2364" w:rsidRDefault="004B1153" w:rsidP="004B1153">
      <w:pPr>
        <w:spacing w:after="0" w:line="276" w:lineRule="auto"/>
        <w:ind w:firstLine="709"/>
        <w:jc w:val="both"/>
        <w:rPr>
          <w:rFonts w:cstheme="minorHAnsi"/>
          <w:shd w:val="clear" w:color="auto" w:fill="FFFFFF"/>
        </w:rPr>
      </w:pPr>
    </w:p>
    <w:p w14:paraId="2602DB92" w14:textId="77777777" w:rsidR="004B1153" w:rsidRPr="004D2364" w:rsidRDefault="004B1153" w:rsidP="004B1153">
      <w:pPr>
        <w:spacing w:after="0" w:line="276" w:lineRule="auto"/>
        <w:ind w:firstLine="709"/>
        <w:jc w:val="both"/>
        <w:rPr>
          <w:rFonts w:cstheme="minorHAnsi"/>
          <w:shd w:val="clear" w:color="auto" w:fill="FFFFFF"/>
          <w:lang w:val="lt-LT"/>
        </w:rPr>
      </w:pPr>
      <w:r w:rsidRPr="004D2364">
        <w:rPr>
          <w:rFonts w:cstheme="minorHAnsi"/>
          <w:shd w:val="clear" w:color="auto" w:fill="FFFFFF"/>
          <w:lang w:val="lt-LT"/>
        </w:rPr>
        <w:t xml:space="preserve">Viešojo pirkimo komisija / Public Procurement </w:t>
      </w:r>
      <w:proofErr w:type="spellStart"/>
      <w:r w:rsidRPr="004D2364">
        <w:rPr>
          <w:rFonts w:cstheme="minorHAnsi"/>
          <w:shd w:val="clear" w:color="auto" w:fill="FFFFFF"/>
          <w:lang w:val="lt-LT"/>
        </w:rPr>
        <w:t>Commission</w:t>
      </w:r>
      <w:proofErr w:type="spellEnd"/>
    </w:p>
    <w:p w14:paraId="56AE3041" w14:textId="77777777" w:rsidR="004B1153" w:rsidRPr="004D2364" w:rsidRDefault="004B1153" w:rsidP="004B1153">
      <w:pPr>
        <w:spacing w:after="0" w:line="276" w:lineRule="auto"/>
        <w:rPr>
          <w:rFonts w:cstheme="minorHAnsi"/>
        </w:rPr>
      </w:pPr>
    </w:p>
    <w:p w14:paraId="61E3026D" w14:textId="77777777" w:rsidR="004B1153" w:rsidRDefault="004B1153"/>
    <w:sectPr w:rsidR="004B1153" w:rsidSect="004B1153">
      <w:pgSz w:w="12240" w:h="15840"/>
      <w:pgMar w:top="1701"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1162A" w14:textId="77777777" w:rsidR="00552D2B" w:rsidRDefault="00552D2B" w:rsidP="00A668CF">
      <w:pPr>
        <w:spacing w:after="0" w:line="240" w:lineRule="auto"/>
      </w:pPr>
      <w:r>
        <w:separator/>
      </w:r>
    </w:p>
  </w:endnote>
  <w:endnote w:type="continuationSeparator" w:id="0">
    <w:p w14:paraId="3720CB6F" w14:textId="77777777" w:rsidR="00552D2B" w:rsidRDefault="00552D2B" w:rsidP="00A6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EC480" w14:textId="77777777" w:rsidR="00552D2B" w:rsidRDefault="00552D2B" w:rsidP="00A668CF">
      <w:pPr>
        <w:spacing w:after="0" w:line="240" w:lineRule="auto"/>
      </w:pPr>
      <w:r>
        <w:separator/>
      </w:r>
    </w:p>
  </w:footnote>
  <w:footnote w:type="continuationSeparator" w:id="0">
    <w:p w14:paraId="7A77D5C6" w14:textId="77777777" w:rsidR="00552D2B" w:rsidRDefault="00552D2B" w:rsidP="00A668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AD8"/>
    <w:multiLevelType w:val="multilevel"/>
    <w:tmpl w:val="F382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C1CEA"/>
    <w:multiLevelType w:val="multilevel"/>
    <w:tmpl w:val="29F89BB8"/>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12DC2"/>
    <w:multiLevelType w:val="multilevel"/>
    <w:tmpl w:val="2A7054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947C9"/>
    <w:multiLevelType w:val="multilevel"/>
    <w:tmpl w:val="50AC5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DB36A0"/>
    <w:multiLevelType w:val="multilevel"/>
    <w:tmpl w:val="B8FAC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030D5F"/>
    <w:multiLevelType w:val="hybridMultilevel"/>
    <w:tmpl w:val="34B436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330A4F"/>
    <w:multiLevelType w:val="multilevel"/>
    <w:tmpl w:val="4454AC3A"/>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741F6C"/>
    <w:multiLevelType w:val="hybridMultilevel"/>
    <w:tmpl w:val="395256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D22615D"/>
    <w:multiLevelType w:val="multilevel"/>
    <w:tmpl w:val="E5A2F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5F3256"/>
    <w:multiLevelType w:val="hybridMultilevel"/>
    <w:tmpl w:val="FD8EFBC4"/>
    <w:lvl w:ilvl="0" w:tplc="0BF65E5A">
      <w:numFmt w:val="bullet"/>
      <w:lvlText w:val=""/>
      <w:lvlJc w:val="left"/>
      <w:pPr>
        <w:ind w:left="990" w:hanging="630"/>
      </w:pPr>
      <w:rPr>
        <w:rFonts w:ascii="Aptos" w:eastAsiaTheme="minorHAnsi" w:hAnsi="Aptos" w:cstheme="minorHAns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44E50E1"/>
    <w:multiLevelType w:val="hybridMultilevel"/>
    <w:tmpl w:val="002030AC"/>
    <w:lvl w:ilvl="0" w:tplc="E6502B68">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1" w15:restartNumberingAfterBreak="0">
    <w:nsid w:val="34FD108F"/>
    <w:multiLevelType w:val="multilevel"/>
    <w:tmpl w:val="89ECBE72"/>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5823C0"/>
    <w:multiLevelType w:val="hybridMultilevel"/>
    <w:tmpl w:val="28464AA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D1A5CAA"/>
    <w:multiLevelType w:val="multilevel"/>
    <w:tmpl w:val="60B0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7F290F"/>
    <w:multiLevelType w:val="multilevel"/>
    <w:tmpl w:val="9BA4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5B0CE8"/>
    <w:multiLevelType w:val="hybridMultilevel"/>
    <w:tmpl w:val="976A4C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F50012C"/>
    <w:multiLevelType w:val="multilevel"/>
    <w:tmpl w:val="22F4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926292"/>
    <w:multiLevelType w:val="hybridMultilevel"/>
    <w:tmpl w:val="09986540"/>
    <w:lvl w:ilvl="0" w:tplc="E6502B6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B80093D"/>
    <w:multiLevelType w:val="multilevel"/>
    <w:tmpl w:val="4DB8E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B60006"/>
    <w:multiLevelType w:val="multilevel"/>
    <w:tmpl w:val="B4B4EA48"/>
    <w:lvl w:ilvl="0">
      <w:start w:val="1"/>
      <w:numFmt w:val="bullet"/>
      <w:lvlText w:val="−"/>
      <w:lvlJc w:val="left"/>
      <w:pPr>
        <w:tabs>
          <w:tab w:val="num" w:pos="720"/>
        </w:tabs>
        <w:ind w:left="720" w:hanging="360"/>
      </w:pPr>
      <w:rPr>
        <w:rFonts w:ascii="Aptos" w:hAnsi="Apto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EC312E"/>
    <w:multiLevelType w:val="multilevel"/>
    <w:tmpl w:val="E8D6D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E72637D"/>
    <w:multiLevelType w:val="multilevel"/>
    <w:tmpl w:val="2284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B56585"/>
    <w:multiLevelType w:val="multilevel"/>
    <w:tmpl w:val="B3B4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8804517">
    <w:abstractNumId w:val="5"/>
  </w:num>
  <w:num w:numId="2" w16cid:durableId="1512602879">
    <w:abstractNumId w:val="12"/>
  </w:num>
  <w:num w:numId="3" w16cid:durableId="860625176">
    <w:abstractNumId w:val="18"/>
  </w:num>
  <w:num w:numId="4" w16cid:durableId="1561360832">
    <w:abstractNumId w:val="21"/>
  </w:num>
  <w:num w:numId="5" w16cid:durableId="885213426">
    <w:abstractNumId w:val="6"/>
  </w:num>
  <w:num w:numId="6" w16cid:durableId="1777289948">
    <w:abstractNumId w:val="22"/>
  </w:num>
  <w:num w:numId="7" w16cid:durableId="2032948973">
    <w:abstractNumId w:val="1"/>
  </w:num>
  <w:num w:numId="8" w16cid:durableId="1120762050">
    <w:abstractNumId w:val="13"/>
  </w:num>
  <w:num w:numId="9" w16cid:durableId="1704090965">
    <w:abstractNumId w:val="11"/>
  </w:num>
  <w:num w:numId="10" w16cid:durableId="1239169832">
    <w:abstractNumId w:val="14"/>
  </w:num>
  <w:num w:numId="11" w16cid:durableId="626010860">
    <w:abstractNumId w:val="19"/>
  </w:num>
  <w:num w:numId="12" w16cid:durableId="1927614203">
    <w:abstractNumId w:val="20"/>
  </w:num>
  <w:num w:numId="13" w16cid:durableId="1031153822">
    <w:abstractNumId w:val="0"/>
  </w:num>
  <w:num w:numId="14" w16cid:durableId="802239604">
    <w:abstractNumId w:val="2"/>
  </w:num>
  <w:num w:numId="15" w16cid:durableId="1587877877">
    <w:abstractNumId w:val="15"/>
  </w:num>
  <w:num w:numId="16" w16cid:durableId="1397320757">
    <w:abstractNumId w:val="17"/>
  </w:num>
  <w:num w:numId="17" w16cid:durableId="1520198524">
    <w:abstractNumId w:val="16"/>
  </w:num>
  <w:num w:numId="18" w16cid:durableId="1053850753">
    <w:abstractNumId w:val="10"/>
  </w:num>
  <w:num w:numId="19" w16cid:durableId="1369254534">
    <w:abstractNumId w:val="7"/>
  </w:num>
  <w:num w:numId="20" w16cid:durableId="1681463647">
    <w:abstractNumId w:val="9"/>
  </w:num>
  <w:num w:numId="21" w16cid:durableId="1469588086">
    <w:abstractNumId w:val="4"/>
  </w:num>
  <w:num w:numId="22" w16cid:durableId="368141280">
    <w:abstractNumId w:val="3"/>
  </w:num>
  <w:num w:numId="23" w16cid:durableId="11657809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153"/>
    <w:rsid w:val="00016013"/>
    <w:rsid w:val="0006505C"/>
    <w:rsid w:val="00076818"/>
    <w:rsid w:val="0008734D"/>
    <w:rsid w:val="000A2813"/>
    <w:rsid w:val="000A6A85"/>
    <w:rsid w:val="000B1E40"/>
    <w:rsid w:val="000D113E"/>
    <w:rsid w:val="0013021D"/>
    <w:rsid w:val="00133201"/>
    <w:rsid w:val="00144643"/>
    <w:rsid w:val="001758CB"/>
    <w:rsid w:val="00192618"/>
    <w:rsid w:val="001F7F2D"/>
    <w:rsid w:val="00203CF7"/>
    <w:rsid w:val="002408E7"/>
    <w:rsid w:val="00243EFF"/>
    <w:rsid w:val="002B1744"/>
    <w:rsid w:val="002B6DE6"/>
    <w:rsid w:val="002D4C4A"/>
    <w:rsid w:val="002E482B"/>
    <w:rsid w:val="002F1FAA"/>
    <w:rsid w:val="00312C26"/>
    <w:rsid w:val="0032275B"/>
    <w:rsid w:val="00360E2E"/>
    <w:rsid w:val="00366354"/>
    <w:rsid w:val="003C7A34"/>
    <w:rsid w:val="003D2AA0"/>
    <w:rsid w:val="003E16EC"/>
    <w:rsid w:val="003F6299"/>
    <w:rsid w:val="0047083F"/>
    <w:rsid w:val="00492606"/>
    <w:rsid w:val="004957D1"/>
    <w:rsid w:val="004A1D5C"/>
    <w:rsid w:val="004B1153"/>
    <w:rsid w:val="00500243"/>
    <w:rsid w:val="00507354"/>
    <w:rsid w:val="00524C86"/>
    <w:rsid w:val="00532F50"/>
    <w:rsid w:val="00552D2B"/>
    <w:rsid w:val="00561FF3"/>
    <w:rsid w:val="005D1273"/>
    <w:rsid w:val="005D3147"/>
    <w:rsid w:val="00625155"/>
    <w:rsid w:val="00661EB1"/>
    <w:rsid w:val="00663C7B"/>
    <w:rsid w:val="0068670A"/>
    <w:rsid w:val="006D57A9"/>
    <w:rsid w:val="006F4891"/>
    <w:rsid w:val="00703455"/>
    <w:rsid w:val="00725C74"/>
    <w:rsid w:val="007341B1"/>
    <w:rsid w:val="007D0C04"/>
    <w:rsid w:val="007D2E03"/>
    <w:rsid w:val="007F0151"/>
    <w:rsid w:val="00817F3A"/>
    <w:rsid w:val="00832059"/>
    <w:rsid w:val="0084056F"/>
    <w:rsid w:val="00852B2D"/>
    <w:rsid w:val="008634AE"/>
    <w:rsid w:val="00875698"/>
    <w:rsid w:val="008C79D2"/>
    <w:rsid w:val="008E389C"/>
    <w:rsid w:val="008E4B01"/>
    <w:rsid w:val="008E7AAC"/>
    <w:rsid w:val="008F1327"/>
    <w:rsid w:val="00976CD5"/>
    <w:rsid w:val="0098262F"/>
    <w:rsid w:val="0098600B"/>
    <w:rsid w:val="00992C59"/>
    <w:rsid w:val="00994D62"/>
    <w:rsid w:val="009E37D5"/>
    <w:rsid w:val="00A06430"/>
    <w:rsid w:val="00A113E0"/>
    <w:rsid w:val="00A1792D"/>
    <w:rsid w:val="00A3552A"/>
    <w:rsid w:val="00A468B8"/>
    <w:rsid w:val="00A62D8B"/>
    <w:rsid w:val="00A668CF"/>
    <w:rsid w:val="00A86EA5"/>
    <w:rsid w:val="00A91C38"/>
    <w:rsid w:val="00A93D8D"/>
    <w:rsid w:val="00AC1118"/>
    <w:rsid w:val="00AD1F05"/>
    <w:rsid w:val="00AE258E"/>
    <w:rsid w:val="00B261C8"/>
    <w:rsid w:val="00BF2FF2"/>
    <w:rsid w:val="00C02282"/>
    <w:rsid w:val="00C12851"/>
    <w:rsid w:val="00C12CC4"/>
    <w:rsid w:val="00C300B8"/>
    <w:rsid w:val="00C31515"/>
    <w:rsid w:val="00C510C4"/>
    <w:rsid w:val="00C516BC"/>
    <w:rsid w:val="00C626B5"/>
    <w:rsid w:val="00C64EEE"/>
    <w:rsid w:val="00CA3B2C"/>
    <w:rsid w:val="00CD00E3"/>
    <w:rsid w:val="00D332E4"/>
    <w:rsid w:val="00D440B3"/>
    <w:rsid w:val="00DA10CC"/>
    <w:rsid w:val="00DA7105"/>
    <w:rsid w:val="00DA795D"/>
    <w:rsid w:val="00DF03E7"/>
    <w:rsid w:val="00E03EED"/>
    <w:rsid w:val="00E6612C"/>
    <w:rsid w:val="00E6698E"/>
    <w:rsid w:val="00EA0A91"/>
    <w:rsid w:val="00EA7D69"/>
    <w:rsid w:val="00EA7F6D"/>
    <w:rsid w:val="00EC3A86"/>
    <w:rsid w:val="00EC3B20"/>
    <w:rsid w:val="00ED1119"/>
    <w:rsid w:val="00EF0879"/>
    <w:rsid w:val="00EF4BBA"/>
    <w:rsid w:val="00F1351A"/>
    <w:rsid w:val="00F24C5C"/>
    <w:rsid w:val="00F43F64"/>
    <w:rsid w:val="00F46179"/>
    <w:rsid w:val="00F74F4E"/>
    <w:rsid w:val="00FA2CE9"/>
    <w:rsid w:val="00FD4026"/>
    <w:rsid w:val="00FD6F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43839"/>
  <w15:chartTrackingRefBased/>
  <w15:docId w15:val="{54CD97EE-F44C-42C3-8B79-2588357F3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153"/>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4B11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1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1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1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1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1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1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1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1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1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1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1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1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1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1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1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1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153"/>
    <w:rPr>
      <w:rFonts w:eastAsiaTheme="majorEastAsia" w:cstheme="majorBidi"/>
      <w:color w:val="272727" w:themeColor="text1" w:themeTint="D8"/>
    </w:rPr>
  </w:style>
  <w:style w:type="paragraph" w:styleId="Title">
    <w:name w:val="Title"/>
    <w:basedOn w:val="Normal"/>
    <w:next w:val="Normal"/>
    <w:link w:val="TitleChar"/>
    <w:uiPriority w:val="10"/>
    <w:qFormat/>
    <w:rsid w:val="004B1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1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153"/>
    <w:pPr>
      <w:spacing w:before="160"/>
      <w:jc w:val="center"/>
    </w:pPr>
    <w:rPr>
      <w:i/>
      <w:iCs/>
      <w:color w:val="404040" w:themeColor="text1" w:themeTint="BF"/>
    </w:rPr>
  </w:style>
  <w:style w:type="character" w:customStyle="1" w:styleId="QuoteChar">
    <w:name w:val="Quote Char"/>
    <w:basedOn w:val="DefaultParagraphFont"/>
    <w:link w:val="Quote"/>
    <w:uiPriority w:val="29"/>
    <w:rsid w:val="004B1153"/>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4B1153"/>
    <w:pPr>
      <w:ind w:left="720"/>
      <w:contextualSpacing/>
    </w:pPr>
  </w:style>
  <w:style w:type="character" w:styleId="IntenseEmphasis">
    <w:name w:val="Intense Emphasis"/>
    <w:basedOn w:val="DefaultParagraphFont"/>
    <w:uiPriority w:val="21"/>
    <w:qFormat/>
    <w:rsid w:val="004B1153"/>
    <w:rPr>
      <w:i/>
      <w:iCs/>
      <w:color w:val="0F4761" w:themeColor="accent1" w:themeShade="BF"/>
    </w:rPr>
  </w:style>
  <w:style w:type="paragraph" w:styleId="IntenseQuote">
    <w:name w:val="Intense Quote"/>
    <w:basedOn w:val="Normal"/>
    <w:next w:val="Normal"/>
    <w:link w:val="IntenseQuoteChar"/>
    <w:uiPriority w:val="30"/>
    <w:qFormat/>
    <w:rsid w:val="004B11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153"/>
    <w:rPr>
      <w:i/>
      <w:iCs/>
      <w:color w:val="0F4761" w:themeColor="accent1" w:themeShade="BF"/>
    </w:rPr>
  </w:style>
  <w:style w:type="character" w:styleId="IntenseReference">
    <w:name w:val="Intense Reference"/>
    <w:basedOn w:val="DefaultParagraphFont"/>
    <w:uiPriority w:val="32"/>
    <w:qFormat/>
    <w:rsid w:val="004B1153"/>
    <w:rPr>
      <w:b/>
      <w:bCs/>
      <w:smallCaps/>
      <w:color w:val="0F4761" w:themeColor="accent1" w:themeShade="BF"/>
      <w:spacing w:val="5"/>
    </w:rPr>
  </w:style>
  <w:style w:type="character" w:styleId="CommentReference">
    <w:name w:val="annotation reference"/>
    <w:basedOn w:val="DefaultParagraphFont"/>
    <w:uiPriority w:val="99"/>
    <w:semiHidden/>
    <w:unhideWhenUsed/>
    <w:rsid w:val="00C64EEE"/>
    <w:rPr>
      <w:sz w:val="16"/>
      <w:szCs w:val="16"/>
    </w:rPr>
  </w:style>
  <w:style w:type="paragraph" w:styleId="CommentText">
    <w:name w:val="annotation text"/>
    <w:basedOn w:val="Normal"/>
    <w:link w:val="CommentTextChar"/>
    <w:uiPriority w:val="99"/>
    <w:unhideWhenUsed/>
    <w:rsid w:val="00C64EEE"/>
    <w:pPr>
      <w:spacing w:line="240" w:lineRule="auto"/>
    </w:pPr>
    <w:rPr>
      <w:sz w:val="20"/>
      <w:szCs w:val="20"/>
    </w:rPr>
  </w:style>
  <w:style w:type="character" w:customStyle="1" w:styleId="CommentTextChar">
    <w:name w:val="Comment Text Char"/>
    <w:basedOn w:val="DefaultParagraphFont"/>
    <w:link w:val="CommentText"/>
    <w:uiPriority w:val="99"/>
    <w:rsid w:val="00C64EEE"/>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64EEE"/>
    <w:rPr>
      <w:b/>
      <w:bCs/>
    </w:rPr>
  </w:style>
  <w:style w:type="character" w:customStyle="1" w:styleId="CommentSubjectChar">
    <w:name w:val="Comment Subject Char"/>
    <w:basedOn w:val="CommentTextChar"/>
    <w:link w:val="CommentSubject"/>
    <w:uiPriority w:val="99"/>
    <w:semiHidden/>
    <w:rsid w:val="00C64EEE"/>
    <w:rPr>
      <w:b/>
      <w:bCs/>
      <w:kern w:val="0"/>
      <w:sz w:val="20"/>
      <w:szCs w:val="20"/>
      <w:lang w:val="en-US"/>
      <w14:ligatures w14:val="none"/>
    </w:rPr>
  </w:style>
  <w:style w:type="paragraph" w:styleId="Revision">
    <w:name w:val="Revision"/>
    <w:hidden/>
    <w:uiPriority w:val="99"/>
    <w:semiHidden/>
    <w:rsid w:val="00C64EEE"/>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EC3B20"/>
    <w:rPr>
      <w:color w:val="467886" w:themeColor="hyperlink"/>
      <w:u w:val="single"/>
    </w:rPr>
  </w:style>
  <w:style w:type="character" w:styleId="UnresolvedMention">
    <w:name w:val="Unresolved Mention"/>
    <w:basedOn w:val="DefaultParagraphFont"/>
    <w:uiPriority w:val="99"/>
    <w:semiHidden/>
    <w:unhideWhenUsed/>
    <w:rsid w:val="00EC3B20"/>
    <w:rPr>
      <w:color w:val="605E5C"/>
      <w:shd w:val="clear" w:color="auto" w:fill="E1DFDD"/>
    </w:rPr>
  </w:style>
  <w:style w:type="paragraph" w:styleId="NormalWeb">
    <w:name w:val="Normal (Web)"/>
    <w:basedOn w:val="Normal"/>
    <w:uiPriority w:val="99"/>
    <w:semiHidden/>
    <w:unhideWhenUsed/>
    <w:rsid w:val="00AC1118"/>
    <w:rPr>
      <w:rFonts w:ascii="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E6698E"/>
    <w:rPr>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Props1.xml><?xml version="1.0" encoding="utf-8"?>
<ds:datastoreItem xmlns:ds="http://schemas.openxmlformats.org/officeDocument/2006/customXml" ds:itemID="{258AFB44-8D25-4AFA-AD76-F1BE1DF7B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75A656-1FCC-40F2-B349-73A0FD06A1F4}">
  <ds:schemaRefs>
    <ds:schemaRef ds:uri="http://schemas.microsoft.com/sharepoint/v3/contenttype/forms"/>
  </ds:schemaRefs>
</ds:datastoreItem>
</file>

<file path=customXml/itemProps3.xml><?xml version="1.0" encoding="utf-8"?>
<ds:datastoreItem xmlns:ds="http://schemas.openxmlformats.org/officeDocument/2006/customXml" ds:itemID="{351C0B2C-F518-4BB9-8785-AC677BA0CBFC}">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9763</Words>
  <Characters>5565</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Justas Šakočius</dc:creator>
  <cp:keywords/>
  <dc:description/>
  <cp:lastModifiedBy>Justas Šakočius</cp:lastModifiedBy>
  <cp:revision>3</cp:revision>
  <dcterms:created xsi:type="dcterms:W3CDTF">2026-06-25T13:30:00Z</dcterms:created>
  <dcterms:modified xsi:type="dcterms:W3CDTF">2026-06-25T14:27:00Z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GrammarlyDocumentId">
    <vt:lpwstr>9828af55-a0db-4c07-ab97-4523345e2a5a</vt:lpwstr>
  </property>
  <property fmtid="{D5CDD505-2E9C-101B-9397-08002B2CF9AE}" pid="4" name="DmsPermissionsFlags">
    <vt:lpwstr>,SECTRUE,</vt:lpwstr>
  </property>
  <property fmtid="{D5CDD505-2E9C-101B-9397-08002B2CF9AE}" pid="5" name="DmsPermissionsDivisions">
    <vt:lpwstr/>
  </property>
  <property fmtid="{D5CDD505-2E9C-101B-9397-08002B2CF9AE}" pid="6" name="ContentTypeId">
    <vt:lpwstr>0x010100D76F90AF19434866994CD715ED8FEE4200712820E1B0DE314FBCE77D75ADAD206D</vt:lpwstr>
  </property>
  <property fmtid="{D5CDD505-2E9C-101B-9397-08002B2CF9AE}" pid="7" name="DmsPermissionsUsers">
    <vt:lpwstr>393;#Justas Šakočius;#1820;#Živilė Dambrauskaitė;#1232;#Rytis Misiūnas;#273;#Dalia Vinklerė</vt:lpwstr>
  </property>
  <property fmtid="{D5CDD505-2E9C-101B-9397-08002B2CF9AE}" pid="8" name="DmsCommChanPerm">
    <vt:lpwstr/>
  </property>
  <property fmtid="{D5CDD505-2E9C-101B-9397-08002B2CF9AE}" pid="9" name="DmsPermissionsConfid">
    <vt:bool>false</vt:bool>
  </property>
</Properties>
</file>