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8F69E" w14:textId="77777777" w:rsidR="00EE36DE" w:rsidRPr="00EE36DE" w:rsidRDefault="00EE36DE" w:rsidP="00EE36DE">
      <w:pPr>
        <w:numPr>
          <w:ilvl w:val="0"/>
          <w:numId w:val="2"/>
        </w:numPr>
        <w:rPr>
          <w:b/>
        </w:rPr>
      </w:pPr>
      <w:r w:rsidRPr="00EE36DE">
        <w:rPr>
          <w:b/>
          <w:bCs/>
        </w:rPr>
        <w:t>Duomenų saugyklos – 2 vnt.</w:t>
      </w:r>
    </w:p>
    <w:p w14:paraId="757713B0" w14:textId="77777777" w:rsidR="00EE36DE" w:rsidRDefault="00EE36DE" w:rsidP="00EE36DE">
      <w:pPr>
        <w:rPr>
          <w:b/>
          <w:bCs/>
        </w:rPr>
      </w:pPr>
    </w:p>
    <w:p w14:paraId="57B5C4EF" w14:textId="77777777" w:rsidR="00EE36DE" w:rsidRPr="00EE36DE" w:rsidRDefault="00EE36DE" w:rsidP="00EE36DE">
      <w:pPr>
        <w:rPr>
          <w:b/>
        </w:rPr>
      </w:pPr>
    </w:p>
    <w:tbl>
      <w:tblPr>
        <w:tblW w:w="50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19"/>
        <w:gridCol w:w="1858"/>
        <w:gridCol w:w="5544"/>
        <w:gridCol w:w="2689"/>
      </w:tblGrid>
      <w:tr w:rsidR="00EE36DE" w:rsidRPr="00EE36DE" w14:paraId="203C8BA1" w14:textId="77777777">
        <w:trPr>
          <w:trHeight w:val="340"/>
        </w:trPr>
        <w:tc>
          <w:tcPr>
            <w:tcW w:w="315"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57" w:type="dxa"/>
              <w:right w:w="108" w:type="dxa"/>
            </w:tcMar>
            <w:vAlign w:val="center"/>
            <w:hideMark/>
          </w:tcPr>
          <w:p w14:paraId="19D9F0A1" w14:textId="77777777" w:rsidR="00EE36DE" w:rsidRPr="00EE36DE" w:rsidRDefault="00EE36DE" w:rsidP="00EE36DE">
            <w:pPr>
              <w:ind w:firstLine="0"/>
              <w:rPr>
                <w:b/>
              </w:rPr>
            </w:pPr>
            <w:r w:rsidRPr="00EE36DE">
              <w:rPr>
                <w:b/>
              </w:rPr>
              <w:t>Eil. Nr.</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57" w:type="dxa"/>
              <w:right w:w="108" w:type="dxa"/>
            </w:tcMar>
            <w:vAlign w:val="center"/>
            <w:hideMark/>
          </w:tcPr>
          <w:p w14:paraId="58F11340" w14:textId="77777777" w:rsidR="00EE36DE" w:rsidRPr="00EE36DE" w:rsidRDefault="00EE36DE" w:rsidP="00EE36DE">
            <w:pPr>
              <w:ind w:firstLine="0"/>
              <w:rPr>
                <w:b/>
                <w:i/>
              </w:rPr>
            </w:pPr>
            <w:r w:rsidRPr="00EE36DE">
              <w:rPr>
                <w:b/>
              </w:rPr>
              <w:t>Komponento charakteristikos</w:t>
            </w:r>
          </w:p>
          <w:p w14:paraId="337C5205" w14:textId="77777777" w:rsidR="00EE36DE" w:rsidRPr="00EE36DE" w:rsidRDefault="00EE36DE" w:rsidP="00EE36DE">
            <w:pPr>
              <w:ind w:firstLine="0"/>
              <w:rPr>
                <w:b/>
                <w:i/>
              </w:rPr>
            </w:pPr>
            <w:r w:rsidRPr="00EE36DE">
              <w:rPr>
                <w:b/>
              </w:rPr>
              <w:t>Pavadinimas</w:t>
            </w:r>
          </w:p>
        </w:tc>
        <w:tc>
          <w:tcPr>
            <w:tcW w:w="2569"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57" w:type="dxa"/>
              <w:right w:w="108" w:type="dxa"/>
            </w:tcMar>
            <w:vAlign w:val="center"/>
            <w:hideMark/>
          </w:tcPr>
          <w:p w14:paraId="43636681" w14:textId="77777777" w:rsidR="00EE36DE" w:rsidRPr="00EE36DE" w:rsidRDefault="00EE36DE" w:rsidP="00EE36DE">
            <w:pPr>
              <w:ind w:firstLine="0"/>
              <w:rPr>
                <w:b/>
                <w:i/>
              </w:rPr>
            </w:pPr>
            <w:r w:rsidRPr="00EE36DE">
              <w:rPr>
                <w:b/>
              </w:rPr>
              <w:t>Reikalaujama charakteristika</w:t>
            </w:r>
          </w:p>
        </w:tc>
        <w:tc>
          <w:tcPr>
            <w:tcW w:w="1246" w:type="pct"/>
            <w:tcBorders>
              <w:top w:val="single" w:sz="4" w:space="0" w:color="000000"/>
              <w:left w:val="single" w:sz="4" w:space="0" w:color="000000"/>
              <w:bottom w:val="single" w:sz="4" w:space="0" w:color="000000"/>
              <w:right w:val="single" w:sz="4" w:space="0" w:color="000000"/>
            </w:tcBorders>
            <w:shd w:val="clear" w:color="auto" w:fill="D9D9D9"/>
            <w:hideMark/>
          </w:tcPr>
          <w:p w14:paraId="576030CA" w14:textId="77777777" w:rsidR="00EE36DE" w:rsidRPr="00EE36DE" w:rsidRDefault="00EE36DE" w:rsidP="00EE36DE">
            <w:pPr>
              <w:ind w:firstLine="0"/>
              <w:rPr>
                <w:b/>
              </w:rPr>
            </w:pPr>
            <w:r w:rsidRPr="00EE36DE">
              <w:rPr>
                <w:b/>
              </w:rPr>
              <w:t>Pildo tiekėjas</w:t>
            </w:r>
          </w:p>
        </w:tc>
      </w:tr>
      <w:tr w:rsidR="00EE36DE" w:rsidRPr="00EE36DE" w14:paraId="6D2BDD43" w14:textId="77777777">
        <w:trPr>
          <w:trHeight w:val="827"/>
        </w:trPr>
        <w:tc>
          <w:tcPr>
            <w:tcW w:w="324" w:type="pct"/>
            <w:gridSpan w:val="2"/>
            <w:tcBorders>
              <w:top w:val="single" w:sz="4" w:space="0" w:color="auto"/>
              <w:left w:val="single" w:sz="4" w:space="0" w:color="auto"/>
              <w:bottom w:val="single" w:sz="4" w:space="0" w:color="auto"/>
              <w:right w:val="single" w:sz="4" w:space="0" w:color="auto"/>
            </w:tcBorders>
            <w:noWrap/>
            <w:hideMark/>
          </w:tcPr>
          <w:p w14:paraId="4DC55596" w14:textId="77777777" w:rsidR="00EE36DE" w:rsidRPr="00EE36DE" w:rsidRDefault="00EE36DE" w:rsidP="00EE36DE">
            <w:pPr>
              <w:ind w:firstLine="0"/>
            </w:pPr>
            <w:r w:rsidRPr="00EE36DE">
              <w:t>1.</w:t>
            </w:r>
          </w:p>
        </w:tc>
        <w:tc>
          <w:tcPr>
            <w:tcW w:w="861" w:type="pct"/>
            <w:tcBorders>
              <w:top w:val="single" w:sz="4" w:space="0" w:color="auto"/>
              <w:left w:val="single" w:sz="4" w:space="0" w:color="auto"/>
              <w:bottom w:val="single" w:sz="4" w:space="0" w:color="auto"/>
              <w:right w:val="single" w:sz="4" w:space="0" w:color="auto"/>
            </w:tcBorders>
            <w:hideMark/>
          </w:tcPr>
          <w:p w14:paraId="26713AE1" w14:textId="77777777" w:rsidR="00EE36DE" w:rsidRPr="00EE36DE" w:rsidRDefault="00EE36DE" w:rsidP="00EE36DE">
            <w:pPr>
              <w:ind w:firstLine="0"/>
            </w:pPr>
            <w:r w:rsidRPr="00EE36DE">
              <w:t>Gamintojas, modelis</w:t>
            </w:r>
          </w:p>
        </w:tc>
        <w:tc>
          <w:tcPr>
            <w:tcW w:w="2569" w:type="pct"/>
            <w:tcBorders>
              <w:top w:val="single" w:sz="4" w:space="0" w:color="auto"/>
              <w:left w:val="single" w:sz="4" w:space="0" w:color="auto"/>
              <w:bottom w:val="single" w:sz="4" w:space="0" w:color="auto"/>
              <w:right w:val="single" w:sz="4" w:space="0" w:color="auto"/>
            </w:tcBorders>
            <w:hideMark/>
          </w:tcPr>
          <w:p w14:paraId="60EC85FB" w14:textId="77777777" w:rsidR="00EE36DE" w:rsidRPr="00EE36DE" w:rsidRDefault="00EE36DE" w:rsidP="00EE36DE">
            <w:pPr>
              <w:ind w:firstLine="0"/>
            </w:pPr>
            <w:r w:rsidRPr="00EE36DE">
              <w:t>Nurodyti gamintoją ir modelį.</w:t>
            </w:r>
          </w:p>
        </w:tc>
        <w:tc>
          <w:tcPr>
            <w:tcW w:w="1246" w:type="pct"/>
            <w:tcBorders>
              <w:top w:val="single" w:sz="4" w:space="0" w:color="auto"/>
              <w:left w:val="single" w:sz="4" w:space="0" w:color="auto"/>
              <w:bottom w:val="single" w:sz="4" w:space="0" w:color="auto"/>
              <w:right w:val="single" w:sz="4" w:space="0" w:color="auto"/>
            </w:tcBorders>
          </w:tcPr>
          <w:p w14:paraId="6CDCC985" w14:textId="77777777" w:rsidR="00EE36DE" w:rsidRPr="00EE36DE" w:rsidRDefault="00EE36DE" w:rsidP="00EE36DE">
            <w:pPr>
              <w:ind w:firstLine="0"/>
            </w:pPr>
          </w:p>
        </w:tc>
      </w:tr>
      <w:tr w:rsidR="00EE36DE" w:rsidRPr="00EE36DE" w14:paraId="1791575F" w14:textId="77777777" w:rsidTr="00EE36DE">
        <w:trPr>
          <w:trHeight w:val="3124"/>
        </w:trPr>
        <w:tc>
          <w:tcPr>
            <w:tcW w:w="324" w:type="pct"/>
            <w:gridSpan w:val="2"/>
            <w:tcBorders>
              <w:top w:val="single" w:sz="4" w:space="0" w:color="auto"/>
              <w:left w:val="single" w:sz="4" w:space="0" w:color="auto"/>
              <w:bottom w:val="single" w:sz="4" w:space="0" w:color="auto"/>
              <w:right w:val="single" w:sz="4" w:space="0" w:color="auto"/>
            </w:tcBorders>
            <w:noWrap/>
            <w:hideMark/>
          </w:tcPr>
          <w:p w14:paraId="46D44D8C" w14:textId="77777777" w:rsidR="00EE36DE" w:rsidRPr="00EE36DE" w:rsidRDefault="00EE36DE" w:rsidP="00EE36DE">
            <w:pPr>
              <w:ind w:firstLine="0"/>
            </w:pPr>
            <w:r w:rsidRPr="00EE36DE">
              <w:t>2.</w:t>
            </w:r>
          </w:p>
        </w:tc>
        <w:tc>
          <w:tcPr>
            <w:tcW w:w="861" w:type="pct"/>
            <w:tcBorders>
              <w:top w:val="single" w:sz="4" w:space="0" w:color="auto"/>
              <w:left w:val="single" w:sz="4" w:space="0" w:color="auto"/>
              <w:bottom w:val="single" w:sz="4" w:space="0" w:color="auto"/>
              <w:right w:val="single" w:sz="4" w:space="0" w:color="auto"/>
            </w:tcBorders>
            <w:hideMark/>
          </w:tcPr>
          <w:p w14:paraId="59AFD796" w14:textId="77777777" w:rsidR="00EE36DE" w:rsidRPr="00EE36DE" w:rsidRDefault="00EE36DE" w:rsidP="00EE36DE">
            <w:pPr>
              <w:ind w:firstLine="0"/>
            </w:pPr>
            <w:r w:rsidRPr="00EE36DE">
              <w:t>Duomenų saugyklos tipas</w:t>
            </w:r>
          </w:p>
        </w:tc>
        <w:tc>
          <w:tcPr>
            <w:tcW w:w="2569" w:type="pct"/>
            <w:tcBorders>
              <w:top w:val="single" w:sz="4" w:space="0" w:color="auto"/>
              <w:left w:val="single" w:sz="4" w:space="0" w:color="auto"/>
              <w:bottom w:val="single" w:sz="4" w:space="0" w:color="auto"/>
              <w:right w:val="single" w:sz="4" w:space="0" w:color="auto"/>
            </w:tcBorders>
            <w:hideMark/>
          </w:tcPr>
          <w:p w14:paraId="49EE8CA1" w14:textId="77777777" w:rsidR="00EE36DE" w:rsidRPr="00EE36DE" w:rsidRDefault="00EE36DE" w:rsidP="00EE36DE">
            <w:pPr>
              <w:ind w:firstLine="0"/>
            </w:pPr>
            <w:r w:rsidRPr="00EE36DE">
              <w:t xml:space="preserve">Diskinė duomenų saugykla, užtikrinanti NAS ir SAN architektūrą. </w:t>
            </w:r>
          </w:p>
          <w:p w14:paraId="5F95CEFC" w14:textId="77777777" w:rsidR="00EE36DE" w:rsidRPr="00EE36DE" w:rsidRDefault="00EE36DE" w:rsidP="00EE36DE">
            <w:pPr>
              <w:ind w:firstLine="0"/>
            </w:pPr>
            <w:r w:rsidRPr="00EE36DE">
              <w:t xml:space="preserve">NAS tipo duomenų saugyklos funkcionalumo veikimas turi būti užtikrinamas saugyklos operacinės aplinkos savybėmis, papildomi komponentai (kaip papildomi šliuzai – angl. „Gateway“) negali būti siūlomi. </w:t>
            </w:r>
          </w:p>
          <w:p w14:paraId="113272DD" w14:textId="77777777" w:rsidR="00EE36DE" w:rsidRPr="00EE36DE" w:rsidRDefault="00EE36DE" w:rsidP="00EE36DE">
            <w:pPr>
              <w:ind w:firstLine="0"/>
            </w:pPr>
            <w:r w:rsidRPr="00EE36DE">
              <w:t xml:space="preserve">Saugyklos architektūra (ir pateikiamas modelis) turi būti skirtas NVMe SSD tipo diskams ir sujungimui su tarnybinėmis stotimis NVMe protokolu , optimizuotas tokiam naudojimui ir gamintojo techninės specifikacijos dokumente turi būti įvardijamas kaip toks (angl. „end-to-end NVMe“, palaikyti abiejų tipų sujungimus – „NVME over TCP“ bei NVME over FC“). </w:t>
            </w:r>
          </w:p>
        </w:tc>
        <w:tc>
          <w:tcPr>
            <w:tcW w:w="1246" w:type="pct"/>
            <w:tcBorders>
              <w:top w:val="single" w:sz="4" w:space="0" w:color="auto"/>
              <w:left w:val="single" w:sz="4" w:space="0" w:color="auto"/>
              <w:bottom w:val="single" w:sz="4" w:space="0" w:color="auto"/>
              <w:right w:val="single" w:sz="4" w:space="0" w:color="auto"/>
            </w:tcBorders>
          </w:tcPr>
          <w:p w14:paraId="576D4F8A" w14:textId="77777777" w:rsidR="00EE36DE" w:rsidRPr="00EE36DE" w:rsidRDefault="00EE36DE" w:rsidP="00EE36DE">
            <w:pPr>
              <w:ind w:firstLine="0"/>
            </w:pPr>
          </w:p>
        </w:tc>
      </w:tr>
      <w:tr w:rsidR="00EE36DE" w:rsidRPr="00EE36DE" w14:paraId="400754D8"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3DD1A31D" w14:textId="77777777" w:rsidR="00EE36DE" w:rsidRPr="00EE36DE" w:rsidRDefault="00EE36DE" w:rsidP="00EE36DE">
            <w:pPr>
              <w:ind w:firstLine="0"/>
            </w:pPr>
            <w:r w:rsidRPr="00EE36DE">
              <w:t>3.</w:t>
            </w:r>
          </w:p>
        </w:tc>
        <w:tc>
          <w:tcPr>
            <w:tcW w:w="861" w:type="pct"/>
            <w:tcBorders>
              <w:top w:val="single" w:sz="4" w:space="0" w:color="auto"/>
              <w:left w:val="single" w:sz="4" w:space="0" w:color="auto"/>
              <w:bottom w:val="single" w:sz="4" w:space="0" w:color="auto"/>
              <w:right w:val="single" w:sz="4" w:space="0" w:color="auto"/>
            </w:tcBorders>
            <w:hideMark/>
          </w:tcPr>
          <w:p w14:paraId="2E6B73F1" w14:textId="77777777" w:rsidR="00EE36DE" w:rsidRPr="00EE36DE" w:rsidRDefault="00EE36DE" w:rsidP="00EE36DE">
            <w:pPr>
              <w:ind w:firstLine="0"/>
            </w:pPr>
            <w:r w:rsidRPr="00EE36DE">
              <w:t>Montavimas</w:t>
            </w:r>
          </w:p>
        </w:tc>
        <w:tc>
          <w:tcPr>
            <w:tcW w:w="2569" w:type="pct"/>
            <w:tcBorders>
              <w:top w:val="single" w:sz="4" w:space="0" w:color="auto"/>
              <w:left w:val="single" w:sz="4" w:space="0" w:color="auto"/>
              <w:bottom w:val="single" w:sz="4" w:space="0" w:color="auto"/>
              <w:right w:val="single" w:sz="4" w:space="0" w:color="auto"/>
            </w:tcBorders>
            <w:vAlign w:val="center"/>
            <w:hideMark/>
          </w:tcPr>
          <w:p w14:paraId="6B4BA74F" w14:textId="77777777" w:rsidR="00EE36DE" w:rsidRPr="00EE36DE" w:rsidRDefault="00EE36DE" w:rsidP="00EE36DE">
            <w:pPr>
              <w:ind w:firstLine="0"/>
            </w:pPr>
            <w:r w:rsidRPr="00EE36DE">
              <w:t xml:space="preserve">Pritaikyta montuoti į standartinę 19” pločio montažinę spintą, su visomis montavimui reikalingomis priemonėmis. Pateikiama su visomis reikalingomis jungtimis, adapteriais, laidais ir kitais komponentais, būtinais prašomo funkcionalumo užtikrinimui. </w:t>
            </w:r>
          </w:p>
          <w:p w14:paraId="505E7BD5" w14:textId="77777777" w:rsidR="00EE36DE" w:rsidRPr="00EE36DE" w:rsidRDefault="00EE36DE" w:rsidP="00EE36DE">
            <w:pPr>
              <w:ind w:firstLine="0"/>
            </w:pPr>
            <w:r w:rsidRPr="00EE36DE">
              <w:t>Sumontuota saugykla (įskaitant papildomas diskų lentynas, jei pateikiamos) turi užimti ne daugiau kaip 2U aukščio vienetus tarnybinių stočių spintoje.</w:t>
            </w:r>
          </w:p>
        </w:tc>
        <w:tc>
          <w:tcPr>
            <w:tcW w:w="1246" w:type="pct"/>
            <w:tcBorders>
              <w:top w:val="single" w:sz="4" w:space="0" w:color="auto"/>
              <w:left w:val="single" w:sz="4" w:space="0" w:color="auto"/>
              <w:bottom w:val="single" w:sz="4" w:space="0" w:color="auto"/>
              <w:right w:val="single" w:sz="4" w:space="0" w:color="auto"/>
            </w:tcBorders>
          </w:tcPr>
          <w:p w14:paraId="53C17737" w14:textId="77777777" w:rsidR="00EE36DE" w:rsidRPr="00EE36DE" w:rsidRDefault="00EE36DE" w:rsidP="00EE36DE">
            <w:pPr>
              <w:ind w:firstLine="0"/>
            </w:pPr>
          </w:p>
        </w:tc>
      </w:tr>
      <w:tr w:rsidR="00EE36DE" w:rsidRPr="00EE36DE" w14:paraId="199BB0EE" w14:textId="77777777">
        <w:trPr>
          <w:trHeight w:val="971"/>
        </w:trPr>
        <w:tc>
          <w:tcPr>
            <w:tcW w:w="324" w:type="pct"/>
            <w:gridSpan w:val="2"/>
            <w:tcBorders>
              <w:top w:val="single" w:sz="4" w:space="0" w:color="auto"/>
              <w:left w:val="single" w:sz="4" w:space="0" w:color="auto"/>
              <w:bottom w:val="single" w:sz="4" w:space="0" w:color="auto"/>
              <w:right w:val="single" w:sz="4" w:space="0" w:color="auto"/>
            </w:tcBorders>
            <w:noWrap/>
            <w:hideMark/>
          </w:tcPr>
          <w:p w14:paraId="744EB077" w14:textId="77777777" w:rsidR="00EE36DE" w:rsidRPr="00EE36DE" w:rsidRDefault="00EE36DE" w:rsidP="00EE36DE">
            <w:pPr>
              <w:ind w:firstLine="0"/>
            </w:pPr>
            <w:r w:rsidRPr="00EE36DE">
              <w:t>4.</w:t>
            </w:r>
          </w:p>
        </w:tc>
        <w:tc>
          <w:tcPr>
            <w:tcW w:w="861" w:type="pct"/>
            <w:tcBorders>
              <w:top w:val="single" w:sz="4" w:space="0" w:color="auto"/>
              <w:left w:val="single" w:sz="4" w:space="0" w:color="auto"/>
              <w:bottom w:val="single" w:sz="4" w:space="0" w:color="auto"/>
              <w:right w:val="single" w:sz="4" w:space="0" w:color="auto"/>
            </w:tcBorders>
            <w:hideMark/>
          </w:tcPr>
          <w:p w14:paraId="09D4C8CF" w14:textId="77777777" w:rsidR="00EE36DE" w:rsidRPr="00EE36DE" w:rsidRDefault="00EE36DE" w:rsidP="00EE36DE">
            <w:pPr>
              <w:ind w:firstLine="0"/>
            </w:pPr>
            <w:r w:rsidRPr="00EE36DE">
              <w:t>Aukšto patikimumo savybės</w:t>
            </w:r>
          </w:p>
        </w:tc>
        <w:tc>
          <w:tcPr>
            <w:tcW w:w="2569" w:type="pct"/>
            <w:tcBorders>
              <w:top w:val="single" w:sz="4" w:space="0" w:color="auto"/>
              <w:left w:val="single" w:sz="4" w:space="0" w:color="auto"/>
              <w:bottom w:val="single" w:sz="4" w:space="0" w:color="auto"/>
              <w:right w:val="single" w:sz="4" w:space="0" w:color="auto"/>
            </w:tcBorders>
            <w:hideMark/>
          </w:tcPr>
          <w:p w14:paraId="43285F2D" w14:textId="77777777" w:rsidR="00EE36DE" w:rsidRPr="00EE36DE" w:rsidRDefault="00EE36DE" w:rsidP="00EE36DE">
            <w:pPr>
              <w:ind w:firstLine="0"/>
            </w:pPr>
            <w:r w:rsidRPr="00EE36DE">
              <w:t>Saugykla privalo turėti dubliuotas „karšto keitimo“ (angl. hotswap, hotplug) elektros maitinimo ir aušinimo sistemas, užtikrinančias jų pakeitimą nestabdant saugyklos darbo ir nesutrikdant naudotojų darbo su duomenimis, esančiais saugykloje.</w:t>
            </w:r>
          </w:p>
          <w:p w14:paraId="7ED8211A" w14:textId="77777777" w:rsidR="00EE36DE" w:rsidRPr="00EE36DE" w:rsidRDefault="00EE36DE" w:rsidP="00EE36DE">
            <w:pPr>
              <w:ind w:firstLine="0"/>
            </w:pPr>
            <w:r w:rsidRPr="00EE36DE">
              <w:t>Turi būti realizuota valdiklių spartinančios atminties apsauga baterijomis, esančiomis saugyklos valdiklio dalimi. Tai turi užtikrinti ne trumpesnę kaip 72 valandų apsaugą nuo duomenų praradimo arba duomenų perkėlimą į neblogesnę, kaip SSD tipo laikmeną, elektros dingimo atveju. Išorinės baterijos ar maitinimo bloke esančios baterijos nebus pripažinta lygiavertė technologija.</w:t>
            </w:r>
          </w:p>
          <w:p w14:paraId="447AE7E5" w14:textId="77777777" w:rsidR="00EE36DE" w:rsidRPr="00EE36DE" w:rsidRDefault="00EE36DE" w:rsidP="00EE36DE">
            <w:pPr>
              <w:ind w:firstLine="0"/>
            </w:pPr>
            <w:r w:rsidRPr="00EE36DE">
              <w:t>Saugyklos valdikliai prie tinklo įrenginių turi būti jungiami dubliuotomis jungtimis.</w:t>
            </w:r>
          </w:p>
          <w:p w14:paraId="3A1F0300" w14:textId="77777777" w:rsidR="00EE36DE" w:rsidRPr="00EE36DE" w:rsidRDefault="00EE36DE" w:rsidP="00EE36DE">
            <w:pPr>
              <w:ind w:firstLine="0"/>
            </w:pPr>
            <w:r w:rsidRPr="00EE36DE">
              <w:t>Turi būti gamintojo patvirtintas ne mažesnis kaip 99.9999% veiklos patikimumas, užtikrinamas saugyklos lygyje ir saugyklos priemonėmis.</w:t>
            </w:r>
          </w:p>
        </w:tc>
        <w:tc>
          <w:tcPr>
            <w:tcW w:w="1246" w:type="pct"/>
            <w:tcBorders>
              <w:top w:val="single" w:sz="4" w:space="0" w:color="auto"/>
              <w:left w:val="single" w:sz="4" w:space="0" w:color="auto"/>
              <w:bottom w:val="single" w:sz="4" w:space="0" w:color="auto"/>
              <w:right w:val="single" w:sz="4" w:space="0" w:color="auto"/>
            </w:tcBorders>
          </w:tcPr>
          <w:p w14:paraId="52C2E36D" w14:textId="77777777" w:rsidR="00EE36DE" w:rsidRPr="00EE36DE" w:rsidRDefault="00EE36DE" w:rsidP="00EE36DE">
            <w:pPr>
              <w:ind w:firstLine="0"/>
            </w:pPr>
          </w:p>
        </w:tc>
      </w:tr>
      <w:tr w:rsidR="00EE36DE" w:rsidRPr="00EE36DE" w14:paraId="20F4EBEC"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04DF5642" w14:textId="77777777" w:rsidR="00EE36DE" w:rsidRPr="00EE36DE" w:rsidRDefault="00EE36DE" w:rsidP="00EE36DE">
            <w:pPr>
              <w:ind w:firstLine="0"/>
            </w:pPr>
            <w:r w:rsidRPr="00EE36DE">
              <w:t>5.</w:t>
            </w:r>
          </w:p>
        </w:tc>
        <w:tc>
          <w:tcPr>
            <w:tcW w:w="861" w:type="pct"/>
            <w:tcBorders>
              <w:top w:val="single" w:sz="4" w:space="0" w:color="auto"/>
              <w:left w:val="single" w:sz="4" w:space="0" w:color="auto"/>
              <w:bottom w:val="single" w:sz="4" w:space="0" w:color="auto"/>
              <w:right w:val="single" w:sz="4" w:space="0" w:color="auto"/>
            </w:tcBorders>
            <w:hideMark/>
          </w:tcPr>
          <w:p w14:paraId="06FCD382" w14:textId="77777777" w:rsidR="00EE36DE" w:rsidRPr="00EE36DE" w:rsidRDefault="00EE36DE" w:rsidP="00EE36DE">
            <w:pPr>
              <w:ind w:firstLine="0"/>
            </w:pPr>
            <w:r w:rsidRPr="00EE36DE">
              <w:t>Saugyklos valdikliai</w:t>
            </w:r>
          </w:p>
        </w:tc>
        <w:tc>
          <w:tcPr>
            <w:tcW w:w="2569" w:type="pct"/>
            <w:tcBorders>
              <w:top w:val="single" w:sz="4" w:space="0" w:color="auto"/>
              <w:left w:val="single" w:sz="4" w:space="0" w:color="auto"/>
              <w:bottom w:val="single" w:sz="4" w:space="0" w:color="auto"/>
              <w:right w:val="single" w:sz="4" w:space="0" w:color="auto"/>
            </w:tcBorders>
            <w:hideMark/>
          </w:tcPr>
          <w:p w14:paraId="2C4AD82D" w14:textId="77777777" w:rsidR="00EE36DE" w:rsidRPr="00EE36DE" w:rsidRDefault="00EE36DE" w:rsidP="00EE36DE">
            <w:pPr>
              <w:ind w:firstLine="0"/>
            </w:pPr>
            <w:r w:rsidRPr="00EE36DE">
              <w:t xml:space="preserve">Ne mažiau kaip du vienas kitą dubliuojantys, „karšto keitimo“, „active/active“ arba „dual-active“ tipo valdikliai. Kiekvienas iš valdiklių turi bet kuriuo metu pasiekti visus loginius diskus (LUN) bei juose esančią informaciją. </w:t>
            </w:r>
          </w:p>
          <w:p w14:paraId="4E5407CB" w14:textId="77777777" w:rsidR="00EE36DE" w:rsidRPr="00EE36DE" w:rsidRDefault="00EE36DE" w:rsidP="00EE36DE">
            <w:pPr>
              <w:ind w:firstLine="0"/>
            </w:pPr>
            <w:r w:rsidRPr="00EE36DE">
              <w:t xml:space="preserve">„Active-Passive“ arba „Active-Standby“ tipo architektūros negali būti siūlomos. </w:t>
            </w:r>
          </w:p>
          <w:p w14:paraId="08BBE199" w14:textId="77777777" w:rsidR="00EE36DE" w:rsidRPr="00EE36DE" w:rsidRDefault="00EE36DE" w:rsidP="00EE36DE">
            <w:pPr>
              <w:ind w:firstLine="0"/>
            </w:pPr>
            <w:r w:rsidRPr="00EE36DE">
              <w:t xml:space="preserve">Turi būti galimybė saugyklos valdymo posistemės lygmenyje apjungti ne mažiau kaip 8 valdiklių į vieną telkinį (angl. „cluster“), taip išplečiant saugyklos našumą papildomais operatyvinės atminties, CPU ir tinklo jungčių resursais, padidinant palaikomų diskų kiekį ir bendrą talpą (angl. „Scale-Out Architecture“) </w:t>
            </w:r>
          </w:p>
          <w:p w14:paraId="2ACA5ECF" w14:textId="77777777" w:rsidR="00EE36DE" w:rsidRPr="00EE36DE" w:rsidRDefault="00EE36DE" w:rsidP="00EE36DE">
            <w:pPr>
              <w:ind w:firstLine="0"/>
            </w:pPr>
            <w:r w:rsidRPr="00EE36DE">
              <w:t xml:space="preserve">Ne mažiau kaip 192 GB darbinės atminties tenkančios </w:t>
            </w:r>
            <w:r w:rsidRPr="00EE36DE">
              <w:lastRenderedPageBreak/>
              <w:t>dviems valdikliams. Kiekvienas valdiklis turi turėti ne mažiau kaip 1 aktyvuotą ne lėtesnį kaip 1Gbps Ethernet tipo prievadą, per kurį būtų vykdoma duomenų saugyklos stebėsena bei valdymas.</w:t>
            </w:r>
          </w:p>
          <w:p w14:paraId="30A3F5D4" w14:textId="77777777" w:rsidR="00EE36DE" w:rsidRPr="00EE36DE" w:rsidRDefault="00EE36DE" w:rsidP="00EE36DE">
            <w:pPr>
              <w:ind w:firstLine="0"/>
            </w:pPr>
            <w:r w:rsidRPr="00EE36DE">
              <w:t>Duomenų saugyklos valdiklių vidinę programinę įrangą (angl. „firmware“) pirkėjas turi galėti atsinaujinti pats, be gamintojo techninės pagalbos tarnybos serviso specialistų pagalbos ar leidimo. Vykdant valdiklių vidinės programinės įrangos (angl. „firmware“) atnaujinimus, tarnybinių stočių užklausų aptarnavimas neturi būti sutrikdytas.</w:t>
            </w:r>
          </w:p>
        </w:tc>
        <w:tc>
          <w:tcPr>
            <w:tcW w:w="1246" w:type="pct"/>
            <w:tcBorders>
              <w:top w:val="single" w:sz="4" w:space="0" w:color="auto"/>
              <w:left w:val="single" w:sz="4" w:space="0" w:color="auto"/>
              <w:bottom w:val="single" w:sz="4" w:space="0" w:color="auto"/>
              <w:right w:val="single" w:sz="4" w:space="0" w:color="auto"/>
            </w:tcBorders>
          </w:tcPr>
          <w:p w14:paraId="1D1A9C8F" w14:textId="77777777" w:rsidR="00EE36DE" w:rsidRPr="00EE36DE" w:rsidRDefault="00EE36DE" w:rsidP="00EE36DE">
            <w:pPr>
              <w:ind w:firstLine="0"/>
            </w:pPr>
          </w:p>
        </w:tc>
      </w:tr>
      <w:tr w:rsidR="00EE36DE" w:rsidRPr="00EE36DE" w14:paraId="16F09F46" w14:textId="77777777" w:rsidTr="008C6619">
        <w:trPr>
          <w:trHeight w:val="70"/>
        </w:trPr>
        <w:tc>
          <w:tcPr>
            <w:tcW w:w="324" w:type="pct"/>
            <w:gridSpan w:val="2"/>
            <w:tcBorders>
              <w:top w:val="single" w:sz="4" w:space="0" w:color="auto"/>
              <w:left w:val="single" w:sz="4" w:space="0" w:color="auto"/>
              <w:bottom w:val="single" w:sz="4" w:space="0" w:color="auto"/>
              <w:right w:val="single" w:sz="4" w:space="0" w:color="auto"/>
            </w:tcBorders>
            <w:noWrap/>
            <w:hideMark/>
          </w:tcPr>
          <w:p w14:paraId="6F0B8BA2" w14:textId="77777777" w:rsidR="00EE36DE" w:rsidRPr="00EE36DE" w:rsidRDefault="00EE36DE" w:rsidP="00EE36DE">
            <w:pPr>
              <w:ind w:firstLine="0"/>
            </w:pPr>
            <w:r w:rsidRPr="00EE36DE">
              <w:t>6.</w:t>
            </w:r>
          </w:p>
        </w:tc>
        <w:tc>
          <w:tcPr>
            <w:tcW w:w="861" w:type="pct"/>
            <w:tcBorders>
              <w:top w:val="single" w:sz="4" w:space="0" w:color="auto"/>
              <w:left w:val="single" w:sz="4" w:space="0" w:color="auto"/>
              <w:bottom w:val="single" w:sz="4" w:space="0" w:color="auto"/>
              <w:right w:val="single" w:sz="4" w:space="0" w:color="auto"/>
            </w:tcBorders>
            <w:hideMark/>
          </w:tcPr>
          <w:p w14:paraId="28F8A9F5" w14:textId="77777777" w:rsidR="00EE36DE" w:rsidRPr="00EE36DE" w:rsidRDefault="00EE36DE" w:rsidP="00EE36DE">
            <w:pPr>
              <w:ind w:firstLine="0"/>
            </w:pPr>
            <w:r w:rsidRPr="00EE36DE">
              <w:t>Saugyklos našumas</w:t>
            </w:r>
          </w:p>
        </w:tc>
        <w:tc>
          <w:tcPr>
            <w:tcW w:w="2569" w:type="pct"/>
            <w:tcBorders>
              <w:top w:val="single" w:sz="4" w:space="0" w:color="auto"/>
              <w:left w:val="single" w:sz="4" w:space="0" w:color="auto"/>
              <w:bottom w:val="single" w:sz="4" w:space="0" w:color="auto"/>
              <w:right w:val="single" w:sz="4" w:space="0" w:color="auto"/>
            </w:tcBorders>
            <w:vAlign w:val="center"/>
            <w:hideMark/>
          </w:tcPr>
          <w:p w14:paraId="669CE941" w14:textId="77777777" w:rsidR="00EE36DE" w:rsidRPr="00EE36DE" w:rsidRDefault="00EE36DE" w:rsidP="00EE36DE">
            <w:pPr>
              <w:ind w:firstLine="0"/>
            </w:pPr>
            <w:r w:rsidRPr="00EE36DE">
              <w:t>Siūlomos saugyklos konfigūracijoje gamintojo deklaruojamas operacijų per sekundę rezultatas (IOPS) – ne mažiau kaip 70‘000, neviršijant 0.7 ms atsako laiko, maksimalus deklaruojamas operacijų per sekundę rezultatas (IOPS) – ne mažiau kaip 95‘000.</w:t>
            </w:r>
          </w:p>
          <w:p w14:paraId="2CAD46DE" w14:textId="77777777" w:rsidR="00EE36DE" w:rsidRPr="00EE36DE" w:rsidRDefault="00EE36DE" w:rsidP="00EE36DE">
            <w:pPr>
              <w:ind w:firstLine="0"/>
            </w:pPr>
            <w:r w:rsidRPr="00EE36DE">
              <w:t xml:space="preserve">Pasiekiama prie šių sąlygų: </w:t>
            </w:r>
          </w:p>
          <w:p w14:paraId="0E848DD7" w14:textId="77777777" w:rsidR="00EE36DE" w:rsidRPr="00EE36DE" w:rsidRDefault="00EE36DE" w:rsidP="00EE36DE">
            <w:pPr>
              <w:ind w:firstLine="0"/>
            </w:pPr>
            <w:r w:rsidRPr="00EE36DE">
              <w:t>●</w:t>
            </w:r>
            <w:r w:rsidRPr="00EE36DE">
              <w:tab/>
              <w:t>„Random“ tipo apkrova</w:t>
            </w:r>
          </w:p>
          <w:p w14:paraId="0E4226C2" w14:textId="77777777" w:rsidR="00EE36DE" w:rsidRPr="00EE36DE" w:rsidRDefault="00EE36DE" w:rsidP="00EE36DE">
            <w:pPr>
              <w:ind w:firstLine="0"/>
            </w:pPr>
            <w:r w:rsidRPr="00EE36DE">
              <w:t>●</w:t>
            </w:r>
            <w:r w:rsidRPr="00EE36DE">
              <w:tab/>
              <w:t>prie 8KB bloko skaitymui bei rašymui</w:t>
            </w:r>
          </w:p>
          <w:p w14:paraId="1AD5960E" w14:textId="77777777" w:rsidR="00EE36DE" w:rsidRPr="00EE36DE" w:rsidRDefault="00EE36DE" w:rsidP="00EE36DE">
            <w:pPr>
              <w:ind w:firstLine="0"/>
            </w:pPr>
            <w:r w:rsidRPr="00EE36DE">
              <w:t>●</w:t>
            </w:r>
            <w:r w:rsidRPr="00EE36DE">
              <w:tab/>
              <w:t xml:space="preserve">70/30 skaitymo/rašymo santykis, </w:t>
            </w:r>
          </w:p>
          <w:p w14:paraId="0EEA45B2" w14:textId="77777777" w:rsidR="00EE36DE" w:rsidRPr="00EE36DE" w:rsidRDefault="00EE36DE" w:rsidP="00EE36DE">
            <w:pPr>
              <w:ind w:firstLine="0"/>
            </w:pPr>
            <w:r w:rsidRPr="00EE36DE">
              <w:t>●</w:t>
            </w:r>
            <w:r w:rsidRPr="00EE36DE">
              <w:tab/>
              <w:t>naudojant įjungtas realaus laiko duomenų optimizavimo priemones (tiek duomenų suspaudimą, tiek išdubliavimą maksimaliu efektyvumu)</w:t>
            </w:r>
          </w:p>
          <w:p w14:paraId="4C807064" w14:textId="77777777" w:rsidR="00EE36DE" w:rsidRPr="00EE36DE" w:rsidRDefault="00EE36DE" w:rsidP="00EE36DE">
            <w:pPr>
              <w:ind w:firstLine="0"/>
            </w:pPr>
            <w:r w:rsidRPr="00EE36DE">
              <w:t>●</w:t>
            </w:r>
            <w:r w:rsidRPr="00EE36DE">
              <w:tab/>
              <w:t xml:space="preserve">naudojant „Thin LUN“ tipo virtualius diskus, </w:t>
            </w:r>
          </w:p>
          <w:p w14:paraId="7664850A" w14:textId="77777777" w:rsidR="00EE36DE" w:rsidRPr="00EE36DE" w:rsidRDefault="00EE36DE" w:rsidP="00EE36DE">
            <w:pPr>
              <w:ind w:firstLine="0"/>
            </w:pPr>
            <w:r w:rsidRPr="00EE36DE">
              <w:t>●</w:t>
            </w:r>
            <w:r w:rsidRPr="00EE36DE">
              <w:tab/>
              <w:t>nenaudojant spartinančiosios atminties poveikio (angl. „0% cache read/write“).</w:t>
            </w:r>
          </w:p>
          <w:p w14:paraId="0950D33D" w14:textId="77777777" w:rsidR="00EE36DE" w:rsidRPr="00EE36DE" w:rsidRDefault="00EE36DE" w:rsidP="00EE36DE">
            <w:pPr>
              <w:ind w:firstLine="0"/>
            </w:pPr>
            <w:r w:rsidRPr="00EE36DE">
              <w:t>Turi būti pateiktas gamintojo įrankiais sugeneruotas ir gamintojo atstovo pasirašytas dokumentas, kuriame būtų nurodyti siūlomos saugyklos modelio įvardinti našumo dydžiai.</w:t>
            </w:r>
          </w:p>
        </w:tc>
        <w:tc>
          <w:tcPr>
            <w:tcW w:w="1246" w:type="pct"/>
            <w:tcBorders>
              <w:top w:val="single" w:sz="4" w:space="0" w:color="auto"/>
              <w:left w:val="single" w:sz="4" w:space="0" w:color="auto"/>
              <w:bottom w:val="single" w:sz="4" w:space="0" w:color="auto"/>
              <w:right w:val="single" w:sz="4" w:space="0" w:color="auto"/>
            </w:tcBorders>
          </w:tcPr>
          <w:p w14:paraId="7CC46F59" w14:textId="77777777" w:rsidR="00EE36DE" w:rsidRPr="00EE36DE" w:rsidRDefault="00EE36DE" w:rsidP="00EE36DE">
            <w:pPr>
              <w:ind w:firstLine="0"/>
            </w:pPr>
          </w:p>
        </w:tc>
      </w:tr>
      <w:tr w:rsidR="00EE36DE" w:rsidRPr="00EE36DE" w14:paraId="294F6565" w14:textId="77777777">
        <w:trPr>
          <w:trHeight w:val="809"/>
        </w:trPr>
        <w:tc>
          <w:tcPr>
            <w:tcW w:w="324" w:type="pct"/>
            <w:gridSpan w:val="2"/>
            <w:tcBorders>
              <w:top w:val="single" w:sz="4" w:space="0" w:color="auto"/>
              <w:left w:val="single" w:sz="4" w:space="0" w:color="auto"/>
              <w:bottom w:val="single" w:sz="4" w:space="0" w:color="auto"/>
              <w:right w:val="single" w:sz="4" w:space="0" w:color="auto"/>
            </w:tcBorders>
            <w:noWrap/>
            <w:hideMark/>
          </w:tcPr>
          <w:p w14:paraId="281AF050" w14:textId="77777777" w:rsidR="00EE36DE" w:rsidRPr="00EE36DE" w:rsidRDefault="00EE36DE" w:rsidP="00EE36DE">
            <w:pPr>
              <w:ind w:firstLine="0"/>
            </w:pPr>
            <w:r w:rsidRPr="00EE36DE">
              <w:t>7.</w:t>
            </w:r>
          </w:p>
        </w:tc>
        <w:tc>
          <w:tcPr>
            <w:tcW w:w="861" w:type="pct"/>
            <w:tcBorders>
              <w:top w:val="single" w:sz="4" w:space="0" w:color="auto"/>
              <w:left w:val="single" w:sz="4" w:space="0" w:color="auto"/>
              <w:bottom w:val="single" w:sz="4" w:space="0" w:color="auto"/>
              <w:right w:val="single" w:sz="4" w:space="0" w:color="auto"/>
            </w:tcBorders>
            <w:hideMark/>
          </w:tcPr>
          <w:p w14:paraId="2C81E32A" w14:textId="77777777" w:rsidR="00EE36DE" w:rsidRPr="00EE36DE" w:rsidRDefault="00EE36DE" w:rsidP="00EE36DE">
            <w:pPr>
              <w:ind w:firstLine="0"/>
            </w:pPr>
            <w:r w:rsidRPr="00EE36DE">
              <w:t>Palaikomi protokolai</w:t>
            </w:r>
          </w:p>
        </w:tc>
        <w:tc>
          <w:tcPr>
            <w:tcW w:w="2569" w:type="pct"/>
            <w:tcBorders>
              <w:top w:val="single" w:sz="4" w:space="0" w:color="auto"/>
              <w:left w:val="single" w:sz="4" w:space="0" w:color="auto"/>
              <w:bottom w:val="single" w:sz="4" w:space="0" w:color="auto"/>
              <w:right w:val="single" w:sz="4" w:space="0" w:color="auto"/>
            </w:tcBorders>
            <w:hideMark/>
          </w:tcPr>
          <w:p w14:paraId="0DF47B48" w14:textId="77777777" w:rsidR="00EE36DE" w:rsidRPr="00EE36DE" w:rsidRDefault="00EE36DE" w:rsidP="00EE36DE">
            <w:pPr>
              <w:ind w:firstLine="0"/>
            </w:pPr>
            <w:r w:rsidRPr="00EE36DE">
              <w:t>Turi palaikyti SAN bei vVOL (min 2.0)  FC, iSCSI, NVME protokolus bei NAS NFSv4, SMB 3.0, FTP ir SFTP protokolus.</w:t>
            </w:r>
          </w:p>
        </w:tc>
        <w:tc>
          <w:tcPr>
            <w:tcW w:w="1246" w:type="pct"/>
            <w:tcBorders>
              <w:top w:val="single" w:sz="4" w:space="0" w:color="auto"/>
              <w:left w:val="single" w:sz="4" w:space="0" w:color="auto"/>
              <w:bottom w:val="single" w:sz="4" w:space="0" w:color="auto"/>
              <w:right w:val="single" w:sz="4" w:space="0" w:color="auto"/>
            </w:tcBorders>
          </w:tcPr>
          <w:p w14:paraId="772A3565" w14:textId="77777777" w:rsidR="00EE36DE" w:rsidRPr="00EE36DE" w:rsidRDefault="00EE36DE" w:rsidP="00EE36DE">
            <w:pPr>
              <w:ind w:firstLine="0"/>
            </w:pPr>
          </w:p>
        </w:tc>
      </w:tr>
      <w:tr w:rsidR="00EE36DE" w:rsidRPr="00EE36DE" w14:paraId="755871BA" w14:textId="77777777">
        <w:trPr>
          <w:trHeight w:val="971"/>
        </w:trPr>
        <w:tc>
          <w:tcPr>
            <w:tcW w:w="324" w:type="pct"/>
            <w:gridSpan w:val="2"/>
            <w:tcBorders>
              <w:top w:val="single" w:sz="4" w:space="0" w:color="auto"/>
              <w:left w:val="single" w:sz="4" w:space="0" w:color="auto"/>
              <w:bottom w:val="single" w:sz="4" w:space="0" w:color="auto"/>
              <w:right w:val="single" w:sz="4" w:space="0" w:color="auto"/>
            </w:tcBorders>
            <w:noWrap/>
          </w:tcPr>
          <w:p w14:paraId="65F1975A" w14:textId="7D4BED56" w:rsidR="00EE36DE" w:rsidRPr="00EE36DE" w:rsidRDefault="00EE36DE" w:rsidP="00EE36DE">
            <w:pPr>
              <w:ind w:firstLine="0"/>
            </w:pPr>
            <w:r>
              <w:t>8.</w:t>
            </w:r>
          </w:p>
        </w:tc>
        <w:tc>
          <w:tcPr>
            <w:tcW w:w="861" w:type="pct"/>
            <w:tcBorders>
              <w:top w:val="single" w:sz="4" w:space="0" w:color="auto"/>
              <w:left w:val="single" w:sz="4" w:space="0" w:color="auto"/>
              <w:bottom w:val="single" w:sz="4" w:space="0" w:color="auto"/>
              <w:right w:val="single" w:sz="4" w:space="0" w:color="auto"/>
            </w:tcBorders>
            <w:hideMark/>
          </w:tcPr>
          <w:p w14:paraId="0048325D" w14:textId="77777777" w:rsidR="00EE36DE" w:rsidRPr="00EE36DE" w:rsidRDefault="00EE36DE" w:rsidP="00EE36DE">
            <w:pPr>
              <w:ind w:firstLine="0"/>
            </w:pPr>
            <w:r w:rsidRPr="00EE36DE">
              <w:t>Saugyklos talpa</w:t>
            </w:r>
          </w:p>
        </w:tc>
        <w:tc>
          <w:tcPr>
            <w:tcW w:w="2569" w:type="pct"/>
            <w:tcBorders>
              <w:top w:val="single" w:sz="4" w:space="0" w:color="auto"/>
              <w:left w:val="single" w:sz="4" w:space="0" w:color="auto"/>
              <w:bottom w:val="single" w:sz="4" w:space="0" w:color="auto"/>
              <w:right w:val="single" w:sz="4" w:space="0" w:color="auto"/>
            </w:tcBorders>
            <w:hideMark/>
          </w:tcPr>
          <w:p w14:paraId="6CC0C504" w14:textId="77777777" w:rsidR="00EE36DE" w:rsidRPr="00EE36DE" w:rsidRDefault="00EE36DE" w:rsidP="00EE36DE">
            <w:pPr>
              <w:ind w:firstLine="0"/>
            </w:pPr>
            <w:r w:rsidRPr="00EE36DE">
              <w:t xml:space="preserve">Saugykla turi būti komplektuojama su ne mažiau kaip 13 vnt (ne mažiau 1.92 TB kiekviena laikmena) SSD karšto keitimo tipo laikmenomis, apjungtomis į aparatinį Raid-6 masyvą. Efektyvi  (effective) saugyklos talpa – ne mažiau kaip 85 TB (naudojant ne prastesnės kaip NVME technologijos diskus), naudojant duomenų kompresijos, spaudimo ar deduplikacijos technologijas. </w:t>
            </w:r>
          </w:p>
          <w:p w14:paraId="3A53233D" w14:textId="77777777" w:rsidR="00EE36DE" w:rsidRPr="00EE36DE" w:rsidRDefault="00EE36DE" w:rsidP="00EE36DE">
            <w:pPr>
              <w:ind w:firstLine="0"/>
            </w:pPr>
            <w:r w:rsidRPr="00EE36DE">
              <w:t>Naudingos talpos skaičiavimui ir įvertinimui turi būti taikomos taisyklės:</w:t>
            </w:r>
          </w:p>
          <w:p w14:paraId="227BBBE5" w14:textId="77777777" w:rsidR="00EE36DE" w:rsidRPr="00EE36DE" w:rsidRDefault="00EE36DE" w:rsidP="00EE36DE">
            <w:pPr>
              <w:ind w:firstLine="0"/>
            </w:pPr>
            <w:r w:rsidRPr="00EE36DE">
              <w:t>● ši talpa turi būti apsaugota nuo bet kurių dviejų diskų gedimo;</w:t>
            </w:r>
          </w:p>
          <w:p w14:paraId="7FE406C5" w14:textId="77777777" w:rsidR="00EE36DE" w:rsidRPr="00EE36DE" w:rsidRDefault="00EE36DE" w:rsidP="00EE36DE">
            <w:pPr>
              <w:ind w:firstLine="0"/>
            </w:pPr>
            <w:r w:rsidRPr="00EE36DE">
              <w:t>● ši talpa skirta tik vartotojo reikmėms;</w:t>
            </w:r>
          </w:p>
          <w:p w14:paraId="69E4B7D0" w14:textId="77777777" w:rsidR="00EE36DE" w:rsidRPr="00EE36DE" w:rsidRDefault="00EE36DE" w:rsidP="00EE36DE">
            <w:pPr>
              <w:ind w:firstLine="0"/>
            </w:pPr>
            <w:r w:rsidRPr="00EE36DE">
              <w:t>● atsarginė erdvė („spare space“) ir RAID „parity“ erdvė turi būti sukonfigūruoti pagal gamintojo gerąsias praktikas („best practice“) ir neįskaičiuoti į naudingą talpą. Tam neturi būti naudojamas atskiras diskas, o naudojama atitinkama rezervuota visų diskų talpos dalis.</w:t>
            </w:r>
          </w:p>
          <w:p w14:paraId="066C9755" w14:textId="77777777" w:rsidR="00EE36DE" w:rsidRPr="00EE36DE" w:rsidRDefault="00EE36DE" w:rsidP="00EE36DE">
            <w:pPr>
              <w:ind w:firstLine="0"/>
            </w:pPr>
            <w:r w:rsidRPr="00EE36DE">
              <w:t>● Visi siūlomi diskai turi būti identiški.</w:t>
            </w:r>
          </w:p>
          <w:p w14:paraId="0EF65985" w14:textId="77777777" w:rsidR="00EE36DE" w:rsidRPr="00EE36DE" w:rsidRDefault="00EE36DE" w:rsidP="00EE36DE">
            <w:pPr>
              <w:ind w:firstLine="0"/>
            </w:pPr>
            <w:r w:rsidRPr="00EE36DE">
              <w:t xml:space="preserve">Saugyklos duomenų suglaudinimas ir jo efektyvumas efektyvios talpos skaičiavimui turi būti garantuojamas įrangos gamintojo įsipareigojimu. Duomenų suglaudinimo įsipareigojimas turi galioti nereikalaujant jokių išankstinių perkančiosios organizacijos duomenų patikrinimų. Kartu su pasiūlymu, anglų arba lietuvių kalba, turi būti pateiktas gamintojo įsipareigojimą patvirtinantis dokumentas, kuriame tiksliai nurodomi duomenų suglaudinimo įsipareigojimai ir numatytos priemonės šių įsipareigojimų užtikrinimui. Jeigu siūlomos saugyklos gamintojas neturi tokių garantinių įsipaireigojimų, tiekėjas turi pasiūlyti 85 TB naudingos </w:t>
            </w:r>
            <w:r w:rsidRPr="00EE36DE">
              <w:lastRenderedPageBreak/>
              <w:t>(usable) talpos.</w:t>
            </w:r>
          </w:p>
          <w:p w14:paraId="1BD4FB4A" w14:textId="77777777" w:rsidR="00EE36DE" w:rsidRPr="00EE36DE" w:rsidRDefault="00EE36DE" w:rsidP="00EE36DE">
            <w:pPr>
              <w:ind w:firstLine="0"/>
            </w:pPr>
            <w:r w:rsidRPr="00EE36DE">
              <w:t xml:space="preserve">Turi būti galimybė naudoti NVMe ir SSD tipo diskus viename duomenų saugyklų telkinyje (angl. „cluster“). </w:t>
            </w:r>
          </w:p>
          <w:p w14:paraId="54B913A8" w14:textId="77777777" w:rsidR="00EE36DE" w:rsidRPr="00EE36DE" w:rsidRDefault="00EE36DE" w:rsidP="00EE36DE">
            <w:pPr>
              <w:ind w:firstLine="0"/>
            </w:pPr>
            <w:r w:rsidRPr="00EE36DE">
              <w:t>Jei saugyklos licencijavimo modelis reikalauja licencijuoti saugyklos talpą – turi būti pateiktos talpos licencijos maksimaliai galimai saugyklos talpai.</w:t>
            </w:r>
          </w:p>
        </w:tc>
        <w:tc>
          <w:tcPr>
            <w:tcW w:w="1246" w:type="pct"/>
            <w:tcBorders>
              <w:top w:val="single" w:sz="4" w:space="0" w:color="auto"/>
              <w:left w:val="single" w:sz="4" w:space="0" w:color="auto"/>
              <w:bottom w:val="single" w:sz="4" w:space="0" w:color="auto"/>
              <w:right w:val="single" w:sz="4" w:space="0" w:color="auto"/>
            </w:tcBorders>
          </w:tcPr>
          <w:p w14:paraId="5B3402B3" w14:textId="77777777" w:rsidR="00EE36DE" w:rsidRPr="00EE36DE" w:rsidRDefault="00EE36DE" w:rsidP="00EE36DE">
            <w:pPr>
              <w:ind w:firstLine="0"/>
            </w:pPr>
          </w:p>
        </w:tc>
      </w:tr>
      <w:tr w:rsidR="00EE36DE" w:rsidRPr="00EE36DE" w14:paraId="3E4FAEE2"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5D0FF191" w14:textId="7353902D" w:rsidR="00EE36DE" w:rsidRPr="00EE36DE" w:rsidRDefault="00EE36DE" w:rsidP="00EE36DE">
            <w:pPr>
              <w:ind w:firstLine="0"/>
            </w:pPr>
            <w:r w:rsidRPr="00EE36DE">
              <w:t>9.</w:t>
            </w:r>
          </w:p>
        </w:tc>
        <w:tc>
          <w:tcPr>
            <w:tcW w:w="861" w:type="pct"/>
            <w:tcBorders>
              <w:top w:val="single" w:sz="4" w:space="0" w:color="auto"/>
              <w:left w:val="single" w:sz="4" w:space="0" w:color="auto"/>
              <w:bottom w:val="single" w:sz="4" w:space="0" w:color="auto"/>
              <w:right w:val="single" w:sz="4" w:space="0" w:color="auto"/>
            </w:tcBorders>
            <w:hideMark/>
          </w:tcPr>
          <w:p w14:paraId="47B33166" w14:textId="77777777" w:rsidR="00EE36DE" w:rsidRPr="00EE36DE" w:rsidRDefault="00EE36DE" w:rsidP="00EE36DE">
            <w:pPr>
              <w:ind w:firstLine="0"/>
            </w:pPr>
            <w:r w:rsidRPr="00EE36DE">
              <w:t>Efektyvaus talpos panaudojimo funkcijos</w:t>
            </w:r>
          </w:p>
        </w:tc>
        <w:tc>
          <w:tcPr>
            <w:tcW w:w="2569" w:type="pct"/>
            <w:tcBorders>
              <w:top w:val="single" w:sz="4" w:space="0" w:color="auto"/>
              <w:left w:val="single" w:sz="4" w:space="0" w:color="auto"/>
              <w:bottom w:val="single" w:sz="4" w:space="0" w:color="auto"/>
              <w:right w:val="single" w:sz="4" w:space="0" w:color="auto"/>
            </w:tcBorders>
            <w:vAlign w:val="center"/>
            <w:hideMark/>
          </w:tcPr>
          <w:p w14:paraId="407AFB35" w14:textId="77777777" w:rsidR="00EE36DE" w:rsidRPr="00EE36DE" w:rsidRDefault="00EE36DE" w:rsidP="00EE36DE">
            <w:pPr>
              <w:ind w:firstLine="0"/>
            </w:pPr>
            <w:r w:rsidRPr="00EE36DE">
              <w:t xml:space="preserve">Duomenų saugyklos įranga turi turėti galimybę ir pilnai licencijuota kurti LUN, didesnius nei yra esama fizinė talpyklos vieta, dalintis nepanaudota disko vieta tarp diskų ir LUN (angl. „Thin provisioning“). </w:t>
            </w:r>
          </w:p>
          <w:p w14:paraId="49040256" w14:textId="77777777" w:rsidR="00EE36DE" w:rsidRPr="00EE36DE" w:rsidRDefault="00EE36DE" w:rsidP="00EE36DE">
            <w:pPr>
              <w:ind w:firstLine="0"/>
            </w:pPr>
            <w:r w:rsidRPr="00EE36DE">
              <w:t>Turi būti pateikta efektyvaus talpos panaudojimo funkcijos licencija visai pasiūlytai saugyklos talpai.</w:t>
            </w:r>
          </w:p>
          <w:p w14:paraId="39DA6E2A" w14:textId="77777777" w:rsidR="00EE36DE" w:rsidRPr="00EE36DE" w:rsidRDefault="00EE36DE" w:rsidP="00EE36DE">
            <w:pPr>
              <w:ind w:firstLine="0"/>
            </w:pPr>
            <w:r w:rsidRPr="00EE36DE">
              <w:t>Turi palaikyti realaus laiko suspaudimo (angl. „Inline compression“) bei realaus laiko besikartojančių blokų eliminavimo (angl. „Inline Deduplication“) algoritmus NAS ir SAN duomenims.</w:t>
            </w:r>
          </w:p>
          <w:p w14:paraId="0BC121B2" w14:textId="77777777" w:rsidR="00EE36DE" w:rsidRPr="00EE36DE" w:rsidRDefault="00EE36DE" w:rsidP="00EE36DE">
            <w:pPr>
              <w:ind w:firstLine="0"/>
            </w:pPr>
            <w:r w:rsidRPr="00EE36DE">
              <w:t>Duomenų suspaudimo (kompresijos) užtikrinimui saugykla turi turėti atskirą vidinį aparatinį komponentą, kurio pagalba atliekant suspaudimą nebūtų naudojamas centrinių saugyklos procesorių (CPU) resursai.</w:t>
            </w:r>
          </w:p>
        </w:tc>
        <w:tc>
          <w:tcPr>
            <w:tcW w:w="1246" w:type="pct"/>
            <w:tcBorders>
              <w:top w:val="single" w:sz="4" w:space="0" w:color="auto"/>
              <w:left w:val="single" w:sz="4" w:space="0" w:color="auto"/>
              <w:bottom w:val="single" w:sz="4" w:space="0" w:color="auto"/>
              <w:right w:val="single" w:sz="4" w:space="0" w:color="auto"/>
            </w:tcBorders>
          </w:tcPr>
          <w:p w14:paraId="0B365460" w14:textId="77777777" w:rsidR="00EE36DE" w:rsidRPr="00EE36DE" w:rsidRDefault="00EE36DE" w:rsidP="00EE36DE">
            <w:pPr>
              <w:ind w:firstLine="0"/>
            </w:pPr>
          </w:p>
        </w:tc>
      </w:tr>
      <w:tr w:rsidR="00EE36DE" w:rsidRPr="00EE36DE" w14:paraId="430D4E6E" w14:textId="77777777">
        <w:trPr>
          <w:trHeight w:val="674"/>
        </w:trPr>
        <w:tc>
          <w:tcPr>
            <w:tcW w:w="324" w:type="pct"/>
            <w:gridSpan w:val="2"/>
            <w:tcBorders>
              <w:top w:val="single" w:sz="4" w:space="0" w:color="auto"/>
              <w:left w:val="single" w:sz="4" w:space="0" w:color="auto"/>
              <w:bottom w:val="single" w:sz="4" w:space="0" w:color="auto"/>
              <w:right w:val="single" w:sz="4" w:space="0" w:color="auto"/>
            </w:tcBorders>
            <w:noWrap/>
            <w:hideMark/>
          </w:tcPr>
          <w:p w14:paraId="11F4DCEF" w14:textId="0E03823F" w:rsidR="00EE36DE" w:rsidRPr="00EE36DE" w:rsidRDefault="00EE36DE" w:rsidP="00EE36DE">
            <w:pPr>
              <w:ind w:firstLine="0"/>
            </w:pPr>
            <w:r w:rsidRPr="00EE36DE">
              <w:t>10.</w:t>
            </w:r>
          </w:p>
        </w:tc>
        <w:tc>
          <w:tcPr>
            <w:tcW w:w="861" w:type="pct"/>
            <w:tcBorders>
              <w:top w:val="single" w:sz="4" w:space="0" w:color="auto"/>
              <w:left w:val="single" w:sz="4" w:space="0" w:color="auto"/>
              <w:bottom w:val="single" w:sz="4" w:space="0" w:color="auto"/>
              <w:right w:val="single" w:sz="4" w:space="0" w:color="auto"/>
            </w:tcBorders>
            <w:hideMark/>
          </w:tcPr>
          <w:p w14:paraId="79CC8594" w14:textId="77777777" w:rsidR="00EE36DE" w:rsidRPr="00EE36DE" w:rsidRDefault="00EE36DE" w:rsidP="00EE36DE">
            <w:pPr>
              <w:ind w:firstLine="0"/>
            </w:pPr>
            <w:r w:rsidRPr="00EE36DE">
              <w:t>Sąsajos pajungimui</w:t>
            </w:r>
          </w:p>
        </w:tc>
        <w:tc>
          <w:tcPr>
            <w:tcW w:w="2569" w:type="pct"/>
            <w:tcBorders>
              <w:top w:val="single" w:sz="4" w:space="0" w:color="auto"/>
              <w:left w:val="single" w:sz="4" w:space="0" w:color="auto"/>
              <w:bottom w:val="single" w:sz="4" w:space="0" w:color="auto"/>
              <w:right w:val="single" w:sz="4" w:space="0" w:color="auto"/>
            </w:tcBorders>
            <w:hideMark/>
          </w:tcPr>
          <w:p w14:paraId="362D66EB" w14:textId="77777777" w:rsidR="00EE36DE" w:rsidRPr="00EE36DE" w:rsidRDefault="00EE36DE" w:rsidP="00EE36DE">
            <w:pPr>
              <w:ind w:firstLine="0"/>
            </w:pPr>
            <w:r w:rsidRPr="00EE36DE">
              <w:t>Turi būti pateikta ne mažiau kaip 8 vnt. 10/25 Gbit Ethernet sąsajų ir 8 vnt. 32GB FC sąsajų.</w:t>
            </w:r>
          </w:p>
        </w:tc>
        <w:tc>
          <w:tcPr>
            <w:tcW w:w="1246" w:type="pct"/>
            <w:tcBorders>
              <w:top w:val="single" w:sz="4" w:space="0" w:color="auto"/>
              <w:left w:val="single" w:sz="4" w:space="0" w:color="auto"/>
              <w:bottom w:val="single" w:sz="4" w:space="0" w:color="auto"/>
              <w:right w:val="single" w:sz="4" w:space="0" w:color="auto"/>
            </w:tcBorders>
          </w:tcPr>
          <w:p w14:paraId="06D20B6F" w14:textId="77777777" w:rsidR="00EE36DE" w:rsidRPr="00EE36DE" w:rsidRDefault="00EE36DE" w:rsidP="00EE36DE">
            <w:pPr>
              <w:ind w:firstLine="0"/>
            </w:pPr>
          </w:p>
        </w:tc>
      </w:tr>
      <w:tr w:rsidR="00EE36DE" w:rsidRPr="00EE36DE" w14:paraId="1A53EC1C"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7086B922" w14:textId="549460CA" w:rsidR="00EE36DE" w:rsidRPr="00EE36DE" w:rsidRDefault="00EE36DE" w:rsidP="00EE36DE">
            <w:pPr>
              <w:ind w:firstLine="0"/>
            </w:pPr>
            <w:r w:rsidRPr="00EE36DE">
              <w:t>11.</w:t>
            </w:r>
          </w:p>
        </w:tc>
        <w:tc>
          <w:tcPr>
            <w:tcW w:w="861" w:type="pct"/>
            <w:tcBorders>
              <w:top w:val="single" w:sz="4" w:space="0" w:color="auto"/>
              <w:left w:val="single" w:sz="4" w:space="0" w:color="auto"/>
              <w:bottom w:val="single" w:sz="4" w:space="0" w:color="auto"/>
              <w:right w:val="single" w:sz="4" w:space="0" w:color="auto"/>
            </w:tcBorders>
            <w:hideMark/>
          </w:tcPr>
          <w:p w14:paraId="7B79521F" w14:textId="77777777" w:rsidR="00EE36DE" w:rsidRPr="00EE36DE" w:rsidRDefault="00EE36DE" w:rsidP="00EE36DE">
            <w:pPr>
              <w:ind w:firstLine="0"/>
            </w:pPr>
            <w:r w:rsidRPr="00EE36DE">
              <w:t>Momentinės kopijos (angl. Snapshots)</w:t>
            </w:r>
          </w:p>
        </w:tc>
        <w:tc>
          <w:tcPr>
            <w:tcW w:w="2569" w:type="pct"/>
            <w:tcBorders>
              <w:top w:val="single" w:sz="4" w:space="0" w:color="auto"/>
              <w:left w:val="single" w:sz="4" w:space="0" w:color="auto"/>
              <w:bottom w:val="single" w:sz="4" w:space="0" w:color="auto"/>
              <w:right w:val="single" w:sz="4" w:space="0" w:color="auto"/>
            </w:tcBorders>
            <w:hideMark/>
          </w:tcPr>
          <w:p w14:paraId="78506A5E" w14:textId="77777777" w:rsidR="00EE36DE" w:rsidRPr="00EE36DE" w:rsidRDefault="00EE36DE" w:rsidP="00EE36DE">
            <w:pPr>
              <w:ind w:firstLine="0"/>
            </w:pPr>
            <w:r w:rsidRPr="00EE36DE">
              <w:t>Turi užtikrinti momentinių duomenų kopijų (angl. „Snapshots“), sukurtų ORACLE DB, Microsoft SQL bei VMware vSphere duomenims suderinamumą (angl. „consistency“), t. y. išlaikančių duomenų loginį integralumą su taikomosiomis programomis, kūrimą ir atstatymą visai pateikiamai saugyklos talpai.</w:t>
            </w:r>
          </w:p>
          <w:p w14:paraId="400D82C6" w14:textId="77777777" w:rsidR="00EE36DE" w:rsidRPr="00EE36DE" w:rsidRDefault="00EE36DE" w:rsidP="00EE36DE">
            <w:pPr>
              <w:ind w:firstLine="0"/>
            </w:pPr>
            <w:r w:rsidRPr="00EE36DE">
              <w:t>Turi būti galima tokias kopijas atlikti pagal iš anksto nustatytą tvarkaraštį.</w:t>
            </w:r>
          </w:p>
          <w:p w14:paraId="615EABB0" w14:textId="77777777" w:rsidR="00EE36DE" w:rsidRPr="00EE36DE" w:rsidRDefault="00EE36DE" w:rsidP="00EE36DE">
            <w:pPr>
              <w:ind w:firstLine="0"/>
            </w:pPr>
            <w:r w:rsidRPr="00EE36DE">
              <w:t xml:space="preserve">Turi būti užtikrintas funkcionalumas atlikti momentinį loginių diskų užfiksavimą neatliekant pilnos duomenų kopijos, o išsaugant tik duomenų pokyčius. Momentinės kopijos turi būti kuriamos taip, kad visi duomenų pokyčiai ir nauji duomenys būtų rašomi į naują laisvą vietą atnaujinant metaduomenų nuorodą (angl. „redirect on write“). </w:t>
            </w:r>
          </w:p>
          <w:p w14:paraId="07ED5CE7" w14:textId="77777777" w:rsidR="00EE36DE" w:rsidRPr="00EE36DE" w:rsidRDefault="00EE36DE" w:rsidP="00EE36DE">
            <w:pPr>
              <w:ind w:firstLine="0"/>
            </w:pPr>
            <w:r w:rsidRPr="00EE36DE">
              <w:t>Turi būti galima atlikti ne mažiau kaip 50000 momentinių kopijų.</w:t>
            </w:r>
          </w:p>
        </w:tc>
        <w:tc>
          <w:tcPr>
            <w:tcW w:w="1246" w:type="pct"/>
            <w:tcBorders>
              <w:top w:val="single" w:sz="4" w:space="0" w:color="auto"/>
              <w:left w:val="single" w:sz="4" w:space="0" w:color="auto"/>
              <w:bottom w:val="single" w:sz="4" w:space="0" w:color="auto"/>
              <w:right w:val="single" w:sz="4" w:space="0" w:color="auto"/>
            </w:tcBorders>
          </w:tcPr>
          <w:p w14:paraId="3811B4DA" w14:textId="77777777" w:rsidR="00EE36DE" w:rsidRPr="00EE36DE" w:rsidRDefault="00EE36DE" w:rsidP="00EE36DE">
            <w:pPr>
              <w:ind w:firstLine="0"/>
            </w:pPr>
          </w:p>
        </w:tc>
      </w:tr>
      <w:tr w:rsidR="00EE36DE" w:rsidRPr="00EE36DE" w14:paraId="5F5BE088" w14:textId="77777777">
        <w:trPr>
          <w:trHeight w:val="791"/>
        </w:trPr>
        <w:tc>
          <w:tcPr>
            <w:tcW w:w="324" w:type="pct"/>
            <w:gridSpan w:val="2"/>
            <w:tcBorders>
              <w:top w:val="single" w:sz="4" w:space="0" w:color="auto"/>
              <w:left w:val="single" w:sz="4" w:space="0" w:color="auto"/>
              <w:bottom w:val="single" w:sz="4" w:space="0" w:color="auto"/>
              <w:right w:val="single" w:sz="4" w:space="0" w:color="auto"/>
            </w:tcBorders>
            <w:noWrap/>
            <w:hideMark/>
          </w:tcPr>
          <w:p w14:paraId="2095AAA4" w14:textId="72F8680A" w:rsidR="00EE36DE" w:rsidRPr="00EE36DE" w:rsidRDefault="00EE36DE" w:rsidP="00EE36DE">
            <w:pPr>
              <w:ind w:firstLine="0"/>
            </w:pPr>
            <w:r w:rsidRPr="00EE36DE">
              <w:t>12.</w:t>
            </w:r>
          </w:p>
        </w:tc>
        <w:tc>
          <w:tcPr>
            <w:tcW w:w="861" w:type="pct"/>
            <w:tcBorders>
              <w:top w:val="single" w:sz="4" w:space="0" w:color="auto"/>
              <w:left w:val="single" w:sz="4" w:space="0" w:color="auto"/>
              <w:bottom w:val="single" w:sz="4" w:space="0" w:color="auto"/>
              <w:right w:val="single" w:sz="4" w:space="0" w:color="auto"/>
            </w:tcBorders>
            <w:hideMark/>
          </w:tcPr>
          <w:p w14:paraId="28C01F76" w14:textId="77777777" w:rsidR="00EE36DE" w:rsidRPr="00EE36DE" w:rsidRDefault="00EE36DE" w:rsidP="00EE36DE">
            <w:pPr>
              <w:ind w:firstLine="0"/>
            </w:pPr>
            <w:r w:rsidRPr="00EE36DE">
              <w:t>Nuotolinis replikavimas (angl. „Storage replication“)</w:t>
            </w:r>
          </w:p>
        </w:tc>
        <w:tc>
          <w:tcPr>
            <w:tcW w:w="2569" w:type="pct"/>
            <w:tcBorders>
              <w:top w:val="single" w:sz="4" w:space="0" w:color="auto"/>
              <w:left w:val="single" w:sz="4" w:space="0" w:color="auto"/>
              <w:bottom w:val="single" w:sz="4" w:space="0" w:color="auto"/>
              <w:right w:val="single" w:sz="4" w:space="0" w:color="auto"/>
            </w:tcBorders>
            <w:vAlign w:val="center"/>
            <w:hideMark/>
          </w:tcPr>
          <w:p w14:paraId="6D83A916" w14:textId="77777777" w:rsidR="00EE36DE" w:rsidRPr="00EE36DE" w:rsidRDefault="00EE36DE" w:rsidP="00EE36DE">
            <w:pPr>
              <w:ind w:firstLine="0"/>
            </w:pPr>
            <w:r w:rsidRPr="00EE36DE">
              <w:t>Turi atlikti nuotolinį asinchroninį bei sinchroninį  arba metro-sinchroninį duomenų replikavimą blokinio tipo duomenims su to paties tipo duomenų saugyklomis kontrolerių lygmenyje. Sutarties vykdymo metu turi būti pateikiamos visos reikiamos licencijos.</w:t>
            </w:r>
          </w:p>
          <w:p w14:paraId="6EFAAC2C" w14:textId="77777777" w:rsidR="00EE36DE" w:rsidRPr="00EE36DE" w:rsidRDefault="00EE36DE" w:rsidP="00EE36DE">
            <w:pPr>
              <w:ind w:firstLine="0"/>
            </w:pPr>
            <w:r w:rsidRPr="00EE36DE">
              <w:t xml:space="preserve">Siūloma duomenų saugykla turi palaikyti automatizuotą duomenų migravimą saugyklos kontrolerių lygmenyje iš  perkančiosios organizacijos turimų SC Compellent saugyklų, nepertraukiant saugyklų teikiamo serviso migravimo metu. </w:t>
            </w:r>
          </w:p>
        </w:tc>
        <w:tc>
          <w:tcPr>
            <w:tcW w:w="1246" w:type="pct"/>
            <w:tcBorders>
              <w:top w:val="single" w:sz="4" w:space="0" w:color="auto"/>
              <w:left w:val="single" w:sz="4" w:space="0" w:color="auto"/>
              <w:bottom w:val="single" w:sz="4" w:space="0" w:color="auto"/>
              <w:right w:val="single" w:sz="4" w:space="0" w:color="auto"/>
            </w:tcBorders>
          </w:tcPr>
          <w:p w14:paraId="21AC0581" w14:textId="77777777" w:rsidR="00EE36DE" w:rsidRPr="00EE36DE" w:rsidRDefault="00EE36DE" w:rsidP="00EE36DE">
            <w:pPr>
              <w:ind w:firstLine="0"/>
            </w:pPr>
          </w:p>
        </w:tc>
      </w:tr>
      <w:tr w:rsidR="00EE36DE" w:rsidRPr="00EE36DE" w14:paraId="214508BC"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62C1A3DC" w14:textId="592DC247" w:rsidR="00EE36DE" w:rsidRPr="00EE36DE" w:rsidRDefault="00EE36DE" w:rsidP="00EE36DE">
            <w:pPr>
              <w:ind w:firstLine="0"/>
            </w:pPr>
            <w:r w:rsidRPr="00EE36DE">
              <w:t>13.</w:t>
            </w:r>
          </w:p>
        </w:tc>
        <w:tc>
          <w:tcPr>
            <w:tcW w:w="861" w:type="pct"/>
            <w:tcBorders>
              <w:top w:val="single" w:sz="4" w:space="0" w:color="auto"/>
              <w:left w:val="single" w:sz="4" w:space="0" w:color="auto"/>
              <w:bottom w:val="single" w:sz="4" w:space="0" w:color="auto"/>
              <w:right w:val="single" w:sz="4" w:space="0" w:color="auto"/>
            </w:tcBorders>
            <w:hideMark/>
          </w:tcPr>
          <w:p w14:paraId="39B822B0" w14:textId="77777777" w:rsidR="00EE36DE" w:rsidRPr="00EE36DE" w:rsidRDefault="00EE36DE" w:rsidP="00EE36DE">
            <w:pPr>
              <w:ind w:firstLine="0"/>
            </w:pPr>
            <w:r w:rsidRPr="00EE36DE">
              <w:t>Integracija su VMware technologijomis</w:t>
            </w:r>
          </w:p>
        </w:tc>
        <w:tc>
          <w:tcPr>
            <w:tcW w:w="2569" w:type="pct"/>
            <w:tcBorders>
              <w:top w:val="single" w:sz="4" w:space="0" w:color="auto"/>
              <w:left w:val="single" w:sz="4" w:space="0" w:color="auto"/>
              <w:bottom w:val="single" w:sz="4" w:space="0" w:color="auto"/>
              <w:right w:val="single" w:sz="4" w:space="0" w:color="auto"/>
            </w:tcBorders>
            <w:hideMark/>
          </w:tcPr>
          <w:p w14:paraId="681785C3" w14:textId="77777777" w:rsidR="00EE36DE" w:rsidRPr="00EE36DE" w:rsidRDefault="00EE36DE" w:rsidP="00EE36DE">
            <w:pPr>
              <w:ind w:firstLine="0"/>
            </w:pPr>
            <w:r w:rsidRPr="00EE36DE">
              <w:t>Duomenų saugykla privalo palaikyti:</w:t>
            </w:r>
          </w:p>
          <w:p w14:paraId="69738326" w14:textId="77777777" w:rsidR="00EE36DE" w:rsidRPr="00EE36DE" w:rsidRDefault="00EE36DE" w:rsidP="00EE36DE">
            <w:pPr>
              <w:ind w:firstLine="0"/>
            </w:pPr>
            <w:r w:rsidRPr="00EE36DE">
              <w:t>•</w:t>
            </w:r>
            <w:r w:rsidRPr="00EE36DE">
              <w:tab/>
              <w:t>VMware API for vVOL;</w:t>
            </w:r>
          </w:p>
          <w:p w14:paraId="0F7B2592" w14:textId="77777777" w:rsidR="00EE36DE" w:rsidRPr="00EE36DE" w:rsidRDefault="00EE36DE" w:rsidP="00EE36DE">
            <w:pPr>
              <w:ind w:firstLine="0"/>
            </w:pPr>
            <w:r w:rsidRPr="00EE36DE">
              <w:t>•</w:t>
            </w:r>
            <w:r w:rsidRPr="00EE36DE">
              <w:tab/>
              <w:t>VMware vRealize Orchestrator (vRO) arba lygiavertį;</w:t>
            </w:r>
          </w:p>
          <w:p w14:paraId="025D0093" w14:textId="77777777" w:rsidR="00EE36DE" w:rsidRPr="00EE36DE" w:rsidRDefault="00EE36DE" w:rsidP="00EE36DE">
            <w:pPr>
              <w:ind w:firstLine="0"/>
            </w:pPr>
            <w:r w:rsidRPr="00EE36DE">
              <w:t>•</w:t>
            </w:r>
            <w:r w:rsidRPr="00EE36DE">
              <w:tab/>
              <w:t>VMware vSphere Metro Storage Cluster arba lygiavertį.</w:t>
            </w:r>
          </w:p>
        </w:tc>
        <w:tc>
          <w:tcPr>
            <w:tcW w:w="1246" w:type="pct"/>
            <w:tcBorders>
              <w:top w:val="single" w:sz="4" w:space="0" w:color="auto"/>
              <w:left w:val="single" w:sz="4" w:space="0" w:color="auto"/>
              <w:bottom w:val="single" w:sz="4" w:space="0" w:color="auto"/>
              <w:right w:val="single" w:sz="4" w:space="0" w:color="auto"/>
            </w:tcBorders>
          </w:tcPr>
          <w:p w14:paraId="44EBB329" w14:textId="77777777" w:rsidR="00EE36DE" w:rsidRPr="00EE36DE" w:rsidRDefault="00EE36DE" w:rsidP="00EE36DE">
            <w:pPr>
              <w:ind w:firstLine="0"/>
            </w:pPr>
          </w:p>
        </w:tc>
      </w:tr>
      <w:tr w:rsidR="00EE36DE" w:rsidRPr="00EE36DE" w14:paraId="58C59A0F"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706CE0CC" w14:textId="7B3A69D2" w:rsidR="00EE36DE" w:rsidRPr="00EE36DE" w:rsidRDefault="00EE36DE" w:rsidP="00EE36DE">
            <w:pPr>
              <w:ind w:firstLine="0"/>
            </w:pPr>
            <w:r w:rsidRPr="00EE36DE">
              <w:t>14.</w:t>
            </w:r>
          </w:p>
        </w:tc>
        <w:tc>
          <w:tcPr>
            <w:tcW w:w="861" w:type="pct"/>
            <w:tcBorders>
              <w:top w:val="single" w:sz="4" w:space="0" w:color="auto"/>
              <w:left w:val="single" w:sz="4" w:space="0" w:color="auto"/>
              <w:bottom w:val="single" w:sz="4" w:space="0" w:color="auto"/>
              <w:right w:val="single" w:sz="4" w:space="0" w:color="auto"/>
            </w:tcBorders>
            <w:hideMark/>
          </w:tcPr>
          <w:p w14:paraId="1BF8DD69" w14:textId="77777777" w:rsidR="00EE36DE" w:rsidRPr="00EE36DE" w:rsidRDefault="00EE36DE" w:rsidP="00EE36DE">
            <w:pPr>
              <w:ind w:firstLine="0"/>
            </w:pPr>
            <w:r w:rsidRPr="00EE36DE">
              <w:t>Integracija su trečių šalių technologijomis</w:t>
            </w:r>
          </w:p>
        </w:tc>
        <w:tc>
          <w:tcPr>
            <w:tcW w:w="2569" w:type="pct"/>
            <w:tcBorders>
              <w:top w:val="single" w:sz="4" w:space="0" w:color="auto"/>
              <w:left w:val="single" w:sz="4" w:space="0" w:color="auto"/>
              <w:bottom w:val="single" w:sz="4" w:space="0" w:color="auto"/>
              <w:right w:val="single" w:sz="4" w:space="0" w:color="auto"/>
            </w:tcBorders>
            <w:hideMark/>
          </w:tcPr>
          <w:p w14:paraId="3552BCD1" w14:textId="77777777" w:rsidR="00EE36DE" w:rsidRPr="00EE36DE" w:rsidRDefault="00EE36DE" w:rsidP="00EE36DE">
            <w:pPr>
              <w:ind w:firstLine="0"/>
            </w:pPr>
            <w:r w:rsidRPr="00EE36DE">
              <w:t>Duomenų saugykla privalo palaikyti Container Storage Interface (CSI) įskiepį (angl. „plugin“) Kubernetes konteinerių orkestravimo platformai.</w:t>
            </w:r>
          </w:p>
          <w:p w14:paraId="42227631" w14:textId="77777777" w:rsidR="00EE36DE" w:rsidRPr="00EE36DE" w:rsidRDefault="00EE36DE" w:rsidP="00EE36DE">
            <w:pPr>
              <w:ind w:firstLine="0"/>
            </w:pPr>
            <w:r w:rsidRPr="00EE36DE">
              <w:t>Duomenų saugykla privalo palaikyti ir turėti Ansible Playbooks valdymo automatizavimo sąrašus įvairiems scenarijams.</w:t>
            </w:r>
          </w:p>
        </w:tc>
        <w:tc>
          <w:tcPr>
            <w:tcW w:w="1246" w:type="pct"/>
            <w:tcBorders>
              <w:top w:val="single" w:sz="4" w:space="0" w:color="auto"/>
              <w:left w:val="single" w:sz="4" w:space="0" w:color="auto"/>
              <w:bottom w:val="single" w:sz="4" w:space="0" w:color="auto"/>
              <w:right w:val="single" w:sz="4" w:space="0" w:color="auto"/>
            </w:tcBorders>
          </w:tcPr>
          <w:p w14:paraId="3F1D0E97" w14:textId="77777777" w:rsidR="00EE36DE" w:rsidRPr="00EE36DE" w:rsidRDefault="00EE36DE" w:rsidP="00EE36DE">
            <w:pPr>
              <w:ind w:firstLine="0"/>
            </w:pPr>
          </w:p>
        </w:tc>
      </w:tr>
      <w:tr w:rsidR="00EE36DE" w:rsidRPr="00EE36DE" w14:paraId="1B764945"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2FB41E2C" w14:textId="4B1420F9" w:rsidR="00EE36DE" w:rsidRPr="00EE36DE" w:rsidRDefault="00EE36DE" w:rsidP="00EE36DE">
            <w:pPr>
              <w:ind w:firstLine="0"/>
            </w:pPr>
            <w:r w:rsidRPr="00EE36DE">
              <w:lastRenderedPageBreak/>
              <w:t>15.</w:t>
            </w:r>
          </w:p>
        </w:tc>
        <w:tc>
          <w:tcPr>
            <w:tcW w:w="861" w:type="pct"/>
            <w:tcBorders>
              <w:top w:val="single" w:sz="4" w:space="0" w:color="auto"/>
              <w:left w:val="single" w:sz="4" w:space="0" w:color="auto"/>
              <w:bottom w:val="single" w:sz="4" w:space="0" w:color="auto"/>
              <w:right w:val="single" w:sz="4" w:space="0" w:color="auto"/>
            </w:tcBorders>
            <w:hideMark/>
          </w:tcPr>
          <w:p w14:paraId="2BF646F7" w14:textId="77777777" w:rsidR="00EE36DE" w:rsidRPr="00EE36DE" w:rsidRDefault="00EE36DE" w:rsidP="00EE36DE">
            <w:pPr>
              <w:ind w:firstLine="0"/>
            </w:pPr>
            <w:r w:rsidRPr="00EE36DE">
              <w:t>Duomenų saugyklos funkcijos</w:t>
            </w:r>
          </w:p>
        </w:tc>
        <w:tc>
          <w:tcPr>
            <w:tcW w:w="2569" w:type="pct"/>
            <w:tcBorders>
              <w:top w:val="single" w:sz="4" w:space="0" w:color="auto"/>
              <w:left w:val="single" w:sz="4" w:space="0" w:color="auto"/>
              <w:bottom w:val="single" w:sz="4" w:space="0" w:color="auto"/>
              <w:right w:val="single" w:sz="4" w:space="0" w:color="auto"/>
            </w:tcBorders>
            <w:hideMark/>
          </w:tcPr>
          <w:p w14:paraId="220D486D" w14:textId="77777777" w:rsidR="00EE36DE" w:rsidRPr="00EE36DE" w:rsidRDefault="00EE36DE" w:rsidP="00EE36DE">
            <w:pPr>
              <w:ind w:firstLine="0"/>
            </w:pPr>
            <w:r w:rsidRPr="00EE36DE">
              <w:t>Turi būti palaikomas NAS resursų paskirstymas ir izoliavimas bei nepriklausomas valdymas tarp skirtingų padalinių (angl. „Multi tenant“).</w:t>
            </w:r>
          </w:p>
          <w:p w14:paraId="72A03724" w14:textId="77777777" w:rsidR="00EE36DE" w:rsidRPr="00EE36DE" w:rsidRDefault="00EE36DE" w:rsidP="00EE36DE">
            <w:pPr>
              <w:ind w:firstLine="0"/>
            </w:pPr>
            <w:r w:rsidRPr="00EE36DE">
              <w:t>Turi būti užtikrinama blokinio tipo duomenų disko (LUN) resursų našumo parametrų prioritetų funkcija (angl. „Quality of service“), leidžianti LUN resursus suskirstyti pagal svarbą ir automatiškai riboti resursus mažiau svarbiems.</w:t>
            </w:r>
          </w:p>
          <w:p w14:paraId="07704D1A" w14:textId="77777777" w:rsidR="00EE36DE" w:rsidRPr="00EE36DE" w:rsidRDefault="00EE36DE" w:rsidP="00EE36DE">
            <w:pPr>
              <w:ind w:firstLine="0"/>
            </w:pPr>
            <w:r w:rsidRPr="00EE36DE">
              <w:t>Turi būti įdiegtos ir aktyvuotos duomenų šifravimo priemonės užtikrinančios įrašytų duomenų apsaugą (angl. „data at rest encryption“) visai saugyklos talpai saugyklų kontrolerių lygmenyje.</w:t>
            </w:r>
          </w:p>
        </w:tc>
        <w:tc>
          <w:tcPr>
            <w:tcW w:w="1246" w:type="pct"/>
            <w:tcBorders>
              <w:top w:val="single" w:sz="4" w:space="0" w:color="auto"/>
              <w:left w:val="single" w:sz="4" w:space="0" w:color="auto"/>
              <w:bottom w:val="single" w:sz="4" w:space="0" w:color="auto"/>
              <w:right w:val="single" w:sz="4" w:space="0" w:color="auto"/>
            </w:tcBorders>
          </w:tcPr>
          <w:p w14:paraId="7A4A9D02" w14:textId="77777777" w:rsidR="00EE36DE" w:rsidRPr="00EE36DE" w:rsidRDefault="00EE36DE" w:rsidP="00EE36DE">
            <w:pPr>
              <w:ind w:firstLine="0"/>
            </w:pPr>
          </w:p>
        </w:tc>
      </w:tr>
      <w:tr w:rsidR="00EE36DE" w:rsidRPr="00EE36DE" w14:paraId="1CF27833"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23E59324" w14:textId="1B87C7F8" w:rsidR="00EE36DE" w:rsidRPr="00EE36DE" w:rsidRDefault="00EE36DE" w:rsidP="00EE36DE">
            <w:pPr>
              <w:ind w:firstLine="0"/>
            </w:pPr>
            <w:r w:rsidRPr="00EE36DE">
              <w:t>16.</w:t>
            </w:r>
          </w:p>
        </w:tc>
        <w:tc>
          <w:tcPr>
            <w:tcW w:w="861" w:type="pct"/>
            <w:tcBorders>
              <w:top w:val="single" w:sz="4" w:space="0" w:color="auto"/>
              <w:left w:val="single" w:sz="4" w:space="0" w:color="auto"/>
              <w:bottom w:val="single" w:sz="4" w:space="0" w:color="auto"/>
              <w:right w:val="single" w:sz="4" w:space="0" w:color="auto"/>
            </w:tcBorders>
            <w:hideMark/>
          </w:tcPr>
          <w:p w14:paraId="394A92F6" w14:textId="77777777" w:rsidR="00EE36DE" w:rsidRPr="00EE36DE" w:rsidRDefault="00EE36DE" w:rsidP="00EE36DE">
            <w:pPr>
              <w:ind w:firstLine="0"/>
            </w:pPr>
            <w:r w:rsidRPr="00EE36DE">
              <w:t>Valdymas</w:t>
            </w:r>
          </w:p>
        </w:tc>
        <w:tc>
          <w:tcPr>
            <w:tcW w:w="2569" w:type="pct"/>
            <w:tcBorders>
              <w:top w:val="single" w:sz="4" w:space="0" w:color="auto"/>
              <w:left w:val="single" w:sz="4" w:space="0" w:color="auto"/>
              <w:bottom w:val="single" w:sz="4" w:space="0" w:color="auto"/>
              <w:right w:val="single" w:sz="4" w:space="0" w:color="auto"/>
            </w:tcBorders>
            <w:vAlign w:val="center"/>
            <w:hideMark/>
          </w:tcPr>
          <w:p w14:paraId="7CF4BAC2" w14:textId="77777777" w:rsidR="00EE36DE" w:rsidRPr="00EE36DE" w:rsidRDefault="00EE36DE" w:rsidP="00EE36DE">
            <w:pPr>
              <w:ind w:firstLine="0"/>
            </w:pPr>
            <w:r w:rsidRPr="00EE36DE">
              <w:t xml:space="preserve">Duomenų saugykla turi turėti tiek grafinę GUI (angl. „Graphical user interface“), tiek komandinės eilutės CLI (angl. „Command-line interface“) valdymo sąsajas, tiek ir RestAPI valdymo ir stebėjimo funkcijoms. </w:t>
            </w:r>
          </w:p>
          <w:p w14:paraId="53ADAB0C" w14:textId="77777777" w:rsidR="00EE36DE" w:rsidRPr="00EE36DE" w:rsidRDefault="00EE36DE" w:rsidP="00EE36DE">
            <w:pPr>
              <w:ind w:firstLine="0"/>
            </w:pPr>
            <w:r w:rsidRPr="00EE36DE">
              <w:t>Per pateiktas valdymo sąsajas turi būti galima kurti naujus, plėsti, redaguoti, naikinti jau esamus LUN, priskirti LUN arbą jų grupes konkrečioms tarnybinėms stotims, atlikti kitus saugyklos konfigūravimo veiksmus.</w:t>
            </w:r>
          </w:p>
        </w:tc>
        <w:tc>
          <w:tcPr>
            <w:tcW w:w="1246" w:type="pct"/>
            <w:tcBorders>
              <w:top w:val="single" w:sz="4" w:space="0" w:color="auto"/>
              <w:left w:val="single" w:sz="4" w:space="0" w:color="auto"/>
              <w:bottom w:val="single" w:sz="4" w:space="0" w:color="auto"/>
              <w:right w:val="single" w:sz="4" w:space="0" w:color="auto"/>
            </w:tcBorders>
          </w:tcPr>
          <w:p w14:paraId="4887CDE4" w14:textId="77777777" w:rsidR="00EE36DE" w:rsidRPr="00EE36DE" w:rsidRDefault="00EE36DE" w:rsidP="00EE36DE">
            <w:pPr>
              <w:ind w:firstLine="0"/>
            </w:pPr>
          </w:p>
        </w:tc>
      </w:tr>
      <w:tr w:rsidR="00EE36DE" w:rsidRPr="00EE36DE" w14:paraId="531F7F31"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1CFA043C" w14:textId="36B124EE" w:rsidR="00EE36DE" w:rsidRPr="00EE36DE" w:rsidRDefault="00EE36DE" w:rsidP="00EE36DE">
            <w:pPr>
              <w:ind w:firstLine="0"/>
            </w:pPr>
            <w:r w:rsidRPr="00EE36DE">
              <w:t>17.</w:t>
            </w:r>
          </w:p>
        </w:tc>
        <w:tc>
          <w:tcPr>
            <w:tcW w:w="861" w:type="pct"/>
            <w:tcBorders>
              <w:top w:val="single" w:sz="4" w:space="0" w:color="auto"/>
              <w:left w:val="single" w:sz="4" w:space="0" w:color="auto"/>
              <w:bottom w:val="single" w:sz="4" w:space="0" w:color="auto"/>
              <w:right w:val="single" w:sz="4" w:space="0" w:color="auto"/>
            </w:tcBorders>
            <w:hideMark/>
          </w:tcPr>
          <w:p w14:paraId="3E81451E" w14:textId="77777777" w:rsidR="00EE36DE" w:rsidRPr="00EE36DE" w:rsidRDefault="00EE36DE" w:rsidP="00EE36DE">
            <w:pPr>
              <w:ind w:firstLine="0"/>
            </w:pPr>
            <w:r w:rsidRPr="00EE36DE">
              <w:t>Stebėjimas ir analize</w:t>
            </w:r>
          </w:p>
        </w:tc>
        <w:tc>
          <w:tcPr>
            <w:tcW w:w="2569" w:type="pct"/>
            <w:tcBorders>
              <w:top w:val="single" w:sz="4" w:space="0" w:color="auto"/>
              <w:left w:val="single" w:sz="4" w:space="0" w:color="auto"/>
              <w:bottom w:val="single" w:sz="4" w:space="0" w:color="auto"/>
              <w:right w:val="single" w:sz="4" w:space="0" w:color="auto"/>
            </w:tcBorders>
            <w:vAlign w:val="center"/>
            <w:hideMark/>
          </w:tcPr>
          <w:p w14:paraId="00456924" w14:textId="77777777" w:rsidR="00EE36DE" w:rsidRPr="00EE36DE" w:rsidRDefault="00EE36DE" w:rsidP="00EE36DE">
            <w:pPr>
              <w:ind w:firstLine="0"/>
            </w:pPr>
            <w:r w:rsidRPr="00EE36DE">
              <w:t>Turi būti pateikta stebėjimo (monitoringo)  programinė įranga, įgalinanti atlikti nuolatinį  įrangos parametrų stebėjimą, kaupti istorinę veiklos duomenų statistiką ne mažiau kaip 2 metus ir atlikti jų analizę.</w:t>
            </w:r>
          </w:p>
          <w:p w14:paraId="01DF4A5F" w14:textId="77777777" w:rsidR="00EE36DE" w:rsidRPr="00EE36DE" w:rsidRDefault="00EE36DE" w:rsidP="00EE36DE">
            <w:pPr>
              <w:ind w:firstLine="0"/>
            </w:pPr>
            <w:r w:rsidRPr="00EE36DE">
              <w:t>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w:t>
            </w:r>
          </w:p>
          <w:p w14:paraId="6E34CC24" w14:textId="77777777" w:rsidR="00EE36DE" w:rsidRPr="00EE36DE" w:rsidRDefault="00EE36DE" w:rsidP="00EE36DE">
            <w:pPr>
              <w:ind w:firstLine="0"/>
            </w:pPr>
            <w:r w:rsidRPr="00EE36DE">
              <w:t>Stebėjimo ir analizės duomenys turi būti matomi ir pakeitimai atliekami tiek interneto naršyklėje, tiek ir specializuotoje programėlėje mobiliuose įrenginiuose (veikiančiuose iOS bei Android operacinėje sistemose). Įrenginys turi informuoti valdymo sąsajoje bei el. paštu apie standžiųjų diskų, valdiklių, maitinimo šaltinių gedimus, kitus sutrikimus ir nukrypimus nuo normalaus darbo.</w:t>
            </w:r>
          </w:p>
          <w:p w14:paraId="7A88810A" w14:textId="77777777" w:rsidR="00EE36DE" w:rsidRPr="00EE36DE" w:rsidRDefault="00EE36DE" w:rsidP="00EE36DE">
            <w:pPr>
              <w:ind w:firstLine="0"/>
            </w:pPr>
            <w:r w:rsidRPr="00EE36DE">
              <w:t>Stebėjimo (monitoringo) programinė įranga turi palaikyti visą gamintojo aparatinę įrangą - įskaitant ir neapsiribojant: tarnybines stotis, saugyklas, rezervinio kopijavimo įrangą, duomenų centro tinklo komutatorius</w:t>
            </w:r>
          </w:p>
        </w:tc>
        <w:tc>
          <w:tcPr>
            <w:tcW w:w="1246" w:type="pct"/>
            <w:tcBorders>
              <w:top w:val="single" w:sz="4" w:space="0" w:color="auto"/>
              <w:left w:val="single" w:sz="4" w:space="0" w:color="auto"/>
              <w:bottom w:val="single" w:sz="4" w:space="0" w:color="auto"/>
              <w:right w:val="single" w:sz="4" w:space="0" w:color="auto"/>
            </w:tcBorders>
          </w:tcPr>
          <w:p w14:paraId="61CB6646" w14:textId="77777777" w:rsidR="00EE36DE" w:rsidRPr="00EE36DE" w:rsidRDefault="00EE36DE" w:rsidP="00EE36DE">
            <w:pPr>
              <w:ind w:firstLine="0"/>
            </w:pPr>
          </w:p>
        </w:tc>
      </w:tr>
      <w:tr w:rsidR="00EE36DE" w:rsidRPr="00EE36DE" w14:paraId="055E9E93" w14:textId="77777777">
        <w:trPr>
          <w:trHeight w:val="1275"/>
        </w:trPr>
        <w:tc>
          <w:tcPr>
            <w:tcW w:w="324" w:type="pct"/>
            <w:gridSpan w:val="2"/>
            <w:tcBorders>
              <w:top w:val="single" w:sz="4" w:space="0" w:color="auto"/>
              <w:left w:val="single" w:sz="4" w:space="0" w:color="auto"/>
              <w:bottom w:val="single" w:sz="4" w:space="0" w:color="auto"/>
              <w:right w:val="single" w:sz="4" w:space="0" w:color="auto"/>
            </w:tcBorders>
            <w:noWrap/>
            <w:hideMark/>
          </w:tcPr>
          <w:p w14:paraId="7A5F6CFD" w14:textId="0A8F0F7C" w:rsidR="00EE36DE" w:rsidRPr="00EE36DE" w:rsidRDefault="00EE36DE" w:rsidP="00EE36DE">
            <w:pPr>
              <w:ind w:firstLine="0"/>
            </w:pPr>
            <w:r w:rsidRPr="00EE36DE">
              <w:t>1</w:t>
            </w:r>
            <w:r>
              <w:t>8</w:t>
            </w:r>
            <w:r w:rsidRPr="00EE36DE">
              <w:t>.</w:t>
            </w:r>
          </w:p>
        </w:tc>
        <w:tc>
          <w:tcPr>
            <w:tcW w:w="861" w:type="pct"/>
            <w:tcBorders>
              <w:top w:val="single" w:sz="4" w:space="0" w:color="auto"/>
              <w:left w:val="single" w:sz="4" w:space="0" w:color="auto"/>
              <w:bottom w:val="single" w:sz="4" w:space="0" w:color="auto"/>
              <w:right w:val="single" w:sz="4" w:space="0" w:color="auto"/>
            </w:tcBorders>
            <w:hideMark/>
          </w:tcPr>
          <w:p w14:paraId="39E51F38" w14:textId="77777777" w:rsidR="00EE36DE" w:rsidRPr="00EE36DE" w:rsidRDefault="00EE36DE" w:rsidP="00EE36DE">
            <w:pPr>
              <w:ind w:firstLine="0"/>
            </w:pPr>
            <w:r w:rsidRPr="00EE36DE">
              <w:t>Garantinis aptarnavimas</w:t>
            </w:r>
          </w:p>
        </w:tc>
        <w:tc>
          <w:tcPr>
            <w:tcW w:w="2569" w:type="pct"/>
            <w:tcBorders>
              <w:top w:val="single" w:sz="4" w:space="0" w:color="auto"/>
              <w:left w:val="single" w:sz="4" w:space="0" w:color="auto"/>
              <w:bottom w:val="single" w:sz="4" w:space="0" w:color="auto"/>
              <w:right w:val="single" w:sz="4" w:space="0" w:color="auto"/>
            </w:tcBorders>
            <w:vAlign w:val="center"/>
          </w:tcPr>
          <w:p w14:paraId="409801B2" w14:textId="7ED979FE" w:rsidR="00EE36DE" w:rsidRPr="00EE36DE" w:rsidRDefault="00B0705B" w:rsidP="00EE36DE">
            <w:pPr>
              <w:ind w:firstLine="0"/>
            </w:pPr>
            <w:r>
              <w:t>Žr. specialiąsias sutarties sąlygas.</w:t>
            </w:r>
            <w:bookmarkStart w:id="0" w:name="_GoBack"/>
            <w:bookmarkEnd w:id="0"/>
          </w:p>
        </w:tc>
        <w:tc>
          <w:tcPr>
            <w:tcW w:w="1246" w:type="pct"/>
            <w:tcBorders>
              <w:top w:val="single" w:sz="4" w:space="0" w:color="auto"/>
              <w:left w:val="single" w:sz="4" w:space="0" w:color="auto"/>
              <w:bottom w:val="single" w:sz="4" w:space="0" w:color="auto"/>
              <w:right w:val="single" w:sz="4" w:space="0" w:color="auto"/>
            </w:tcBorders>
          </w:tcPr>
          <w:p w14:paraId="2285E2E8" w14:textId="77777777" w:rsidR="00EE36DE" w:rsidRPr="00EE36DE" w:rsidRDefault="00EE36DE" w:rsidP="00EE36DE">
            <w:pPr>
              <w:ind w:firstLine="0"/>
            </w:pPr>
          </w:p>
        </w:tc>
      </w:tr>
    </w:tbl>
    <w:p w14:paraId="19F61B09" w14:textId="77777777" w:rsidR="00EE36DE" w:rsidRPr="00EE36DE" w:rsidRDefault="00EE36DE" w:rsidP="00EE36DE">
      <w:pPr>
        <w:ind w:firstLine="0"/>
      </w:pPr>
    </w:p>
    <w:p w14:paraId="1177F380" w14:textId="35C1C315" w:rsidR="00EE36DE" w:rsidRPr="007452FA" w:rsidRDefault="0062102B" w:rsidP="00EE36DE">
      <w:pPr>
        <w:numPr>
          <w:ilvl w:val="0"/>
          <w:numId w:val="2"/>
        </w:numPr>
        <w:rPr>
          <w:b/>
        </w:rPr>
      </w:pPr>
      <w:r>
        <w:rPr>
          <w:b/>
          <w:bCs/>
        </w:rPr>
        <w:t xml:space="preserve">SAN komutatoriai </w:t>
      </w:r>
      <w:r w:rsidR="00EE36DE" w:rsidRPr="00EE36DE">
        <w:rPr>
          <w:b/>
          <w:bCs/>
        </w:rPr>
        <w:t xml:space="preserve">– </w:t>
      </w:r>
      <w:r>
        <w:rPr>
          <w:b/>
          <w:bCs/>
        </w:rPr>
        <w:t>4</w:t>
      </w:r>
      <w:r w:rsidR="00EE36DE" w:rsidRPr="00EE36DE">
        <w:rPr>
          <w:b/>
          <w:bCs/>
        </w:rPr>
        <w:t xml:space="preserve"> vnt.</w:t>
      </w:r>
    </w:p>
    <w:p w14:paraId="3E463E5C" w14:textId="77777777" w:rsidR="007452FA" w:rsidRPr="00EE36DE" w:rsidRDefault="007452FA" w:rsidP="007452FA">
      <w:pPr>
        <w:ind w:left="720" w:firstLine="0"/>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24"/>
        <w:gridCol w:w="5545"/>
        <w:gridCol w:w="2693"/>
      </w:tblGrid>
      <w:tr w:rsidR="00EE36DE" w:rsidRPr="00EE36DE" w14:paraId="2E7E45B3" w14:textId="77777777" w:rsidTr="007452FA">
        <w:trPr>
          <w:trHeight w:val="992"/>
        </w:trPr>
        <w:tc>
          <w:tcPr>
            <w:tcW w:w="706" w:type="dxa"/>
            <w:tcBorders>
              <w:top w:val="single" w:sz="4" w:space="0" w:color="auto"/>
              <w:left w:val="single" w:sz="4" w:space="0" w:color="auto"/>
              <w:bottom w:val="single" w:sz="4" w:space="0" w:color="auto"/>
              <w:right w:val="single" w:sz="4" w:space="0" w:color="auto"/>
            </w:tcBorders>
            <w:vAlign w:val="center"/>
            <w:hideMark/>
          </w:tcPr>
          <w:p w14:paraId="41C53710" w14:textId="77777777" w:rsidR="00EE36DE" w:rsidRPr="00EE36DE" w:rsidRDefault="00EE36DE" w:rsidP="00EE36DE">
            <w:pPr>
              <w:ind w:firstLine="0"/>
            </w:pPr>
            <w:r w:rsidRPr="00EE36DE">
              <w:rPr>
                <w:b/>
              </w:rPr>
              <w:t>Eil. Nr.</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5DE382E" w14:textId="77777777" w:rsidR="00EE36DE" w:rsidRPr="00EE36DE" w:rsidRDefault="00EE36DE" w:rsidP="00EE36DE">
            <w:pPr>
              <w:ind w:firstLine="0"/>
              <w:rPr>
                <w:b/>
                <w:i/>
              </w:rPr>
            </w:pPr>
            <w:r w:rsidRPr="00EE36DE">
              <w:rPr>
                <w:b/>
              </w:rPr>
              <w:t>Komponento charakteristikos</w:t>
            </w:r>
          </w:p>
          <w:p w14:paraId="791E0E9B" w14:textId="77777777" w:rsidR="00EE36DE" w:rsidRPr="00EE36DE" w:rsidRDefault="00EE36DE" w:rsidP="00EE36DE">
            <w:pPr>
              <w:ind w:firstLine="0"/>
            </w:pPr>
            <w:r w:rsidRPr="00EE36DE">
              <w:rPr>
                <w:b/>
              </w:rPr>
              <w:t>pavadinimas</w:t>
            </w:r>
          </w:p>
        </w:tc>
        <w:tc>
          <w:tcPr>
            <w:tcW w:w="5545" w:type="dxa"/>
            <w:tcBorders>
              <w:top w:val="single" w:sz="4" w:space="0" w:color="auto"/>
              <w:left w:val="single" w:sz="4" w:space="0" w:color="auto"/>
              <w:bottom w:val="single" w:sz="4" w:space="0" w:color="auto"/>
              <w:right w:val="single" w:sz="4" w:space="0" w:color="auto"/>
            </w:tcBorders>
            <w:vAlign w:val="center"/>
            <w:hideMark/>
          </w:tcPr>
          <w:p w14:paraId="11233E9B" w14:textId="77777777" w:rsidR="00EE36DE" w:rsidRPr="00EE36DE" w:rsidRDefault="00EE36DE" w:rsidP="00EE36DE">
            <w:pPr>
              <w:ind w:firstLine="0"/>
            </w:pPr>
            <w:r w:rsidRPr="00EE36DE">
              <w:rPr>
                <w:b/>
              </w:rPr>
              <w:t>Reikalaujama charakteristika</w:t>
            </w:r>
          </w:p>
        </w:tc>
        <w:tc>
          <w:tcPr>
            <w:tcW w:w="2693" w:type="dxa"/>
            <w:tcBorders>
              <w:top w:val="single" w:sz="4" w:space="0" w:color="auto"/>
              <w:left w:val="single" w:sz="4" w:space="0" w:color="auto"/>
              <w:bottom w:val="single" w:sz="4" w:space="0" w:color="auto"/>
              <w:right w:val="single" w:sz="4" w:space="0" w:color="auto"/>
            </w:tcBorders>
          </w:tcPr>
          <w:p w14:paraId="1025822C" w14:textId="77777777" w:rsidR="00EE36DE" w:rsidRPr="00EE36DE" w:rsidRDefault="00EE36DE" w:rsidP="00EE36DE">
            <w:pPr>
              <w:ind w:firstLine="0"/>
              <w:rPr>
                <w:b/>
              </w:rPr>
            </w:pPr>
          </w:p>
          <w:p w14:paraId="09FF9EDD" w14:textId="77777777" w:rsidR="00EE36DE" w:rsidRPr="00EE36DE" w:rsidRDefault="00EE36DE" w:rsidP="00EE36DE">
            <w:pPr>
              <w:ind w:firstLine="0"/>
            </w:pPr>
            <w:r w:rsidRPr="00EE36DE">
              <w:rPr>
                <w:b/>
              </w:rPr>
              <w:t>Pildo tiekėjas</w:t>
            </w:r>
          </w:p>
        </w:tc>
      </w:tr>
      <w:tr w:rsidR="00EE36DE" w:rsidRPr="00EE36DE" w14:paraId="0CD78705" w14:textId="77777777" w:rsidTr="0018472F">
        <w:trPr>
          <w:trHeight w:val="992"/>
        </w:trPr>
        <w:tc>
          <w:tcPr>
            <w:tcW w:w="706" w:type="dxa"/>
            <w:tcBorders>
              <w:top w:val="single" w:sz="4" w:space="0" w:color="auto"/>
              <w:left w:val="single" w:sz="4" w:space="0" w:color="auto"/>
              <w:bottom w:val="single" w:sz="4" w:space="0" w:color="auto"/>
              <w:right w:val="single" w:sz="4" w:space="0" w:color="auto"/>
            </w:tcBorders>
            <w:hideMark/>
          </w:tcPr>
          <w:p w14:paraId="3D44AD75" w14:textId="77777777" w:rsidR="00EE36DE" w:rsidRPr="00EE36DE" w:rsidRDefault="00EE36DE" w:rsidP="00EE36DE">
            <w:pPr>
              <w:ind w:firstLine="0"/>
            </w:pPr>
            <w:r w:rsidRPr="00EE36DE">
              <w:t>1</w:t>
            </w:r>
          </w:p>
        </w:tc>
        <w:tc>
          <w:tcPr>
            <w:tcW w:w="1824" w:type="dxa"/>
            <w:tcBorders>
              <w:top w:val="single" w:sz="4" w:space="0" w:color="auto"/>
              <w:left w:val="single" w:sz="4" w:space="0" w:color="auto"/>
              <w:bottom w:val="single" w:sz="4" w:space="0" w:color="auto"/>
              <w:right w:val="single" w:sz="4" w:space="0" w:color="auto"/>
            </w:tcBorders>
            <w:hideMark/>
          </w:tcPr>
          <w:p w14:paraId="0EBF3BA5" w14:textId="0754B61F" w:rsidR="00EE36DE" w:rsidRPr="00EE36DE" w:rsidRDefault="007B453C" w:rsidP="00EE36DE">
            <w:pPr>
              <w:ind w:firstLine="0"/>
            </w:pPr>
            <w:r>
              <w:t>Tipas</w:t>
            </w:r>
          </w:p>
        </w:tc>
        <w:tc>
          <w:tcPr>
            <w:tcW w:w="5545" w:type="dxa"/>
            <w:tcBorders>
              <w:top w:val="single" w:sz="4" w:space="0" w:color="auto"/>
              <w:left w:val="single" w:sz="4" w:space="0" w:color="auto"/>
              <w:bottom w:val="single" w:sz="4" w:space="0" w:color="auto"/>
              <w:right w:val="single" w:sz="4" w:space="0" w:color="auto"/>
            </w:tcBorders>
          </w:tcPr>
          <w:p w14:paraId="508BC488" w14:textId="54004763" w:rsidR="00EE36DE" w:rsidRPr="00EE36DE" w:rsidRDefault="007B453C" w:rsidP="00EE36DE">
            <w:pPr>
              <w:ind w:firstLine="0"/>
            </w:pPr>
            <w:r w:rsidRPr="007B453C">
              <w:t>SAN optinis komutatorius</w:t>
            </w:r>
          </w:p>
        </w:tc>
        <w:tc>
          <w:tcPr>
            <w:tcW w:w="2693" w:type="dxa"/>
            <w:tcBorders>
              <w:top w:val="single" w:sz="4" w:space="0" w:color="auto"/>
              <w:left w:val="single" w:sz="4" w:space="0" w:color="auto"/>
              <w:bottom w:val="single" w:sz="4" w:space="0" w:color="auto"/>
              <w:right w:val="single" w:sz="4" w:space="0" w:color="auto"/>
            </w:tcBorders>
          </w:tcPr>
          <w:p w14:paraId="1CFF6522" w14:textId="77777777" w:rsidR="00EE36DE" w:rsidRPr="00EE36DE" w:rsidRDefault="00EE36DE" w:rsidP="00EE36DE">
            <w:pPr>
              <w:ind w:firstLine="0"/>
            </w:pPr>
          </w:p>
        </w:tc>
      </w:tr>
      <w:tr w:rsidR="00EE36DE" w:rsidRPr="00EE36DE" w14:paraId="22F1C08D" w14:textId="77777777" w:rsidTr="0018472F">
        <w:trPr>
          <w:trHeight w:val="557"/>
        </w:trPr>
        <w:tc>
          <w:tcPr>
            <w:tcW w:w="706" w:type="dxa"/>
            <w:tcBorders>
              <w:top w:val="single" w:sz="4" w:space="0" w:color="auto"/>
              <w:left w:val="single" w:sz="4" w:space="0" w:color="auto"/>
              <w:bottom w:val="single" w:sz="4" w:space="0" w:color="auto"/>
              <w:right w:val="single" w:sz="4" w:space="0" w:color="auto"/>
            </w:tcBorders>
            <w:hideMark/>
          </w:tcPr>
          <w:p w14:paraId="43639119" w14:textId="77777777" w:rsidR="00EE36DE" w:rsidRPr="00EE36DE" w:rsidRDefault="00EE36DE" w:rsidP="00EE36DE">
            <w:pPr>
              <w:ind w:firstLine="0"/>
            </w:pPr>
            <w:r w:rsidRPr="00EE36DE">
              <w:t>2</w:t>
            </w:r>
          </w:p>
        </w:tc>
        <w:tc>
          <w:tcPr>
            <w:tcW w:w="1824" w:type="dxa"/>
            <w:tcBorders>
              <w:top w:val="single" w:sz="4" w:space="0" w:color="auto"/>
              <w:left w:val="single" w:sz="4" w:space="0" w:color="auto"/>
              <w:bottom w:val="single" w:sz="4" w:space="0" w:color="auto"/>
              <w:right w:val="single" w:sz="4" w:space="0" w:color="auto"/>
            </w:tcBorders>
            <w:hideMark/>
          </w:tcPr>
          <w:p w14:paraId="5DC25475" w14:textId="73A05504" w:rsidR="00EE36DE" w:rsidRPr="00EE36DE" w:rsidRDefault="007B453C" w:rsidP="00EE36DE">
            <w:pPr>
              <w:ind w:firstLine="0"/>
            </w:pPr>
            <w:r w:rsidRPr="007B453C">
              <w:t>El. maitinimas</w:t>
            </w:r>
          </w:p>
        </w:tc>
        <w:tc>
          <w:tcPr>
            <w:tcW w:w="5545" w:type="dxa"/>
            <w:tcBorders>
              <w:top w:val="single" w:sz="4" w:space="0" w:color="auto"/>
              <w:left w:val="single" w:sz="4" w:space="0" w:color="auto"/>
              <w:bottom w:val="single" w:sz="4" w:space="0" w:color="auto"/>
              <w:right w:val="single" w:sz="4" w:space="0" w:color="auto"/>
            </w:tcBorders>
          </w:tcPr>
          <w:p w14:paraId="7DF018F9" w14:textId="77777777" w:rsidR="007B453C" w:rsidRDefault="007B453C" w:rsidP="007B453C">
            <w:pPr>
              <w:ind w:firstLine="0"/>
            </w:pPr>
            <w:r>
              <w:t>Įrangos  elektros  maitinimas  turi  būti  ~220  V,  50  Hz.</w:t>
            </w:r>
          </w:p>
          <w:p w14:paraId="7EFAF16E" w14:textId="77777777" w:rsidR="007B453C" w:rsidRDefault="007B453C" w:rsidP="007B453C">
            <w:pPr>
              <w:ind w:firstLine="0"/>
            </w:pPr>
            <w:r>
              <w:t>Įtampos  keitimo  transformatoriai  negali   būti  siūlomi.</w:t>
            </w:r>
          </w:p>
          <w:p w14:paraId="7C0CF53B" w14:textId="77777777" w:rsidR="007B453C" w:rsidRDefault="007B453C" w:rsidP="007B453C">
            <w:pPr>
              <w:ind w:firstLine="0"/>
            </w:pPr>
            <w:r>
              <w:t>Maitinimo  kabeliai  turi  tikti  Europoje  naudojamiems</w:t>
            </w:r>
          </w:p>
          <w:p w14:paraId="1828C468" w14:textId="77777777" w:rsidR="007B453C" w:rsidRDefault="007B453C" w:rsidP="007B453C">
            <w:pPr>
              <w:ind w:firstLine="0"/>
            </w:pPr>
            <w:r>
              <w:t>kištukiniams lizdams.</w:t>
            </w:r>
          </w:p>
          <w:p w14:paraId="6F0399E1" w14:textId="77777777" w:rsidR="007B453C" w:rsidRDefault="007B453C" w:rsidP="007B453C">
            <w:pPr>
              <w:ind w:firstLine="0"/>
            </w:pPr>
            <w:r>
              <w:t>Komplekte turi būti pateikti elektros kabeliai prijungti prie</w:t>
            </w:r>
          </w:p>
          <w:p w14:paraId="78332D3E" w14:textId="77777777" w:rsidR="007B453C" w:rsidRDefault="007B453C" w:rsidP="007B453C">
            <w:pPr>
              <w:ind w:firstLine="0"/>
            </w:pPr>
            <w:r>
              <w:t>nepertraukiamo   maitinimo   šaltinio   išplėtimo   lizdų</w:t>
            </w:r>
          </w:p>
          <w:p w14:paraId="032EE752" w14:textId="5E5BA1ED" w:rsidR="00EE36DE" w:rsidRPr="00EE36DE" w:rsidRDefault="007B453C" w:rsidP="007B453C">
            <w:pPr>
              <w:ind w:firstLine="0"/>
            </w:pPr>
            <w:r>
              <w:lastRenderedPageBreak/>
              <w:t>serverinėje spintoje.</w:t>
            </w:r>
          </w:p>
        </w:tc>
        <w:tc>
          <w:tcPr>
            <w:tcW w:w="2693" w:type="dxa"/>
            <w:tcBorders>
              <w:top w:val="single" w:sz="4" w:space="0" w:color="auto"/>
              <w:left w:val="single" w:sz="4" w:space="0" w:color="auto"/>
              <w:bottom w:val="single" w:sz="4" w:space="0" w:color="auto"/>
              <w:right w:val="single" w:sz="4" w:space="0" w:color="auto"/>
            </w:tcBorders>
          </w:tcPr>
          <w:p w14:paraId="396CEDF6" w14:textId="77777777" w:rsidR="00EE36DE" w:rsidRPr="00EE36DE" w:rsidRDefault="00EE36DE" w:rsidP="00EE36DE">
            <w:pPr>
              <w:ind w:firstLine="0"/>
            </w:pPr>
          </w:p>
        </w:tc>
      </w:tr>
      <w:tr w:rsidR="00EE36DE" w:rsidRPr="00EE36DE" w14:paraId="1C8C48E9" w14:textId="77777777" w:rsidTr="0018472F">
        <w:trPr>
          <w:trHeight w:val="992"/>
        </w:trPr>
        <w:tc>
          <w:tcPr>
            <w:tcW w:w="706" w:type="dxa"/>
            <w:tcBorders>
              <w:top w:val="single" w:sz="4" w:space="0" w:color="auto"/>
              <w:left w:val="single" w:sz="4" w:space="0" w:color="auto"/>
              <w:bottom w:val="single" w:sz="4" w:space="0" w:color="auto"/>
              <w:right w:val="single" w:sz="4" w:space="0" w:color="auto"/>
            </w:tcBorders>
            <w:hideMark/>
          </w:tcPr>
          <w:p w14:paraId="2F74A4F6" w14:textId="77777777" w:rsidR="00EE36DE" w:rsidRPr="00EE36DE" w:rsidRDefault="00EE36DE" w:rsidP="00EE36DE">
            <w:pPr>
              <w:ind w:firstLine="0"/>
            </w:pPr>
            <w:r w:rsidRPr="00EE36DE">
              <w:t>3</w:t>
            </w:r>
          </w:p>
        </w:tc>
        <w:tc>
          <w:tcPr>
            <w:tcW w:w="1824" w:type="dxa"/>
            <w:tcBorders>
              <w:top w:val="single" w:sz="4" w:space="0" w:color="auto"/>
              <w:left w:val="single" w:sz="4" w:space="0" w:color="auto"/>
              <w:bottom w:val="single" w:sz="4" w:space="0" w:color="auto"/>
              <w:right w:val="single" w:sz="4" w:space="0" w:color="auto"/>
            </w:tcBorders>
            <w:hideMark/>
          </w:tcPr>
          <w:p w14:paraId="28E92CA3" w14:textId="07DAF11C" w:rsidR="00EE36DE" w:rsidRPr="00EE36DE" w:rsidRDefault="007B453C" w:rsidP="00EE36DE">
            <w:pPr>
              <w:ind w:firstLine="0"/>
            </w:pPr>
            <w:r w:rsidRPr="007B453C">
              <w:t>Aušinimas</w:t>
            </w:r>
          </w:p>
        </w:tc>
        <w:tc>
          <w:tcPr>
            <w:tcW w:w="5545" w:type="dxa"/>
            <w:tcBorders>
              <w:top w:val="single" w:sz="4" w:space="0" w:color="auto"/>
              <w:left w:val="single" w:sz="4" w:space="0" w:color="auto"/>
              <w:bottom w:val="single" w:sz="4" w:space="0" w:color="auto"/>
              <w:right w:val="single" w:sz="4" w:space="0" w:color="auto"/>
            </w:tcBorders>
          </w:tcPr>
          <w:p w14:paraId="60344D4E" w14:textId="77777777" w:rsidR="007B453C" w:rsidRDefault="007B453C" w:rsidP="007B453C">
            <w:pPr>
              <w:ind w:firstLine="0"/>
            </w:pPr>
            <w:r>
              <w:t>Aušinimo kryptis turi būti iš galo į priekį, kai priekis yra</w:t>
            </w:r>
          </w:p>
          <w:p w14:paraId="146236B2" w14:textId="51868366" w:rsidR="00EE36DE" w:rsidRPr="00EE36DE" w:rsidRDefault="007B453C" w:rsidP="007B453C">
            <w:pPr>
              <w:ind w:firstLine="0"/>
            </w:pPr>
            <w:r>
              <w:t>prievadų panelė</w:t>
            </w:r>
          </w:p>
        </w:tc>
        <w:tc>
          <w:tcPr>
            <w:tcW w:w="2693" w:type="dxa"/>
            <w:tcBorders>
              <w:top w:val="single" w:sz="4" w:space="0" w:color="auto"/>
              <w:left w:val="single" w:sz="4" w:space="0" w:color="auto"/>
              <w:bottom w:val="single" w:sz="4" w:space="0" w:color="auto"/>
              <w:right w:val="single" w:sz="4" w:space="0" w:color="auto"/>
            </w:tcBorders>
            <w:hideMark/>
          </w:tcPr>
          <w:p w14:paraId="16D8F719" w14:textId="77777777" w:rsidR="00EE36DE" w:rsidRPr="00EE36DE" w:rsidRDefault="00EE36DE" w:rsidP="00EE36DE">
            <w:pPr>
              <w:ind w:firstLine="0"/>
            </w:pPr>
            <w:r w:rsidRPr="00EE36DE">
              <w:t> </w:t>
            </w:r>
          </w:p>
        </w:tc>
      </w:tr>
      <w:tr w:rsidR="00EE36DE" w:rsidRPr="00EE36DE" w14:paraId="7167E4E5" w14:textId="77777777" w:rsidTr="007452FA">
        <w:trPr>
          <w:trHeight w:val="450"/>
        </w:trPr>
        <w:tc>
          <w:tcPr>
            <w:tcW w:w="706" w:type="dxa"/>
            <w:tcBorders>
              <w:top w:val="single" w:sz="4" w:space="0" w:color="auto"/>
              <w:left w:val="single" w:sz="4" w:space="0" w:color="auto"/>
              <w:bottom w:val="single" w:sz="4" w:space="0" w:color="auto"/>
              <w:right w:val="single" w:sz="4" w:space="0" w:color="auto"/>
            </w:tcBorders>
          </w:tcPr>
          <w:p w14:paraId="4CD5C96B" w14:textId="77777777" w:rsidR="00EE36DE" w:rsidRPr="00EE36DE" w:rsidRDefault="00EE36DE" w:rsidP="00EE36DE">
            <w:pPr>
              <w:ind w:firstLine="0"/>
            </w:pPr>
            <w:r w:rsidRPr="00EE36DE">
              <w:t>4</w:t>
            </w:r>
          </w:p>
          <w:p w14:paraId="409CDF3E" w14:textId="77777777" w:rsidR="00EE36DE" w:rsidRPr="00EE36DE" w:rsidRDefault="00EE36DE" w:rsidP="00EE36DE">
            <w:pPr>
              <w:ind w:firstLine="0"/>
            </w:pPr>
          </w:p>
        </w:tc>
        <w:tc>
          <w:tcPr>
            <w:tcW w:w="1824" w:type="dxa"/>
            <w:tcBorders>
              <w:top w:val="single" w:sz="4" w:space="0" w:color="auto"/>
              <w:left w:val="single" w:sz="4" w:space="0" w:color="auto"/>
              <w:bottom w:val="single" w:sz="4" w:space="0" w:color="auto"/>
              <w:right w:val="single" w:sz="4" w:space="0" w:color="auto"/>
            </w:tcBorders>
            <w:hideMark/>
          </w:tcPr>
          <w:p w14:paraId="71E93998" w14:textId="77777777" w:rsidR="007B453C" w:rsidRDefault="007B453C" w:rsidP="007B453C">
            <w:pPr>
              <w:ind w:firstLine="0"/>
            </w:pPr>
            <w:r>
              <w:t>Aktyvių SAN prievadų</w:t>
            </w:r>
          </w:p>
          <w:p w14:paraId="5D2D3167" w14:textId="1B53747B" w:rsidR="00EE36DE" w:rsidRPr="00EE36DE" w:rsidRDefault="007B453C" w:rsidP="007B453C">
            <w:pPr>
              <w:ind w:firstLine="0"/>
            </w:pPr>
            <w:r>
              <w:t>skaičius</w:t>
            </w:r>
          </w:p>
        </w:tc>
        <w:tc>
          <w:tcPr>
            <w:tcW w:w="5545" w:type="dxa"/>
            <w:tcBorders>
              <w:top w:val="single" w:sz="4" w:space="0" w:color="auto"/>
              <w:left w:val="single" w:sz="4" w:space="0" w:color="auto"/>
              <w:bottom w:val="single" w:sz="4" w:space="0" w:color="auto"/>
              <w:right w:val="single" w:sz="4" w:space="0" w:color="auto"/>
            </w:tcBorders>
            <w:hideMark/>
          </w:tcPr>
          <w:p w14:paraId="280F8A21" w14:textId="77777777" w:rsidR="007B453C" w:rsidRDefault="007B453C" w:rsidP="007B453C">
            <w:pPr>
              <w:ind w:firstLine="0"/>
            </w:pPr>
            <w:r>
              <w:t>Ne mažiau kaip:</w:t>
            </w:r>
          </w:p>
          <w:p w14:paraId="7732D2DA" w14:textId="77777777" w:rsidR="007B453C" w:rsidRDefault="007B453C" w:rsidP="007B453C">
            <w:pPr>
              <w:ind w:firstLine="0"/>
            </w:pPr>
            <w:r>
              <w:t>• 16 vnt. ne mažesnės kaip 32 Gbps spartos prievadų su</w:t>
            </w:r>
          </w:p>
          <w:p w14:paraId="73CFDE3E" w14:textId="77777777" w:rsidR="007B453C" w:rsidRDefault="007B453C" w:rsidP="007B453C">
            <w:pPr>
              <w:ind w:firstLine="0"/>
            </w:pPr>
            <w:r>
              <w:t>įdiegtais ir aktyvuotais, licenzijuotais (paruoštais darbui)</w:t>
            </w:r>
          </w:p>
          <w:p w14:paraId="088DE3D7" w14:textId="77777777" w:rsidR="007B453C" w:rsidRDefault="007B453C" w:rsidP="007B453C">
            <w:pPr>
              <w:ind w:firstLine="0"/>
            </w:pPr>
            <w:r>
              <w:t>SW SFP+ LC tipo optiniais moduliais;</w:t>
            </w:r>
          </w:p>
          <w:p w14:paraId="466A7790" w14:textId="77777777" w:rsidR="007B453C" w:rsidRDefault="007B453C" w:rsidP="007B453C">
            <w:pPr>
              <w:ind w:firstLine="0"/>
            </w:pPr>
            <w:r>
              <w:t>• Turi būti galimybė išplėsti prievadų skaičių iki ne mažiau</w:t>
            </w:r>
          </w:p>
          <w:p w14:paraId="7D799B96" w14:textId="77777777" w:rsidR="007B453C" w:rsidRDefault="007B453C" w:rsidP="007B453C">
            <w:pPr>
              <w:ind w:firstLine="0"/>
            </w:pPr>
            <w:r>
              <w:t>kaip 24 vnt.</w:t>
            </w:r>
          </w:p>
          <w:p w14:paraId="3D52C640" w14:textId="77777777" w:rsidR="007B453C" w:rsidRDefault="007B453C" w:rsidP="007B453C">
            <w:pPr>
              <w:ind w:firstLine="0"/>
            </w:pPr>
            <w:r>
              <w:t>• Moduliai turi būti to paties gamintojo ir apsaugoti tuo</w:t>
            </w:r>
          </w:p>
          <w:p w14:paraId="2B8C495D" w14:textId="77777777" w:rsidR="007B453C" w:rsidRDefault="007B453C" w:rsidP="007B453C">
            <w:pPr>
              <w:ind w:firstLine="0"/>
            </w:pPr>
            <w:r>
              <w:t>pačiu garantijos lygiu kaip ir pats komutatorius;</w:t>
            </w:r>
          </w:p>
          <w:p w14:paraId="3FE72C88" w14:textId="77777777" w:rsidR="007B453C" w:rsidRDefault="007B453C" w:rsidP="007B453C">
            <w:pPr>
              <w:ind w:firstLine="0"/>
            </w:pPr>
            <w:r>
              <w:t>• Turi būti suderinami su turimais Dell EMC DS-300B</w:t>
            </w:r>
          </w:p>
          <w:p w14:paraId="27589812" w14:textId="22A43CA4" w:rsidR="00EE36DE" w:rsidRPr="00EE36DE" w:rsidRDefault="007B453C" w:rsidP="007B453C">
            <w:pPr>
              <w:ind w:firstLine="0"/>
            </w:pPr>
            <w:r>
              <w:t>komutatoriais;</w:t>
            </w:r>
          </w:p>
        </w:tc>
        <w:tc>
          <w:tcPr>
            <w:tcW w:w="2693" w:type="dxa"/>
            <w:tcBorders>
              <w:top w:val="single" w:sz="4" w:space="0" w:color="auto"/>
              <w:left w:val="single" w:sz="4" w:space="0" w:color="auto"/>
              <w:bottom w:val="single" w:sz="4" w:space="0" w:color="auto"/>
              <w:right w:val="single" w:sz="4" w:space="0" w:color="auto"/>
            </w:tcBorders>
          </w:tcPr>
          <w:p w14:paraId="0CCEB7A5" w14:textId="77777777" w:rsidR="00EE36DE" w:rsidRPr="00EE36DE" w:rsidRDefault="00EE36DE" w:rsidP="00EE36DE">
            <w:pPr>
              <w:ind w:firstLine="0"/>
            </w:pPr>
          </w:p>
        </w:tc>
      </w:tr>
      <w:tr w:rsidR="00EE36DE" w:rsidRPr="00EE36DE" w14:paraId="057CBBAB" w14:textId="77777777" w:rsidTr="007452FA">
        <w:trPr>
          <w:trHeight w:val="476"/>
        </w:trPr>
        <w:tc>
          <w:tcPr>
            <w:tcW w:w="706" w:type="dxa"/>
            <w:vMerge w:val="restart"/>
            <w:tcBorders>
              <w:top w:val="single" w:sz="4" w:space="0" w:color="auto"/>
              <w:left w:val="single" w:sz="4" w:space="0" w:color="auto"/>
              <w:bottom w:val="single" w:sz="4" w:space="0" w:color="auto"/>
              <w:right w:val="single" w:sz="4" w:space="0" w:color="auto"/>
            </w:tcBorders>
            <w:hideMark/>
          </w:tcPr>
          <w:p w14:paraId="39C5089F" w14:textId="77777777" w:rsidR="00EE36DE" w:rsidRPr="00EE36DE" w:rsidRDefault="00EE36DE" w:rsidP="00EE36DE">
            <w:pPr>
              <w:ind w:firstLine="0"/>
            </w:pPr>
            <w:r w:rsidRPr="00EE36DE">
              <w:t>5</w:t>
            </w:r>
          </w:p>
        </w:tc>
        <w:tc>
          <w:tcPr>
            <w:tcW w:w="1824" w:type="dxa"/>
            <w:vMerge w:val="restart"/>
            <w:tcBorders>
              <w:top w:val="single" w:sz="4" w:space="0" w:color="auto"/>
              <w:left w:val="single" w:sz="4" w:space="0" w:color="auto"/>
              <w:bottom w:val="single" w:sz="4" w:space="0" w:color="auto"/>
              <w:right w:val="single" w:sz="4" w:space="0" w:color="auto"/>
            </w:tcBorders>
            <w:hideMark/>
          </w:tcPr>
          <w:p w14:paraId="56E89719" w14:textId="5E23B67D" w:rsidR="00EE36DE" w:rsidRPr="00EE36DE" w:rsidRDefault="007B453C" w:rsidP="00EE36DE">
            <w:pPr>
              <w:ind w:firstLine="0"/>
            </w:pPr>
            <w:r w:rsidRPr="007B453C">
              <w:t>Prievadų reikalavimai</w:t>
            </w:r>
          </w:p>
        </w:tc>
        <w:tc>
          <w:tcPr>
            <w:tcW w:w="5545" w:type="dxa"/>
            <w:vMerge w:val="restart"/>
            <w:tcBorders>
              <w:top w:val="single" w:sz="4" w:space="0" w:color="auto"/>
              <w:left w:val="single" w:sz="4" w:space="0" w:color="auto"/>
              <w:bottom w:val="single" w:sz="4" w:space="0" w:color="auto"/>
              <w:right w:val="single" w:sz="4" w:space="0" w:color="auto"/>
            </w:tcBorders>
            <w:hideMark/>
          </w:tcPr>
          <w:p w14:paraId="25AD2D5A" w14:textId="77777777" w:rsidR="007B453C" w:rsidRDefault="007B453C" w:rsidP="007B453C">
            <w:pPr>
              <w:ind w:firstLine="0"/>
            </w:pPr>
            <w:r>
              <w:t>Turi  būti  automatinis  greitaveikos  nusistatymas  (auto</w:t>
            </w:r>
          </w:p>
          <w:p w14:paraId="7FB1A078" w14:textId="77777777" w:rsidR="007B453C" w:rsidRDefault="007B453C" w:rsidP="007B453C">
            <w:pPr>
              <w:ind w:firstLine="0"/>
            </w:pPr>
            <w:r>
              <w:t>sensing) 8/16/32 Gbps. Prievadai turi būti grupuojami į SAN</w:t>
            </w:r>
          </w:p>
          <w:p w14:paraId="5C66266F" w14:textId="77777777" w:rsidR="007B453C" w:rsidRDefault="007B453C" w:rsidP="007B453C">
            <w:pPr>
              <w:ind w:firstLine="0"/>
            </w:pPr>
            <w:r>
              <w:t>zonas. Nesiblokuojanti architektūra: turi būti užtikrinamas</w:t>
            </w:r>
          </w:p>
          <w:p w14:paraId="55DD607E" w14:textId="77777777" w:rsidR="007B453C" w:rsidRDefault="007B453C" w:rsidP="007B453C">
            <w:pPr>
              <w:ind w:firstLine="0"/>
            </w:pPr>
            <w:r>
              <w:t>nesiblokuojantis visų prievadų darbas.</w:t>
            </w:r>
          </w:p>
          <w:p w14:paraId="28CB9864" w14:textId="77777777" w:rsidR="007B453C" w:rsidRDefault="007B453C" w:rsidP="007B453C">
            <w:pPr>
              <w:ind w:firstLine="0"/>
            </w:pPr>
            <w:r>
              <w:t>Vieno   ar   kelių   modulių   gedimas   neturi   nutraukti</w:t>
            </w:r>
          </w:p>
          <w:p w14:paraId="33F98408" w14:textId="25A20D45" w:rsidR="00EE36DE" w:rsidRPr="00EE36DE" w:rsidRDefault="007B453C" w:rsidP="007B453C">
            <w:pPr>
              <w:ind w:firstLine="0"/>
            </w:pPr>
            <w:r>
              <w:t>komutatoriaus darbo.</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64AFA9B" w14:textId="77777777" w:rsidR="00EE36DE" w:rsidRPr="00EE36DE" w:rsidRDefault="00EE36DE" w:rsidP="00EE36DE">
            <w:pPr>
              <w:ind w:firstLine="0"/>
            </w:pPr>
            <w:r w:rsidRPr="00EE36DE">
              <w:t> </w:t>
            </w:r>
          </w:p>
        </w:tc>
      </w:tr>
      <w:tr w:rsidR="00EE36DE" w:rsidRPr="00EE36DE" w14:paraId="6ECCCA60" w14:textId="77777777" w:rsidTr="007452FA">
        <w:trPr>
          <w:trHeigh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83ACF" w14:textId="77777777" w:rsidR="00EE36DE" w:rsidRPr="00EE36DE" w:rsidRDefault="00EE36DE" w:rsidP="00EE36DE">
            <w:pPr>
              <w:ind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4C6B5" w14:textId="77777777" w:rsidR="00EE36DE" w:rsidRPr="00EE36DE" w:rsidRDefault="00EE36DE" w:rsidP="00EE36DE">
            <w:pPr>
              <w:ind w:firstLine="0"/>
            </w:pPr>
          </w:p>
        </w:tc>
        <w:tc>
          <w:tcPr>
            <w:tcW w:w="5545" w:type="dxa"/>
            <w:vMerge/>
            <w:tcBorders>
              <w:top w:val="single" w:sz="4" w:space="0" w:color="auto"/>
              <w:left w:val="single" w:sz="4" w:space="0" w:color="auto"/>
              <w:bottom w:val="single" w:sz="4" w:space="0" w:color="auto"/>
              <w:right w:val="single" w:sz="4" w:space="0" w:color="auto"/>
            </w:tcBorders>
            <w:vAlign w:val="center"/>
            <w:hideMark/>
          </w:tcPr>
          <w:p w14:paraId="30B7C760" w14:textId="77777777" w:rsidR="00EE36DE" w:rsidRPr="00EE36DE" w:rsidRDefault="00EE36DE" w:rsidP="00EE36DE">
            <w:pPr>
              <w:ind w:firstLine="0"/>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687B81" w14:textId="77777777" w:rsidR="00EE36DE" w:rsidRPr="00EE36DE" w:rsidRDefault="00EE36DE" w:rsidP="00EE36DE">
            <w:pPr>
              <w:ind w:firstLine="0"/>
            </w:pPr>
          </w:p>
        </w:tc>
      </w:tr>
      <w:tr w:rsidR="00EE36DE" w:rsidRPr="00EE36DE" w14:paraId="72640CD6" w14:textId="77777777" w:rsidTr="007452FA">
        <w:trPr>
          <w:trHeight w:val="511"/>
        </w:trPr>
        <w:tc>
          <w:tcPr>
            <w:tcW w:w="706" w:type="dxa"/>
            <w:tcBorders>
              <w:top w:val="single" w:sz="4" w:space="0" w:color="auto"/>
              <w:left w:val="single" w:sz="4" w:space="0" w:color="auto"/>
              <w:bottom w:val="single" w:sz="4" w:space="0" w:color="auto"/>
              <w:right w:val="single" w:sz="4" w:space="0" w:color="auto"/>
            </w:tcBorders>
            <w:hideMark/>
          </w:tcPr>
          <w:p w14:paraId="417CC920" w14:textId="77777777" w:rsidR="00EE36DE" w:rsidRPr="00EE36DE" w:rsidRDefault="00EE36DE" w:rsidP="00EE36DE">
            <w:pPr>
              <w:ind w:firstLine="0"/>
            </w:pPr>
            <w:r w:rsidRPr="00EE36DE">
              <w:t>6</w:t>
            </w:r>
          </w:p>
        </w:tc>
        <w:tc>
          <w:tcPr>
            <w:tcW w:w="1824" w:type="dxa"/>
            <w:tcBorders>
              <w:top w:val="single" w:sz="4" w:space="0" w:color="auto"/>
              <w:left w:val="single" w:sz="4" w:space="0" w:color="auto"/>
              <w:bottom w:val="single" w:sz="4" w:space="0" w:color="auto"/>
              <w:right w:val="single" w:sz="4" w:space="0" w:color="auto"/>
            </w:tcBorders>
            <w:hideMark/>
          </w:tcPr>
          <w:p w14:paraId="5D78A514" w14:textId="77777777" w:rsidR="007B453C" w:rsidRDefault="007B453C" w:rsidP="007B453C">
            <w:pPr>
              <w:ind w:firstLine="0"/>
            </w:pPr>
            <w:r>
              <w:t>SAN tinklo plėtimo</w:t>
            </w:r>
          </w:p>
          <w:p w14:paraId="6B3C9B07" w14:textId="7861D976" w:rsidR="00EE36DE" w:rsidRPr="00EE36DE" w:rsidRDefault="007B453C" w:rsidP="007B453C">
            <w:pPr>
              <w:ind w:firstLine="0"/>
            </w:pPr>
            <w:r>
              <w:t>galimybės</w:t>
            </w:r>
          </w:p>
        </w:tc>
        <w:tc>
          <w:tcPr>
            <w:tcW w:w="5545" w:type="dxa"/>
            <w:tcBorders>
              <w:top w:val="single" w:sz="4" w:space="0" w:color="auto"/>
              <w:left w:val="single" w:sz="4" w:space="0" w:color="auto"/>
              <w:bottom w:val="single" w:sz="4" w:space="0" w:color="auto"/>
              <w:right w:val="single" w:sz="4" w:space="0" w:color="auto"/>
            </w:tcBorders>
            <w:hideMark/>
          </w:tcPr>
          <w:p w14:paraId="17822126" w14:textId="77777777" w:rsidR="007B453C" w:rsidRDefault="007B453C" w:rsidP="007B453C">
            <w:pPr>
              <w:ind w:firstLine="0"/>
            </w:pPr>
            <w:r>
              <w:t>Komplektuojamas su programine įranga įgalinančia kurti</w:t>
            </w:r>
          </w:p>
          <w:p w14:paraId="763E765C" w14:textId="77777777" w:rsidR="007B453C" w:rsidRDefault="007B453C" w:rsidP="007B453C">
            <w:pPr>
              <w:ind w:firstLine="0"/>
            </w:pPr>
            <w:r>
              <w:t>logines zonas (ang. „zoning“), be apribojimų apjungti su</w:t>
            </w:r>
          </w:p>
          <w:p w14:paraId="554F932B" w14:textId="77777777" w:rsidR="007B453C" w:rsidRDefault="007B453C" w:rsidP="007B453C">
            <w:pPr>
              <w:ind w:firstLine="0"/>
            </w:pPr>
            <w:r>
              <w:t>kitais to pačio gamintojo SAN komutatoriais. Licencijos turi</w:t>
            </w:r>
          </w:p>
          <w:p w14:paraId="68CDBA40" w14:textId="77777777" w:rsidR="007B453C" w:rsidRDefault="007B453C" w:rsidP="007B453C">
            <w:pPr>
              <w:ind w:firstLine="0"/>
            </w:pPr>
            <w:r>
              <w:t>būti nuolatinės (neriboto naudojimo). Integruotis (valdymas</w:t>
            </w:r>
          </w:p>
          <w:p w14:paraId="376F1D17" w14:textId="77777777" w:rsidR="007B453C" w:rsidRDefault="007B453C" w:rsidP="007B453C">
            <w:pPr>
              <w:ind w:firstLine="0"/>
            </w:pPr>
            <w:r>
              <w:t>ir stebėjimas tomis pat priemonėmis, bendra SAN zonų</w:t>
            </w:r>
          </w:p>
          <w:p w14:paraId="3CBBCE27" w14:textId="77777777" w:rsidR="007B453C" w:rsidRDefault="007B453C" w:rsidP="007B453C">
            <w:pPr>
              <w:ind w:firstLine="0"/>
            </w:pPr>
            <w:r>
              <w:t>sistema) į turimą SAN duomenų tinklą, kuris yra realizuotas</w:t>
            </w:r>
          </w:p>
          <w:p w14:paraId="0BE07CFF" w14:textId="77777777" w:rsidR="007B453C" w:rsidRDefault="007B453C" w:rsidP="007B453C">
            <w:pPr>
              <w:ind w:firstLine="0"/>
            </w:pPr>
            <w:r>
              <w:t>Brocade San Fabric arba analogiškos operacinės sistemos</w:t>
            </w:r>
          </w:p>
          <w:p w14:paraId="0F14438C" w14:textId="3E27F969" w:rsidR="00EE36DE" w:rsidRPr="00EE36DE" w:rsidRDefault="007B453C" w:rsidP="007B453C">
            <w:pPr>
              <w:ind w:firstLine="0"/>
            </w:pPr>
            <w:r>
              <w:t>komutatorių pagrindu.</w:t>
            </w:r>
          </w:p>
        </w:tc>
        <w:tc>
          <w:tcPr>
            <w:tcW w:w="2693" w:type="dxa"/>
            <w:tcBorders>
              <w:top w:val="single" w:sz="4" w:space="0" w:color="auto"/>
              <w:left w:val="single" w:sz="4" w:space="0" w:color="auto"/>
              <w:bottom w:val="single" w:sz="4" w:space="0" w:color="auto"/>
              <w:right w:val="single" w:sz="4" w:space="0" w:color="auto"/>
            </w:tcBorders>
            <w:hideMark/>
          </w:tcPr>
          <w:p w14:paraId="177009D5" w14:textId="77777777" w:rsidR="00EE36DE" w:rsidRPr="00EE36DE" w:rsidRDefault="00EE36DE" w:rsidP="00EE36DE">
            <w:pPr>
              <w:ind w:firstLine="0"/>
            </w:pPr>
            <w:r w:rsidRPr="00EE36DE">
              <w:t> </w:t>
            </w:r>
          </w:p>
        </w:tc>
      </w:tr>
      <w:tr w:rsidR="00EE36DE" w:rsidRPr="00EE36DE" w14:paraId="60361A71" w14:textId="77777777" w:rsidTr="007B453C">
        <w:trPr>
          <w:trHeight w:val="300"/>
        </w:trPr>
        <w:tc>
          <w:tcPr>
            <w:tcW w:w="706" w:type="dxa"/>
            <w:tcBorders>
              <w:top w:val="single" w:sz="4" w:space="0" w:color="auto"/>
              <w:left w:val="single" w:sz="4" w:space="0" w:color="auto"/>
              <w:bottom w:val="single" w:sz="4" w:space="0" w:color="auto"/>
              <w:right w:val="single" w:sz="4" w:space="0" w:color="auto"/>
            </w:tcBorders>
            <w:hideMark/>
          </w:tcPr>
          <w:p w14:paraId="034D5273" w14:textId="77777777" w:rsidR="00EE36DE" w:rsidRPr="00EE36DE" w:rsidRDefault="00EE36DE" w:rsidP="00EE36DE">
            <w:pPr>
              <w:ind w:firstLine="0"/>
            </w:pPr>
            <w:r w:rsidRPr="00EE36DE">
              <w:t>7</w:t>
            </w:r>
          </w:p>
        </w:tc>
        <w:tc>
          <w:tcPr>
            <w:tcW w:w="1824" w:type="dxa"/>
            <w:tcBorders>
              <w:top w:val="single" w:sz="4" w:space="0" w:color="auto"/>
              <w:left w:val="single" w:sz="4" w:space="0" w:color="auto"/>
              <w:bottom w:val="single" w:sz="4" w:space="0" w:color="auto"/>
              <w:right w:val="single" w:sz="4" w:space="0" w:color="auto"/>
            </w:tcBorders>
          </w:tcPr>
          <w:p w14:paraId="4860BE0C" w14:textId="0CB5602C" w:rsidR="00EE36DE" w:rsidRPr="00EE36DE" w:rsidRDefault="007B453C" w:rsidP="00EE36DE">
            <w:pPr>
              <w:ind w:firstLine="0"/>
            </w:pPr>
            <w:r w:rsidRPr="007B453C">
              <w:t>Valdymas</w:t>
            </w:r>
          </w:p>
        </w:tc>
        <w:tc>
          <w:tcPr>
            <w:tcW w:w="5545" w:type="dxa"/>
            <w:tcBorders>
              <w:top w:val="single" w:sz="4" w:space="0" w:color="auto"/>
              <w:left w:val="single" w:sz="4" w:space="0" w:color="auto"/>
              <w:bottom w:val="single" w:sz="4" w:space="0" w:color="auto"/>
              <w:right w:val="single" w:sz="4" w:space="0" w:color="auto"/>
            </w:tcBorders>
          </w:tcPr>
          <w:p w14:paraId="6E21CFF1" w14:textId="77777777" w:rsidR="007B453C" w:rsidRDefault="007B453C" w:rsidP="007B453C">
            <w:pPr>
              <w:ind w:firstLine="0"/>
            </w:pPr>
            <w:r>
              <w:t>Prievadų/WWN jungimas į zonas (zoning).</w:t>
            </w:r>
          </w:p>
          <w:p w14:paraId="223339D4" w14:textId="77777777" w:rsidR="007B453C" w:rsidRDefault="007B453C" w:rsidP="007B453C">
            <w:pPr>
              <w:ind w:firstLine="0"/>
            </w:pPr>
            <w:r>
              <w:t>Lokalių vartotojų/teisių palaikymas.</w:t>
            </w:r>
          </w:p>
          <w:p w14:paraId="223E3570" w14:textId="77777777" w:rsidR="007B453C" w:rsidRDefault="007B453C" w:rsidP="007B453C">
            <w:pPr>
              <w:ind w:firstLine="0"/>
            </w:pPr>
            <w:r>
              <w:t>Turi būti 10/100 Ethernet (RJ-45) komutatoriaus stebėsenos</w:t>
            </w:r>
          </w:p>
          <w:p w14:paraId="4794BEBD" w14:textId="77777777" w:rsidR="007B453C" w:rsidRDefault="007B453C" w:rsidP="007B453C">
            <w:pPr>
              <w:ind w:firstLine="0"/>
            </w:pPr>
            <w:r>
              <w:t>ir valdymo portas. Valdymas naudojant interneto naršyklę</w:t>
            </w:r>
          </w:p>
          <w:p w14:paraId="30662337" w14:textId="77777777" w:rsidR="007B453C" w:rsidRDefault="007B453C" w:rsidP="007B453C">
            <w:pPr>
              <w:ind w:firstLine="0"/>
            </w:pPr>
            <w:r>
              <w:t>(WEB  GUI,  HTTPS).  Turi  būti  palaikoma:  SNMPv3,</w:t>
            </w:r>
          </w:p>
          <w:p w14:paraId="20A48DEB" w14:textId="5961C48E" w:rsidR="00EE36DE" w:rsidRPr="00EE36DE" w:rsidRDefault="007B453C" w:rsidP="007B453C">
            <w:pPr>
              <w:ind w:firstLine="0"/>
            </w:pPr>
            <w:r>
              <w:t>RADIUS, SSH, CLI, Syslog.</w:t>
            </w:r>
          </w:p>
        </w:tc>
        <w:tc>
          <w:tcPr>
            <w:tcW w:w="2693" w:type="dxa"/>
            <w:tcBorders>
              <w:top w:val="single" w:sz="4" w:space="0" w:color="auto"/>
              <w:left w:val="single" w:sz="4" w:space="0" w:color="auto"/>
              <w:bottom w:val="single" w:sz="4" w:space="0" w:color="auto"/>
              <w:right w:val="single" w:sz="4" w:space="0" w:color="auto"/>
            </w:tcBorders>
            <w:hideMark/>
          </w:tcPr>
          <w:p w14:paraId="63E52724" w14:textId="77777777" w:rsidR="00EE36DE" w:rsidRPr="00EE36DE" w:rsidRDefault="00EE36DE" w:rsidP="00EE36DE">
            <w:pPr>
              <w:ind w:firstLine="0"/>
            </w:pPr>
            <w:r w:rsidRPr="00EE36DE">
              <w:t> </w:t>
            </w:r>
          </w:p>
        </w:tc>
      </w:tr>
      <w:tr w:rsidR="00EE36DE" w:rsidRPr="00EE36DE" w14:paraId="04CDE701" w14:textId="77777777" w:rsidTr="007B453C">
        <w:trPr>
          <w:trHeight w:val="300"/>
        </w:trPr>
        <w:tc>
          <w:tcPr>
            <w:tcW w:w="706" w:type="dxa"/>
            <w:tcBorders>
              <w:top w:val="single" w:sz="4" w:space="0" w:color="auto"/>
              <w:left w:val="single" w:sz="4" w:space="0" w:color="auto"/>
              <w:bottom w:val="single" w:sz="4" w:space="0" w:color="auto"/>
              <w:right w:val="single" w:sz="4" w:space="0" w:color="auto"/>
            </w:tcBorders>
            <w:hideMark/>
          </w:tcPr>
          <w:p w14:paraId="16A13FC3" w14:textId="77777777" w:rsidR="00EE36DE" w:rsidRPr="00EE36DE" w:rsidRDefault="00EE36DE" w:rsidP="00EE36DE">
            <w:pPr>
              <w:ind w:firstLine="0"/>
            </w:pPr>
            <w:r w:rsidRPr="00EE36DE">
              <w:t>8</w:t>
            </w:r>
          </w:p>
        </w:tc>
        <w:tc>
          <w:tcPr>
            <w:tcW w:w="1824" w:type="dxa"/>
            <w:tcBorders>
              <w:top w:val="single" w:sz="4" w:space="0" w:color="auto"/>
              <w:left w:val="single" w:sz="4" w:space="0" w:color="auto"/>
              <w:bottom w:val="single" w:sz="4" w:space="0" w:color="auto"/>
              <w:right w:val="single" w:sz="4" w:space="0" w:color="auto"/>
            </w:tcBorders>
          </w:tcPr>
          <w:p w14:paraId="4317E618" w14:textId="3729F268" w:rsidR="00EE36DE" w:rsidRPr="00EE36DE" w:rsidRDefault="007B453C" w:rsidP="00EE36DE">
            <w:pPr>
              <w:ind w:firstLine="0"/>
            </w:pPr>
            <w:r w:rsidRPr="007B453C">
              <w:t>Montavimas</w:t>
            </w:r>
          </w:p>
        </w:tc>
        <w:tc>
          <w:tcPr>
            <w:tcW w:w="5545" w:type="dxa"/>
            <w:tcBorders>
              <w:top w:val="single" w:sz="4" w:space="0" w:color="auto"/>
              <w:left w:val="single" w:sz="4" w:space="0" w:color="auto"/>
              <w:bottom w:val="single" w:sz="4" w:space="0" w:color="auto"/>
              <w:right w:val="single" w:sz="4" w:space="0" w:color="auto"/>
            </w:tcBorders>
          </w:tcPr>
          <w:p w14:paraId="16C6BC87" w14:textId="77777777" w:rsidR="007B453C" w:rsidRDefault="007B453C" w:rsidP="007B453C">
            <w:pPr>
              <w:ind w:firstLine="0"/>
            </w:pPr>
            <w:r>
              <w:t>Ne daugiau 1U aukščio, montavimo į 19‘ spintą, bėgeliai ar</w:t>
            </w:r>
          </w:p>
          <w:p w14:paraId="06E300C9" w14:textId="613B392B" w:rsidR="00EE36DE" w:rsidRPr="00EE36DE" w:rsidRDefault="007B453C" w:rsidP="007B453C">
            <w:pPr>
              <w:ind w:firstLine="0"/>
            </w:pPr>
            <w:r>
              <w:t>auselės ir kita būtina įranga.</w:t>
            </w:r>
          </w:p>
        </w:tc>
        <w:tc>
          <w:tcPr>
            <w:tcW w:w="2693" w:type="dxa"/>
            <w:tcBorders>
              <w:top w:val="single" w:sz="4" w:space="0" w:color="auto"/>
              <w:left w:val="single" w:sz="4" w:space="0" w:color="auto"/>
              <w:bottom w:val="single" w:sz="4" w:space="0" w:color="auto"/>
              <w:right w:val="single" w:sz="4" w:space="0" w:color="auto"/>
            </w:tcBorders>
          </w:tcPr>
          <w:p w14:paraId="4DA1DF3C" w14:textId="77777777" w:rsidR="00EE36DE" w:rsidRPr="00EE36DE" w:rsidRDefault="00EE36DE" w:rsidP="00EE36DE">
            <w:pPr>
              <w:ind w:firstLine="0"/>
            </w:pPr>
          </w:p>
        </w:tc>
      </w:tr>
      <w:tr w:rsidR="00EE36DE" w:rsidRPr="00EE36DE" w14:paraId="0745C7CD" w14:textId="77777777" w:rsidTr="007B453C">
        <w:trPr>
          <w:trHeight w:val="511"/>
        </w:trPr>
        <w:tc>
          <w:tcPr>
            <w:tcW w:w="706" w:type="dxa"/>
            <w:tcBorders>
              <w:top w:val="single" w:sz="4" w:space="0" w:color="auto"/>
              <w:left w:val="single" w:sz="4" w:space="0" w:color="auto"/>
              <w:bottom w:val="single" w:sz="4" w:space="0" w:color="auto"/>
              <w:right w:val="single" w:sz="4" w:space="0" w:color="auto"/>
            </w:tcBorders>
            <w:hideMark/>
          </w:tcPr>
          <w:p w14:paraId="6A23D28C" w14:textId="77777777" w:rsidR="00EE36DE" w:rsidRPr="00EE36DE" w:rsidRDefault="00EE36DE" w:rsidP="00EE36DE">
            <w:pPr>
              <w:ind w:firstLine="0"/>
            </w:pPr>
            <w:r w:rsidRPr="00EE36DE">
              <w:t>9</w:t>
            </w:r>
          </w:p>
        </w:tc>
        <w:tc>
          <w:tcPr>
            <w:tcW w:w="1824" w:type="dxa"/>
            <w:tcBorders>
              <w:top w:val="single" w:sz="4" w:space="0" w:color="auto"/>
              <w:left w:val="single" w:sz="4" w:space="0" w:color="auto"/>
              <w:bottom w:val="single" w:sz="4" w:space="0" w:color="auto"/>
              <w:right w:val="single" w:sz="4" w:space="0" w:color="auto"/>
            </w:tcBorders>
          </w:tcPr>
          <w:p w14:paraId="7B51461B" w14:textId="510E10BE" w:rsidR="00EE36DE" w:rsidRPr="00EE36DE" w:rsidRDefault="007B453C" w:rsidP="00EE36DE">
            <w:pPr>
              <w:ind w:firstLine="0"/>
            </w:pPr>
            <w:r w:rsidRPr="007B453C">
              <w:t>Garantija ir palaikymas</w:t>
            </w:r>
          </w:p>
        </w:tc>
        <w:tc>
          <w:tcPr>
            <w:tcW w:w="5545" w:type="dxa"/>
            <w:tcBorders>
              <w:top w:val="single" w:sz="4" w:space="0" w:color="auto"/>
              <w:left w:val="single" w:sz="4" w:space="0" w:color="auto"/>
              <w:bottom w:val="single" w:sz="4" w:space="0" w:color="auto"/>
              <w:right w:val="single" w:sz="4" w:space="0" w:color="auto"/>
            </w:tcBorders>
          </w:tcPr>
          <w:p w14:paraId="0382B7F8" w14:textId="77777777" w:rsidR="007B453C" w:rsidRDefault="007B453C" w:rsidP="007B453C">
            <w:pPr>
              <w:ind w:firstLine="0"/>
            </w:pPr>
            <w:r>
              <w:t>Įrangai  taikoma  gamintojo  užtikrinta  5  metų  garantija,</w:t>
            </w:r>
          </w:p>
          <w:p w14:paraId="48D860E3" w14:textId="77777777" w:rsidR="007B453C" w:rsidRDefault="007B453C" w:rsidP="007B453C">
            <w:pPr>
              <w:ind w:firstLine="0"/>
            </w:pPr>
            <w:r>
              <w:t>reakcijos laikas – sekanti darbo diena. (NBD), atstatymo</w:t>
            </w:r>
          </w:p>
          <w:p w14:paraId="3009BC5B" w14:textId="77777777" w:rsidR="007B453C" w:rsidRDefault="007B453C" w:rsidP="007B453C">
            <w:pPr>
              <w:ind w:firstLine="0"/>
            </w:pPr>
            <w:r>
              <w:t>laikas – ne daugiau 5 darbo dienų. Garantinė priežiūra turi</w:t>
            </w:r>
          </w:p>
          <w:p w14:paraId="008BCB60" w14:textId="77777777" w:rsidR="007B453C" w:rsidRDefault="007B453C" w:rsidP="007B453C">
            <w:pPr>
              <w:ind w:firstLine="0"/>
            </w:pPr>
            <w:r>
              <w:t>būti atliekama paties įrangos gamintojo arba jo autorizuoto</w:t>
            </w:r>
          </w:p>
          <w:p w14:paraId="0E05CCF6" w14:textId="77777777" w:rsidR="007B453C" w:rsidRDefault="007B453C" w:rsidP="007B453C">
            <w:pPr>
              <w:ind w:firstLine="0"/>
            </w:pPr>
            <w:r>
              <w:t>aptarnavimo atstovo. Garantinės priežiūros metu turi būti</w:t>
            </w:r>
          </w:p>
          <w:p w14:paraId="0F94BDDB" w14:textId="77777777" w:rsidR="007B453C" w:rsidRDefault="007B453C" w:rsidP="007B453C">
            <w:pPr>
              <w:ind w:firstLine="0"/>
            </w:pPr>
            <w:r>
              <w:t>atliekami   įrangos   remonto   darbai,   keičiamos   dalys,</w:t>
            </w:r>
          </w:p>
          <w:p w14:paraId="58443A49" w14:textId="77777777" w:rsidR="007B453C" w:rsidRDefault="007B453C" w:rsidP="007B453C">
            <w:pPr>
              <w:ind w:firstLine="0"/>
            </w:pPr>
            <w:r>
              <w:t>suteikiami su įranga komplektuojamos programinės įrangos</w:t>
            </w:r>
          </w:p>
          <w:p w14:paraId="77FB86AC" w14:textId="4C7CDBCC" w:rsidR="00EE36DE" w:rsidRPr="00EE36DE" w:rsidRDefault="007B453C" w:rsidP="007B453C">
            <w:pPr>
              <w:ind w:firstLine="0"/>
            </w:pPr>
            <w:r>
              <w:t>atnaujinimai (angl. firmware).</w:t>
            </w:r>
          </w:p>
        </w:tc>
        <w:tc>
          <w:tcPr>
            <w:tcW w:w="2693" w:type="dxa"/>
            <w:tcBorders>
              <w:top w:val="single" w:sz="4" w:space="0" w:color="auto"/>
              <w:left w:val="single" w:sz="4" w:space="0" w:color="auto"/>
              <w:bottom w:val="single" w:sz="4" w:space="0" w:color="auto"/>
              <w:right w:val="single" w:sz="4" w:space="0" w:color="auto"/>
            </w:tcBorders>
            <w:hideMark/>
          </w:tcPr>
          <w:p w14:paraId="076A60E9" w14:textId="77777777" w:rsidR="00EE36DE" w:rsidRPr="00EE36DE" w:rsidRDefault="00EE36DE" w:rsidP="00EE36DE">
            <w:pPr>
              <w:ind w:firstLine="0"/>
            </w:pPr>
            <w:r w:rsidRPr="00EE36DE">
              <w:t> </w:t>
            </w:r>
          </w:p>
        </w:tc>
      </w:tr>
      <w:tr w:rsidR="00EE36DE" w:rsidRPr="00EE36DE" w14:paraId="57B6D547" w14:textId="77777777" w:rsidTr="007452FA">
        <w:trPr>
          <w:trHeight w:val="767"/>
        </w:trPr>
        <w:tc>
          <w:tcPr>
            <w:tcW w:w="706" w:type="dxa"/>
            <w:tcBorders>
              <w:top w:val="single" w:sz="4" w:space="0" w:color="auto"/>
              <w:left w:val="single" w:sz="4" w:space="0" w:color="auto"/>
              <w:bottom w:val="single" w:sz="4" w:space="0" w:color="auto"/>
              <w:right w:val="single" w:sz="4" w:space="0" w:color="auto"/>
            </w:tcBorders>
            <w:hideMark/>
          </w:tcPr>
          <w:p w14:paraId="15C902E6" w14:textId="1A4DD46F" w:rsidR="00EE36DE" w:rsidRPr="00EE36DE" w:rsidRDefault="00EE36DE" w:rsidP="00EE36DE">
            <w:pPr>
              <w:ind w:firstLine="0"/>
            </w:pPr>
            <w:r w:rsidRPr="00EE36DE">
              <w:t>1</w:t>
            </w:r>
            <w:r w:rsidR="0062102B">
              <w:t>0</w:t>
            </w:r>
          </w:p>
        </w:tc>
        <w:tc>
          <w:tcPr>
            <w:tcW w:w="1824" w:type="dxa"/>
            <w:tcBorders>
              <w:top w:val="single" w:sz="4" w:space="0" w:color="auto"/>
              <w:left w:val="single" w:sz="4" w:space="0" w:color="auto"/>
              <w:bottom w:val="single" w:sz="4" w:space="0" w:color="auto"/>
              <w:right w:val="single" w:sz="4" w:space="0" w:color="auto"/>
            </w:tcBorders>
            <w:hideMark/>
          </w:tcPr>
          <w:p w14:paraId="5B80F896" w14:textId="77777777" w:rsidR="00EE36DE" w:rsidRPr="00EE36DE" w:rsidRDefault="00EE36DE" w:rsidP="00EE36DE">
            <w:pPr>
              <w:ind w:firstLine="0"/>
            </w:pPr>
            <w:r w:rsidRPr="00EE36DE">
              <w:t>Komplektacija</w:t>
            </w:r>
          </w:p>
        </w:tc>
        <w:tc>
          <w:tcPr>
            <w:tcW w:w="5545" w:type="dxa"/>
            <w:tcBorders>
              <w:top w:val="single" w:sz="4" w:space="0" w:color="auto"/>
              <w:left w:val="single" w:sz="4" w:space="0" w:color="auto"/>
              <w:bottom w:val="single" w:sz="4" w:space="0" w:color="auto"/>
              <w:right w:val="single" w:sz="4" w:space="0" w:color="auto"/>
            </w:tcBorders>
            <w:hideMark/>
          </w:tcPr>
          <w:p w14:paraId="7DCD73D2" w14:textId="77777777" w:rsidR="00EE36DE" w:rsidRPr="00EE36DE" w:rsidRDefault="00EE36DE" w:rsidP="00EE36DE">
            <w:pPr>
              <w:ind w:firstLine="0"/>
            </w:pPr>
            <w:r w:rsidRPr="00EE36DE">
              <w:t xml:space="preserve">Turi būti pateikti visi reikiami jungiamieji kabeliai, jungtys, tvirtinimo detalės, bėgiai, kabelių montavimo alkūnė, bei priemonės, skirtos įrangos pajungimui ir montavimui į 19“ montažinę spintą, bei apjungimui su tinko įranga.  </w:t>
            </w:r>
          </w:p>
        </w:tc>
        <w:tc>
          <w:tcPr>
            <w:tcW w:w="2693" w:type="dxa"/>
            <w:tcBorders>
              <w:top w:val="single" w:sz="4" w:space="0" w:color="auto"/>
              <w:left w:val="single" w:sz="4" w:space="0" w:color="auto"/>
              <w:bottom w:val="single" w:sz="4" w:space="0" w:color="auto"/>
              <w:right w:val="single" w:sz="4" w:space="0" w:color="auto"/>
            </w:tcBorders>
            <w:hideMark/>
          </w:tcPr>
          <w:p w14:paraId="4DE13D9E" w14:textId="77777777" w:rsidR="00EE36DE" w:rsidRPr="00EE36DE" w:rsidRDefault="00EE36DE" w:rsidP="00EE36DE">
            <w:pPr>
              <w:ind w:firstLine="0"/>
            </w:pPr>
            <w:r w:rsidRPr="00EE36DE">
              <w:t> </w:t>
            </w:r>
          </w:p>
        </w:tc>
      </w:tr>
    </w:tbl>
    <w:p w14:paraId="324C3087" w14:textId="77777777" w:rsidR="00EE36DE" w:rsidRDefault="00EE36DE" w:rsidP="00EE36DE">
      <w:pPr>
        <w:ind w:firstLine="0"/>
        <w:rPr>
          <w:b/>
          <w:bCs/>
        </w:rPr>
      </w:pPr>
    </w:p>
    <w:p w14:paraId="0ECBC6AE" w14:textId="77777777" w:rsidR="00C53C36" w:rsidRDefault="00C53C36" w:rsidP="00EE36DE">
      <w:pPr>
        <w:ind w:firstLine="0"/>
        <w:rPr>
          <w:b/>
          <w:bCs/>
        </w:rPr>
      </w:pPr>
    </w:p>
    <w:p w14:paraId="05E4120C" w14:textId="77777777" w:rsidR="00C53C36" w:rsidRPr="00EE36DE" w:rsidRDefault="00C53C36" w:rsidP="00EE36DE">
      <w:pPr>
        <w:ind w:firstLine="0"/>
        <w:rPr>
          <w:b/>
          <w:bCs/>
        </w:rPr>
      </w:pPr>
    </w:p>
    <w:sectPr w:rsidR="00C53C36" w:rsidRPr="00EE36DE" w:rsidSect="003C564A">
      <w:pgSz w:w="12240" w:h="15840"/>
      <w:pgMar w:top="720" w:right="720" w:bottom="720" w:left="720" w:header="567" w:footer="567" w:gutter="0"/>
      <w:cols w:space="1296"/>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E0C5C" w16cid:durableId="148E0C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6E631" w14:textId="77777777" w:rsidR="005178A7" w:rsidRDefault="005178A7" w:rsidP="00D73B7C">
      <w:r>
        <w:separator/>
      </w:r>
    </w:p>
  </w:endnote>
  <w:endnote w:type="continuationSeparator" w:id="0">
    <w:p w14:paraId="469682B5" w14:textId="77777777" w:rsidR="005178A7" w:rsidRDefault="005178A7" w:rsidP="00D7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A246" w14:textId="77777777" w:rsidR="005178A7" w:rsidRDefault="005178A7" w:rsidP="00D73B7C">
      <w:r>
        <w:separator/>
      </w:r>
    </w:p>
  </w:footnote>
  <w:footnote w:type="continuationSeparator" w:id="0">
    <w:p w14:paraId="1E8DC51D" w14:textId="77777777" w:rsidR="005178A7" w:rsidRDefault="005178A7" w:rsidP="00D73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6317"/>
    <w:multiLevelType w:val="hybridMultilevel"/>
    <w:tmpl w:val="5C280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752248"/>
    <w:multiLevelType w:val="hybridMultilevel"/>
    <w:tmpl w:val="C4C8C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C53BAB"/>
    <w:multiLevelType w:val="hybridMultilevel"/>
    <w:tmpl w:val="D464AE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35331CC"/>
    <w:multiLevelType w:val="hybridMultilevel"/>
    <w:tmpl w:val="C10C99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58A328C1"/>
    <w:multiLevelType w:val="hybridMultilevel"/>
    <w:tmpl w:val="B7769D14"/>
    <w:lvl w:ilvl="0" w:tplc="4A1096B8">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7A410F"/>
    <w:multiLevelType w:val="hybridMultilevel"/>
    <w:tmpl w:val="318AD3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11820C2"/>
    <w:multiLevelType w:val="hybridMultilevel"/>
    <w:tmpl w:val="DC2E5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06458"/>
    <w:rsid w:val="00013434"/>
    <w:rsid w:val="00050CCF"/>
    <w:rsid w:val="000C7720"/>
    <w:rsid w:val="000E4DF6"/>
    <w:rsid w:val="0016081E"/>
    <w:rsid w:val="00164660"/>
    <w:rsid w:val="001831C3"/>
    <w:rsid w:val="0018472F"/>
    <w:rsid w:val="00192174"/>
    <w:rsid w:val="001A231F"/>
    <w:rsid w:val="002277BC"/>
    <w:rsid w:val="00230EB8"/>
    <w:rsid w:val="00285797"/>
    <w:rsid w:val="002A5F1C"/>
    <w:rsid w:val="002C2466"/>
    <w:rsid w:val="002C4C88"/>
    <w:rsid w:val="002D5AED"/>
    <w:rsid w:val="003113DE"/>
    <w:rsid w:val="00317A62"/>
    <w:rsid w:val="0033114C"/>
    <w:rsid w:val="0037105D"/>
    <w:rsid w:val="003868E1"/>
    <w:rsid w:val="00393A3A"/>
    <w:rsid w:val="003B478F"/>
    <w:rsid w:val="003C564A"/>
    <w:rsid w:val="003D4859"/>
    <w:rsid w:val="003D488A"/>
    <w:rsid w:val="00424DF0"/>
    <w:rsid w:val="00441391"/>
    <w:rsid w:val="0044328D"/>
    <w:rsid w:val="004453F7"/>
    <w:rsid w:val="004760C5"/>
    <w:rsid w:val="00481E42"/>
    <w:rsid w:val="00482EC2"/>
    <w:rsid w:val="00494D06"/>
    <w:rsid w:val="004D3125"/>
    <w:rsid w:val="005178A7"/>
    <w:rsid w:val="00527BFA"/>
    <w:rsid w:val="00540B59"/>
    <w:rsid w:val="005449AA"/>
    <w:rsid w:val="0054642E"/>
    <w:rsid w:val="0055531A"/>
    <w:rsid w:val="005721BD"/>
    <w:rsid w:val="0059629C"/>
    <w:rsid w:val="00596E8C"/>
    <w:rsid w:val="005B018E"/>
    <w:rsid w:val="005C120B"/>
    <w:rsid w:val="005D0473"/>
    <w:rsid w:val="005D2A24"/>
    <w:rsid w:val="005F2622"/>
    <w:rsid w:val="0062102B"/>
    <w:rsid w:val="006761A8"/>
    <w:rsid w:val="00681E59"/>
    <w:rsid w:val="00692A0C"/>
    <w:rsid w:val="006B76BB"/>
    <w:rsid w:val="006C0C22"/>
    <w:rsid w:val="006D785C"/>
    <w:rsid w:val="006F13A5"/>
    <w:rsid w:val="006F25E1"/>
    <w:rsid w:val="00725AF2"/>
    <w:rsid w:val="007452FA"/>
    <w:rsid w:val="007734BB"/>
    <w:rsid w:val="007B453C"/>
    <w:rsid w:val="007C1D14"/>
    <w:rsid w:val="007C20FD"/>
    <w:rsid w:val="007E4D60"/>
    <w:rsid w:val="007E7EF4"/>
    <w:rsid w:val="007F0E3D"/>
    <w:rsid w:val="007F2520"/>
    <w:rsid w:val="00803958"/>
    <w:rsid w:val="00804B06"/>
    <w:rsid w:val="008605C0"/>
    <w:rsid w:val="008B3651"/>
    <w:rsid w:val="008C2484"/>
    <w:rsid w:val="008C6619"/>
    <w:rsid w:val="008C6812"/>
    <w:rsid w:val="008D0F6A"/>
    <w:rsid w:val="009407AC"/>
    <w:rsid w:val="00960627"/>
    <w:rsid w:val="009C4507"/>
    <w:rsid w:val="009C48A3"/>
    <w:rsid w:val="009D69AB"/>
    <w:rsid w:val="009D7629"/>
    <w:rsid w:val="00A02CAA"/>
    <w:rsid w:val="00A21166"/>
    <w:rsid w:val="00A229C7"/>
    <w:rsid w:val="00A56108"/>
    <w:rsid w:val="00A80571"/>
    <w:rsid w:val="00A855EA"/>
    <w:rsid w:val="00AA27FE"/>
    <w:rsid w:val="00AB30EB"/>
    <w:rsid w:val="00AF468B"/>
    <w:rsid w:val="00B0705B"/>
    <w:rsid w:val="00B16966"/>
    <w:rsid w:val="00B17576"/>
    <w:rsid w:val="00B26F15"/>
    <w:rsid w:val="00B71E6D"/>
    <w:rsid w:val="00B81A88"/>
    <w:rsid w:val="00BB15B4"/>
    <w:rsid w:val="00BF4BC8"/>
    <w:rsid w:val="00BF4C1F"/>
    <w:rsid w:val="00C34051"/>
    <w:rsid w:val="00C44E10"/>
    <w:rsid w:val="00C506C1"/>
    <w:rsid w:val="00C53C36"/>
    <w:rsid w:val="00C72767"/>
    <w:rsid w:val="00C9663A"/>
    <w:rsid w:val="00CB2910"/>
    <w:rsid w:val="00D2378B"/>
    <w:rsid w:val="00D41484"/>
    <w:rsid w:val="00D4255F"/>
    <w:rsid w:val="00D5452F"/>
    <w:rsid w:val="00D73B7C"/>
    <w:rsid w:val="00D84BF5"/>
    <w:rsid w:val="00DE5867"/>
    <w:rsid w:val="00E64E32"/>
    <w:rsid w:val="00E7684A"/>
    <w:rsid w:val="00E8205B"/>
    <w:rsid w:val="00EC5943"/>
    <w:rsid w:val="00EE36DE"/>
    <w:rsid w:val="00F07081"/>
    <w:rsid w:val="00F83721"/>
    <w:rsid w:val="00F84123"/>
    <w:rsid w:val="00FA0673"/>
    <w:rsid w:val="00FC00E6"/>
    <w:rsid w:val="00FD70BE"/>
    <w:rsid w:val="00FE3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B1F1D"/>
  <w15:chartTrackingRefBased/>
  <w15:docId w15:val="{765FA24F-1FC0-450D-8D40-99B0766F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paragraph" w:styleId="Antrats">
    <w:name w:val="header"/>
    <w:basedOn w:val="prastasis"/>
    <w:link w:val="AntratsDiagrama"/>
    <w:uiPriority w:val="99"/>
    <w:unhideWhenUsed/>
    <w:rsid w:val="00D73B7C"/>
    <w:pPr>
      <w:tabs>
        <w:tab w:val="center" w:pos="4819"/>
        <w:tab w:val="right" w:pos="9638"/>
      </w:tabs>
    </w:pPr>
  </w:style>
  <w:style w:type="character" w:customStyle="1" w:styleId="AntratsDiagrama">
    <w:name w:val="Antraštės Diagrama"/>
    <w:basedOn w:val="Numatytasispastraiposriftas"/>
    <w:link w:val="Antrats"/>
    <w:uiPriority w:val="99"/>
    <w:rsid w:val="00D73B7C"/>
    <w:rPr>
      <w:rFonts w:ascii="Arial" w:hAnsi="Arial" w:cs="Arial"/>
      <w:szCs w:val="24"/>
    </w:rPr>
  </w:style>
  <w:style w:type="paragraph" w:styleId="Porat">
    <w:name w:val="footer"/>
    <w:basedOn w:val="prastasis"/>
    <w:link w:val="PoratDiagrama"/>
    <w:uiPriority w:val="99"/>
    <w:unhideWhenUsed/>
    <w:rsid w:val="00D73B7C"/>
    <w:pPr>
      <w:tabs>
        <w:tab w:val="center" w:pos="4819"/>
        <w:tab w:val="right" w:pos="9638"/>
      </w:tabs>
    </w:pPr>
  </w:style>
  <w:style w:type="character" w:customStyle="1" w:styleId="PoratDiagrama">
    <w:name w:val="Poraštė Diagrama"/>
    <w:basedOn w:val="Numatytasispastraiposriftas"/>
    <w:link w:val="Porat"/>
    <w:uiPriority w:val="99"/>
    <w:rsid w:val="00D73B7C"/>
    <w:rPr>
      <w:rFonts w:ascii="Arial" w:hAnsi="Arial" w:cs="Arial"/>
      <w:szCs w:val="24"/>
    </w:rPr>
  </w:style>
  <w:style w:type="table" w:styleId="Lentelstinklelis">
    <w:name w:val="Table Grid"/>
    <w:basedOn w:val="prastojilentel"/>
    <w:uiPriority w:val="59"/>
    <w:rsid w:val="00EE3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CB2910"/>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CB2910"/>
    <w:rPr>
      <w:rFonts w:ascii="Arial" w:hAnsi="Arial" w:cs="Arial"/>
      <w:b/>
      <w:bCs/>
      <w:snapToGrid/>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D371-ED9D-47F6-9338-4C2D72370C30}">
  <ds:schemaRefs>
    <ds:schemaRef ds:uri="http://schemas.microsoft.com/office/2006/documentManagement/types"/>
    <ds:schemaRef ds:uri="http://purl.org/dc/elements/1.1/"/>
    <ds:schemaRef ds:uri="http://schemas.microsoft.com/office/2006/metadata/properties"/>
    <ds:schemaRef ds:uri="b81d9d50-5381-4229-85a1-a5a6aa9dcf9a"/>
    <ds:schemaRef ds:uri="http://purl.org/dc/terms/"/>
    <ds:schemaRef ds:uri="http://schemas.openxmlformats.org/package/2006/metadata/core-properties"/>
    <ds:schemaRef ds:uri="http://purl.org/dc/dcmitype/"/>
    <ds:schemaRef ds:uri="http://schemas.microsoft.com/office/infopath/2007/PartnerControls"/>
    <ds:schemaRef ds:uri="73c12c3c-c3f7-467e-864c-fd58412d3ab1"/>
    <ds:schemaRef ds:uri="http://www.w3.org/XML/1998/namespace"/>
  </ds:schemaRefs>
</ds:datastoreItem>
</file>

<file path=customXml/itemProps2.xml><?xml version="1.0" encoding="utf-8"?>
<ds:datastoreItem xmlns:ds="http://schemas.openxmlformats.org/officeDocument/2006/customXml" ds:itemID="{8597DC8C-DA43-4401-B4AE-03B4FA73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4A33E-6F74-42EF-8BE6-10C60F79004A}">
  <ds:schemaRefs>
    <ds:schemaRef ds:uri="http://schemas.microsoft.com/sharepoint/v3/contenttype/forms"/>
  </ds:schemaRefs>
</ds:datastoreItem>
</file>

<file path=customXml/itemProps4.xml><?xml version="1.0" encoding="utf-8"?>
<ds:datastoreItem xmlns:ds="http://schemas.openxmlformats.org/officeDocument/2006/customXml" ds:itemID="{1238EF90-251B-41C2-B149-A7D930D6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8945</Words>
  <Characters>5099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1 Techninė specifikacija</vt:lpstr>
      <vt:lpstr>Techninė specifikacijos forma</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1 Techninė specifikacija</dc:title>
  <dc:subject/>
  <dc:creator>Arvydas Juška</dc:creator>
  <cp:keywords/>
  <dc:description/>
  <cp:lastModifiedBy>Ugnė Čepauskaitė</cp:lastModifiedBy>
  <cp:revision>6</cp:revision>
  <dcterms:created xsi:type="dcterms:W3CDTF">2026-06-12T12:45:00Z</dcterms:created>
  <dcterms:modified xsi:type="dcterms:W3CDTF">2026-06-25T07:48:00Z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