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0B17A235"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Darbėnų sen., vietinės reikšmės kelio KT0138 Mažučiai – Kalgraužiai, 5,02 kilometre esančio tilto remonto darbai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w:t>
      </w:r>
      <w:r w:rsidRPr="009C454E">
        <w:rPr>
          <w:color w:val="000000" w:themeColor="text1"/>
        </w:rPr>
        <w:lastRenderedPageBreak/>
        <w:t>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2EDF1C0"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74266A">
        <w:rPr>
          <w:bCs/>
          <w:sz w:val="24"/>
          <w:szCs w:val="24"/>
        </w:rPr>
        <w:t>5</w:t>
      </w:r>
      <w:r w:rsidRPr="0009547A">
        <w:rPr>
          <w:bCs/>
          <w:sz w:val="24"/>
          <w:szCs w:val="24"/>
        </w:rPr>
        <w:t xml:space="preserve"> (</w:t>
      </w:r>
      <w:r w:rsidR="0074266A">
        <w:rPr>
          <w:bCs/>
          <w:sz w:val="24"/>
          <w:szCs w:val="24"/>
        </w:rPr>
        <w:t>penkis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CB92425"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pateiks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per kurį trūkumai turi būti pašalinti, per šį terminą nepašalinus trūkumų, numatyta </w:t>
      </w:r>
      <w:r w:rsidR="00F77039" w:rsidRPr="00DE3055">
        <w:lastRenderedPageBreak/>
        <w:t>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w:t>
      </w:r>
      <w:r w:rsidR="007458FF" w:rsidRPr="007458FF">
        <w:rPr>
          <w:bCs/>
          <w:szCs w:val="24"/>
        </w:rPr>
        <w:lastRenderedPageBreak/>
        <w:t xml:space="preserve">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w:t>
      </w:r>
      <w:r w:rsidR="00F77039">
        <w:lastRenderedPageBreak/>
        <w:t>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 xml:space="preserve">arbų. </w:t>
      </w:r>
      <w:r w:rsidR="00F77039" w:rsidRPr="00D01EF9">
        <w:lastRenderedPageBreak/>
        <w:t>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lastRenderedPageBreak/>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696ACF29"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915357">
        <w:t>Edita Beržanskienė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7200"/>
    <w:rsid w:val="002F2D8D"/>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33657</Words>
  <Characters>19185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Norvaišienė Monika</cp:lastModifiedBy>
  <cp:revision>3</cp:revision>
  <cp:lastPrinted>2026-03-05T07:36:00Z</cp:lastPrinted>
  <dcterms:created xsi:type="dcterms:W3CDTF">2026-03-05T07:37:00Z</dcterms:created>
  <dcterms:modified xsi:type="dcterms:W3CDTF">2026-03-12T10:01:00Z</dcterms:modified>
</cp:coreProperties>
</file>