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w:t>
      </w:r>
      <w:r w:rsidR="00E53340">
        <w:rPr>
          <w:rFonts w:asciiTheme="majorHAnsi" w:hAnsiTheme="majorHAnsi"/>
          <w:color w:val="auto"/>
          <w:sz w:val="18"/>
          <w:szCs w:val="22"/>
        </w:rPr>
        <w:t>enių g. 2, 50161 Kaunas, tel. (0 37) 32 63 60, (0</w:t>
      </w:r>
      <w:r w:rsidRPr="00D02107">
        <w:rPr>
          <w:rFonts w:asciiTheme="majorHAnsi" w:hAnsiTheme="majorHAnsi"/>
          <w:color w:val="auto"/>
          <w:sz w:val="18"/>
          <w:szCs w:val="22"/>
        </w:rPr>
        <w:t xml:space="preserve"> 37) 32 69 75,</w:t>
      </w:r>
    </w:p>
    <w:p w:rsidR="007C7568" w:rsidRPr="00D02107" w:rsidRDefault="00E53340" w:rsidP="007C7568">
      <w:pPr>
        <w:pStyle w:val="Default"/>
        <w:jc w:val="center"/>
        <w:rPr>
          <w:rFonts w:asciiTheme="majorHAnsi" w:hAnsiTheme="majorHAnsi"/>
          <w:color w:val="auto"/>
          <w:sz w:val="18"/>
          <w:szCs w:val="22"/>
        </w:rPr>
      </w:pPr>
      <w:r>
        <w:rPr>
          <w:rFonts w:asciiTheme="majorHAnsi" w:hAnsiTheme="majorHAnsi"/>
          <w:color w:val="auto"/>
          <w:sz w:val="18"/>
          <w:szCs w:val="22"/>
        </w:rPr>
        <w:t>faks. (0</w:t>
      </w:r>
      <w:r w:rsidR="007C7568"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5F1F88">
      <w:pPr>
        <w:tabs>
          <w:tab w:val="left" w:pos="6379"/>
          <w:tab w:val="right" w:leader="underscore" w:pos="8640"/>
        </w:tabs>
        <w:ind w:left="6663"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0769A3" w:rsidP="007C7568">
      <w:pPr>
        <w:jc w:val="center"/>
        <w:rPr>
          <w:rFonts w:asciiTheme="majorHAnsi" w:hAnsiTheme="majorHAnsi"/>
          <w:b/>
          <w:bCs/>
          <w:sz w:val="22"/>
          <w:szCs w:val="22"/>
          <w:lang w:val="lt-LT"/>
        </w:rPr>
      </w:pPr>
      <w:r>
        <w:rPr>
          <w:rFonts w:asciiTheme="majorHAnsi" w:hAnsiTheme="majorHAnsi"/>
          <w:b/>
          <w:bCs/>
          <w:sz w:val="22"/>
          <w:szCs w:val="22"/>
          <w:lang w:val="lt-LT"/>
        </w:rPr>
        <w:t>REAGEN</w:t>
      </w:r>
      <w:r w:rsidR="004740B1">
        <w:rPr>
          <w:rFonts w:asciiTheme="majorHAnsi" w:hAnsiTheme="majorHAnsi"/>
          <w:b/>
          <w:bCs/>
          <w:sz w:val="22"/>
          <w:szCs w:val="22"/>
          <w:lang w:val="lt-LT"/>
        </w:rPr>
        <w:t>T</w:t>
      </w:r>
      <w:r>
        <w:rPr>
          <w:rFonts w:asciiTheme="majorHAnsi" w:hAnsiTheme="majorHAnsi"/>
          <w:b/>
          <w:bCs/>
          <w:sz w:val="22"/>
          <w:szCs w:val="22"/>
          <w:lang w:val="lt-LT"/>
        </w:rPr>
        <w:t>AI</w:t>
      </w:r>
      <w:r w:rsidR="004740B1">
        <w:rPr>
          <w:rFonts w:asciiTheme="majorHAnsi" w:hAnsiTheme="majorHAnsi"/>
          <w:b/>
          <w:bCs/>
          <w:sz w:val="22"/>
          <w:szCs w:val="22"/>
          <w:lang w:val="lt-LT"/>
        </w:rPr>
        <w:t xml:space="preserve"> </w:t>
      </w:r>
      <w:r w:rsidR="00EE2940">
        <w:rPr>
          <w:rFonts w:asciiTheme="majorHAnsi" w:hAnsiTheme="majorHAnsi"/>
          <w:b/>
          <w:bCs/>
          <w:sz w:val="22"/>
          <w:szCs w:val="22"/>
          <w:lang w:val="lt-LT"/>
        </w:rPr>
        <w:t>ERITROPOETINO NUSTATYMUI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AA1BD6">
        <w:rPr>
          <w:rFonts w:asciiTheme="majorHAnsi" w:hAnsiTheme="majorHAnsi"/>
          <w:b/>
          <w:bCs/>
          <w:color w:val="548DD4" w:themeColor="text2" w:themeTint="99"/>
          <w:sz w:val="22"/>
          <w:szCs w:val="22"/>
        </w:rPr>
        <w:t xml:space="preserve">reagentus </w:t>
      </w:r>
      <w:r w:rsidR="00D7464F">
        <w:rPr>
          <w:rFonts w:asciiTheme="majorHAnsi" w:hAnsiTheme="majorHAnsi"/>
          <w:b/>
          <w:bCs/>
          <w:color w:val="548DD4" w:themeColor="text2" w:themeTint="99"/>
          <w:sz w:val="22"/>
          <w:szCs w:val="22"/>
        </w:rPr>
        <w:t>eritropoetino nustatymui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w:t>
      </w:r>
      <w:r w:rsidR="00180D0C">
        <w:rPr>
          <w:rFonts w:asciiTheme="majorHAnsi" w:hAnsiTheme="majorHAnsi"/>
          <w:sz w:val="22"/>
          <w:szCs w:val="22"/>
        </w:rPr>
        <w:t>0</w:t>
      </w:r>
      <w:r w:rsidR="00662C1E" w:rsidRPr="00D02107">
        <w:rPr>
          <w:rFonts w:asciiTheme="majorHAnsi" w:hAnsiTheme="majorHAnsi"/>
          <w:sz w:val="22"/>
          <w:szCs w:val="22"/>
        </w:rPr>
        <w:t xml:space="preserve">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AA1BD6">
        <w:rPr>
          <w:rFonts w:asciiTheme="majorHAnsi" w:hAnsiTheme="majorHAnsi"/>
          <w:b/>
          <w:bCs/>
          <w:color w:val="548DD4" w:themeColor="text2" w:themeTint="99"/>
          <w:lang w:val="en-US"/>
        </w:rPr>
        <w:t xml:space="preserve">reagentai </w:t>
      </w:r>
      <w:r w:rsidR="00E76B89">
        <w:rPr>
          <w:rFonts w:asciiTheme="majorHAnsi" w:hAnsiTheme="majorHAnsi"/>
          <w:b/>
          <w:bCs/>
          <w:color w:val="548DD4" w:themeColor="text2" w:themeTint="99"/>
          <w:lang w:val="en-US"/>
        </w:rPr>
        <w:t>eritropoetino nustatymui</w:t>
      </w:r>
      <w:r w:rsidR="006E508A">
        <w:rPr>
          <w:rFonts w:asciiTheme="majorHAnsi" w:hAnsiTheme="majorHAnsi"/>
          <w:b/>
          <w:bCs/>
          <w:color w:val="548DD4" w:themeColor="text2" w:themeTint="99"/>
          <w:lang w:val="en-US"/>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C42CD0"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C42CD0">
        <w:rPr>
          <w:rFonts w:asciiTheme="majorHAnsi" w:hAnsiTheme="majorHAnsi"/>
        </w:rPr>
        <w:t xml:space="preserve">Šis pirkimas </w:t>
      </w:r>
      <w:r w:rsidR="007B1635" w:rsidRPr="00C42CD0">
        <w:rPr>
          <w:rFonts w:asciiTheme="majorHAnsi" w:hAnsiTheme="majorHAnsi"/>
        </w:rPr>
        <w:t>į dalis</w:t>
      </w:r>
      <w:r w:rsidR="00C42CD0" w:rsidRPr="00C42CD0">
        <w:rPr>
          <w:rFonts w:asciiTheme="majorHAnsi" w:hAnsiTheme="majorHAnsi"/>
        </w:rPr>
        <w:t xml:space="preserve"> neskaidomas</w:t>
      </w:r>
      <w:r w:rsidR="00AC448C" w:rsidRPr="00C42CD0">
        <w:rPr>
          <w:rFonts w:asciiTheme="majorHAnsi" w:hAnsiTheme="majorHAnsi"/>
        </w:rPr>
        <w:t xml:space="preserve"> (Viso </w:t>
      </w:r>
      <w:r w:rsidR="00C42CD0" w:rsidRPr="00C42CD0">
        <w:rPr>
          <w:rFonts w:asciiTheme="majorHAnsi" w:hAnsiTheme="majorHAnsi"/>
        </w:rPr>
        <w:t>1 pirkimo dalis</w:t>
      </w:r>
      <w:r w:rsidR="00AC448C" w:rsidRPr="00C42CD0">
        <w:rPr>
          <w:rFonts w:asciiTheme="majorHAnsi" w:hAnsiTheme="majorHAnsi"/>
        </w:rPr>
        <w:t>)</w:t>
      </w:r>
      <w:r w:rsidR="007B1635" w:rsidRPr="00C42CD0">
        <w:rPr>
          <w:rFonts w:asciiTheme="majorHAnsi" w:hAnsiTheme="majorHAnsi"/>
        </w:rPr>
        <w:t>.</w:t>
      </w:r>
    </w:p>
    <w:p w:rsidR="00FC71C5" w:rsidRDefault="00FC71C5"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9E226B">
        <w:rPr>
          <w:rFonts w:ascii="Cambria" w:hAnsi="Cambria"/>
        </w:rPr>
        <w:t>Dalyvis gali pateikti tik vieną pasiūlymą visam pirkimui. Alternatyvūs pasiūlymai negalimi.</w:t>
      </w:r>
      <w:r w:rsidRPr="009E226B">
        <w:rPr>
          <w:rFonts w:ascii="Cambria" w:hAnsi="Cambria"/>
          <w:iCs/>
        </w:rPr>
        <w:t xml:space="preserve"> Pasiūlymas turi būti pateiktas visai pirkimo sąlygų techninėje specifikacijoje nurodytai apimčiai</w:t>
      </w:r>
      <w:r w:rsidRPr="00D02107">
        <w:rPr>
          <w:rFonts w:asciiTheme="majorHAnsi" w:hAnsiTheme="majorHAnsi"/>
        </w:rPr>
        <w:t xml:space="preserve"> </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bookmarkStart w:id="12" w:name="_GoBack"/>
      <w:bookmarkEnd w:id="12"/>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9F4E3D">
        <w:rPr>
          <w:rFonts w:asciiTheme="majorHAnsi" w:hAnsiTheme="majorHAnsi"/>
          <w:b/>
          <w:sz w:val="22"/>
          <w:szCs w:val="22"/>
        </w:rPr>
        <w:t>8428734</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D02107">
        <w:rPr>
          <w:rFonts w:asciiTheme="majorHAnsi" w:hAnsiTheme="majorHAnsi"/>
          <w:b/>
          <w:sz w:val="22"/>
        </w:rPr>
        <w:t>3. </w:t>
      </w:r>
      <w:bookmarkStart w:id="14"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4"/>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77405F" w:rsidRPr="00D02107">
        <w:rPr>
          <w:rFonts w:asciiTheme="majorHAnsi" w:hAnsiTheme="majorHAnsi"/>
          <w:color w:val="000000"/>
          <w:sz w:val="22"/>
          <w:szCs w:val="22"/>
          <w:lang w:eastAsia="lt-LT"/>
        </w:rPr>
        <w:lastRenderedPageBreak/>
        <w:t>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02107">
              <w:rPr>
                <w:rFonts w:asciiTheme="majorHAnsi" w:hAnsiTheme="majorHAnsi"/>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struktūrinis padalinys, per </w:t>
            </w:r>
            <w:r w:rsidRPr="00D02107">
              <w:rPr>
                <w:rFonts w:asciiTheme="majorHAnsi" w:hAnsiTheme="majorHAnsi"/>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terminas ilgesnis nei pašalinimo </w:t>
            </w:r>
            <w:r w:rsidRPr="00D02107">
              <w:rPr>
                <w:rFonts w:asciiTheme="majorHAnsi" w:hAnsiTheme="majorHAnsi"/>
                <w:bCs/>
                <w:color w:val="000000"/>
                <w:sz w:val="22"/>
                <w:szCs w:val="22"/>
                <w:lang w:eastAsia="lt-LT"/>
              </w:rPr>
              <w:lastRenderedPageBreak/>
              <w:t>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915A2F"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915A2F"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6"/>
      <w:bookmarkEnd w:id="17"/>
    </w:p>
    <w:p w:rsidR="007C7568" w:rsidRPr="00D02107" w:rsidRDefault="007C7568" w:rsidP="007C7568">
      <w:pPr>
        <w:rPr>
          <w:rFonts w:asciiTheme="majorHAnsi" w:hAnsiTheme="majorHAnsi"/>
          <w:sz w:val="22"/>
          <w:szCs w:val="22"/>
          <w:lang w:eastAsia="lt-LT"/>
        </w:rPr>
      </w:pPr>
    </w:p>
    <w:bookmarkEnd w:id="18"/>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9"/>
      <w:bookmarkEnd w:id="20"/>
      <w:bookmarkEnd w:id="21"/>
      <w:bookmarkEnd w:id="22"/>
      <w:bookmarkEnd w:id="23"/>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4" w:name="_Ref58463908"/>
      <w:bookmarkStart w:id="25" w:name="_Ref60481947"/>
      <w:bookmarkStart w:id="26"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DA7A86">
        <w:rPr>
          <w:rFonts w:asciiTheme="majorHAnsi" w:hAnsiTheme="majorHAnsi" w:cs="Times New Roman"/>
          <w:b/>
          <w:iCs/>
          <w:color w:val="548DD4" w:themeColor="text2" w:themeTint="99"/>
        </w:rPr>
        <w:t>6</w:t>
      </w:r>
      <w:r w:rsidR="00A267EC" w:rsidRPr="00AA7953">
        <w:rPr>
          <w:rFonts w:asciiTheme="majorHAnsi" w:hAnsiTheme="majorHAnsi" w:cs="Times New Roman"/>
          <w:b/>
          <w:iCs/>
          <w:color w:val="548DD4" w:themeColor="text2" w:themeTint="99"/>
        </w:rPr>
        <w:t xml:space="preserve"> m. </w:t>
      </w:r>
      <w:r w:rsidR="00B83EF1">
        <w:rPr>
          <w:rFonts w:asciiTheme="majorHAnsi" w:hAnsiTheme="majorHAnsi" w:cs="Times New Roman"/>
          <w:b/>
          <w:iCs/>
          <w:color w:val="548DD4" w:themeColor="text2" w:themeTint="99"/>
        </w:rPr>
        <w:t>liepos</w:t>
      </w:r>
      <w:r w:rsidR="00BB7F9F" w:rsidRPr="00AA7953">
        <w:rPr>
          <w:rFonts w:asciiTheme="majorHAnsi" w:hAnsiTheme="majorHAnsi" w:cs="Times New Roman"/>
          <w:b/>
          <w:iCs/>
          <w:color w:val="548DD4" w:themeColor="text2" w:themeTint="99"/>
        </w:rPr>
        <w:t xml:space="preserve"> </w:t>
      </w:r>
      <w:r w:rsidR="00DA7A86">
        <w:rPr>
          <w:rFonts w:asciiTheme="majorHAnsi" w:hAnsiTheme="majorHAnsi" w:cs="Times New Roman"/>
          <w:b/>
          <w:iCs/>
          <w:color w:val="548DD4" w:themeColor="text2" w:themeTint="99"/>
        </w:rPr>
        <w:t>13</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4E2B4D">
        <w:rPr>
          <w:rFonts w:asciiTheme="majorHAnsi" w:hAnsiTheme="majorHAnsi" w:cs="Times New Roman"/>
          <w:b/>
          <w:iCs/>
          <w:color w:val="548DD4" w:themeColor="text2" w:themeTint="99"/>
        </w:rPr>
        <w:t>10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4E2B4D">
        <w:rPr>
          <w:rFonts w:asciiTheme="majorHAnsi" w:hAnsiTheme="majorHAnsi" w:cs="Times New Roman"/>
          <w:b/>
          <w:color w:val="auto"/>
          <w:lang w:val="lt-LT"/>
        </w:rPr>
        <w:t>3 (tris) mėnesius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4"/>
    <w:bookmarkEnd w:id="25"/>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7"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7"/>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8"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8"/>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9" w:name="_Toc490665146"/>
      <w:r w:rsidRPr="00D02107">
        <w:rPr>
          <w:rFonts w:asciiTheme="majorHAnsi" w:hAnsiTheme="majorHAnsi"/>
          <w:b/>
          <w:sz w:val="22"/>
        </w:rPr>
        <w:t>PAVYZDŽIŲ PATEIKIMAS</w:t>
      </w:r>
      <w:bookmarkEnd w:id="29"/>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30" w:name="_Toc490665147"/>
      <w:r w:rsidRPr="00D02107">
        <w:rPr>
          <w:rFonts w:asciiTheme="majorHAnsi" w:hAnsiTheme="majorHAnsi"/>
          <w:b/>
          <w:sz w:val="22"/>
        </w:rPr>
        <w:t>PIRKIMO SĄLYGŲ PAAIŠKINIMAS IR PATIKSLINIMAS</w:t>
      </w:r>
      <w:bookmarkEnd w:id="30"/>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D02107">
        <w:rPr>
          <w:rFonts w:asciiTheme="majorHAnsi" w:hAnsiTheme="majorHAnsi"/>
          <w:b/>
          <w:sz w:val="22"/>
        </w:rPr>
        <w:t>SUSIPAŽINIMO SU DALYVIŲ PASIŪLYMAIS PROCEDŪROS</w:t>
      </w:r>
      <w:bookmarkEnd w:id="34"/>
      <w:bookmarkEnd w:id="35"/>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1027F7">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820D87">
        <w:rPr>
          <w:rFonts w:asciiTheme="majorHAnsi" w:hAnsiTheme="majorHAnsi"/>
          <w:b/>
          <w:iCs/>
          <w:color w:val="548DD4" w:themeColor="text2" w:themeTint="99"/>
          <w:sz w:val="22"/>
          <w:szCs w:val="22"/>
        </w:rPr>
        <w:t>6</w:t>
      </w:r>
      <w:r w:rsidR="00A267EC" w:rsidRPr="00085813">
        <w:rPr>
          <w:rFonts w:asciiTheme="majorHAnsi" w:hAnsiTheme="majorHAnsi"/>
          <w:b/>
          <w:iCs/>
          <w:color w:val="548DD4" w:themeColor="text2" w:themeTint="99"/>
          <w:sz w:val="22"/>
          <w:szCs w:val="22"/>
        </w:rPr>
        <w:t xml:space="preserve"> m. </w:t>
      </w:r>
      <w:r w:rsidR="00312D44">
        <w:rPr>
          <w:rFonts w:asciiTheme="majorHAnsi" w:hAnsiTheme="majorHAnsi"/>
          <w:b/>
          <w:iCs/>
          <w:color w:val="548DD4" w:themeColor="text2" w:themeTint="99"/>
          <w:sz w:val="22"/>
          <w:szCs w:val="22"/>
        </w:rPr>
        <w:t xml:space="preserve">liepos </w:t>
      </w:r>
      <w:r w:rsidR="006C6C9B" w:rsidRPr="00085813">
        <w:rPr>
          <w:rFonts w:asciiTheme="majorHAnsi" w:hAnsiTheme="majorHAnsi"/>
          <w:b/>
          <w:iCs/>
          <w:color w:val="548DD4" w:themeColor="text2" w:themeTint="99"/>
          <w:sz w:val="22"/>
          <w:szCs w:val="22"/>
        </w:rPr>
        <w:t xml:space="preserve"> </w:t>
      </w:r>
      <w:r w:rsidR="00820D87">
        <w:rPr>
          <w:rFonts w:asciiTheme="majorHAnsi" w:hAnsiTheme="majorHAnsi"/>
          <w:b/>
          <w:iCs/>
          <w:color w:val="548DD4" w:themeColor="text2" w:themeTint="99"/>
          <w:sz w:val="22"/>
          <w:szCs w:val="22"/>
        </w:rPr>
        <w:t>13</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1027F7">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820D87">
        <w:rPr>
          <w:rFonts w:asciiTheme="majorHAnsi" w:hAnsiTheme="majorHAnsi"/>
          <w:b/>
          <w:iCs/>
          <w:color w:val="548DD4" w:themeColor="text2" w:themeTint="99"/>
          <w:sz w:val="22"/>
          <w:szCs w:val="22"/>
          <w:u w:val="single"/>
        </w:rPr>
        <w:t>6</w:t>
      </w:r>
      <w:r w:rsidR="00D56028" w:rsidRPr="00085813">
        <w:rPr>
          <w:rFonts w:asciiTheme="majorHAnsi" w:hAnsiTheme="majorHAnsi"/>
          <w:b/>
          <w:iCs/>
          <w:color w:val="548DD4" w:themeColor="text2" w:themeTint="99"/>
          <w:sz w:val="22"/>
          <w:szCs w:val="22"/>
          <w:u w:val="single"/>
        </w:rPr>
        <w:t xml:space="preserve"> m. </w:t>
      </w:r>
      <w:r w:rsidR="00312D44">
        <w:rPr>
          <w:rFonts w:asciiTheme="majorHAnsi" w:hAnsiTheme="majorHAnsi"/>
          <w:b/>
          <w:iCs/>
          <w:color w:val="548DD4" w:themeColor="text2" w:themeTint="99"/>
          <w:sz w:val="22"/>
          <w:szCs w:val="22"/>
          <w:u w:val="single"/>
        </w:rPr>
        <w:t>liepos</w:t>
      </w:r>
      <w:r w:rsidR="00F67163" w:rsidRPr="00085813">
        <w:rPr>
          <w:rFonts w:asciiTheme="majorHAnsi" w:hAnsiTheme="majorHAnsi"/>
          <w:b/>
          <w:iCs/>
          <w:color w:val="548DD4" w:themeColor="text2" w:themeTint="99"/>
          <w:sz w:val="22"/>
          <w:szCs w:val="22"/>
          <w:u w:val="single"/>
        </w:rPr>
        <w:t xml:space="preserve"> </w:t>
      </w:r>
      <w:r w:rsidR="00820D87">
        <w:rPr>
          <w:rFonts w:asciiTheme="majorHAnsi" w:hAnsiTheme="majorHAnsi"/>
          <w:b/>
          <w:iCs/>
          <w:color w:val="548DD4" w:themeColor="text2" w:themeTint="99"/>
          <w:sz w:val="22"/>
          <w:szCs w:val="22"/>
          <w:u w:val="single"/>
        </w:rPr>
        <w:t>13</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D02107" w:rsidRDefault="007C7568" w:rsidP="00662C1E">
      <w:pPr>
        <w:pStyle w:val="Body2"/>
        <w:rPr>
          <w:rFonts w:asciiTheme="majorHAnsi" w:hAnsiTheme="majorHAnsi" w:cs="Times New Roman"/>
        </w:rPr>
      </w:pPr>
      <w:bookmarkStart w:id="39" w:name="_Toc60525491"/>
      <w:bookmarkStart w:id="40" w:name="_Toc47844937"/>
      <w:bookmarkStart w:id="41"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C55F63">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w:t>
      </w:r>
      <w:r w:rsidR="00B94EB9">
        <w:rPr>
          <w:rFonts w:asciiTheme="majorHAnsi" w:hAnsiTheme="majorHAnsi"/>
          <w:color w:val="000000"/>
          <w:sz w:val="22"/>
          <w:szCs w:val="22"/>
        </w:rPr>
        <w:t xml:space="preserve"> 2 priede (Sutarties projektas) </w:t>
      </w:r>
      <w:r w:rsidR="00072312" w:rsidRPr="00D02107">
        <w:rPr>
          <w:rFonts w:asciiTheme="majorHAnsi" w:hAnsiTheme="majorHAnsi"/>
          <w:sz w:val="22"/>
          <w:szCs w:val="22"/>
        </w:rPr>
        <w:t>ir p</w:t>
      </w:r>
      <w:r w:rsidR="00072312" w:rsidRPr="00D02107">
        <w:rPr>
          <w:rFonts w:asciiTheme="majorHAnsi" w:hAnsiTheme="majorHAnsi"/>
          <w:sz w:val="22"/>
          <w:szCs w:val="22"/>
          <w:shd w:val="clear" w:color="auto" w:fill="FFFFFF"/>
        </w:rPr>
        <w:t>rekių viešojo pirkimo–pardavimo sutarties bendrosios sąlygos</w:t>
      </w:r>
      <w:r w:rsidR="00072312" w:rsidRPr="00D02107">
        <w:rPr>
          <w:rFonts w:asciiTheme="majorHAnsi" w:hAnsiTheme="majorHAnsi"/>
          <w:sz w:val="22"/>
          <w:szCs w:val="22"/>
        </w:rPr>
        <w:t xml:space="preserve"> (</w:t>
      </w:r>
      <w:r w:rsidR="004E0AB3">
        <w:rPr>
          <w:rFonts w:asciiTheme="majorHAnsi" w:hAnsiTheme="majorHAnsi"/>
          <w:sz w:val="22"/>
          <w:szCs w:val="22"/>
        </w:rPr>
        <w:t>6</w:t>
      </w:r>
      <w:r w:rsidR="00072312" w:rsidRPr="00D02107">
        <w:rPr>
          <w:rFonts w:asciiTheme="majorHAnsi" w:hAnsiTheme="majorHAnsi"/>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D69B4">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3"/>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F0176D">
        <w:rPr>
          <w:rFonts w:asciiTheme="majorHAnsi" w:hAnsiTheme="majorHAnsi"/>
          <w:b/>
          <w:bCs/>
          <w:sz w:val="22"/>
          <w:szCs w:val="22"/>
        </w:rPr>
        <w:t xml:space="preserve">REAGENTŲ </w:t>
      </w:r>
      <w:r w:rsidR="00AC6715">
        <w:rPr>
          <w:rFonts w:asciiTheme="majorHAnsi" w:hAnsiTheme="majorHAnsi"/>
          <w:b/>
          <w:bCs/>
          <w:sz w:val="22"/>
          <w:szCs w:val="22"/>
        </w:rPr>
        <w:t>ERITROPOETINO NUSTATYMUI</w:t>
      </w:r>
      <w:r w:rsidR="00274330">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A2F" w:rsidRDefault="00915A2F" w:rsidP="000D1449">
      <w:r>
        <w:separator/>
      </w:r>
    </w:p>
  </w:endnote>
  <w:endnote w:type="continuationSeparator" w:id="0">
    <w:p w:rsidR="00915A2F" w:rsidRDefault="00915A2F"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A2F" w:rsidRDefault="00915A2F" w:rsidP="000D1449">
      <w:r>
        <w:separator/>
      </w:r>
    </w:p>
  </w:footnote>
  <w:footnote w:type="continuationSeparator" w:id="0">
    <w:p w:rsidR="00915A2F" w:rsidRDefault="00915A2F"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475E5"/>
    <w:rsid w:val="0005434D"/>
    <w:rsid w:val="00067FAC"/>
    <w:rsid w:val="00072312"/>
    <w:rsid w:val="000769A3"/>
    <w:rsid w:val="00085813"/>
    <w:rsid w:val="00090C5D"/>
    <w:rsid w:val="000B2124"/>
    <w:rsid w:val="000B46F4"/>
    <w:rsid w:val="000C3124"/>
    <w:rsid w:val="000D1449"/>
    <w:rsid w:val="000E238D"/>
    <w:rsid w:val="001020AE"/>
    <w:rsid w:val="001027F7"/>
    <w:rsid w:val="00104128"/>
    <w:rsid w:val="00121D44"/>
    <w:rsid w:val="00122307"/>
    <w:rsid w:val="00123C7F"/>
    <w:rsid w:val="00134794"/>
    <w:rsid w:val="00140DB2"/>
    <w:rsid w:val="00147D2A"/>
    <w:rsid w:val="0016184C"/>
    <w:rsid w:val="00180D0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3CB"/>
    <w:rsid w:val="00273C19"/>
    <w:rsid w:val="00274330"/>
    <w:rsid w:val="00287FAB"/>
    <w:rsid w:val="0029497B"/>
    <w:rsid w:val="00295E38"/>
    <w:rsid w:val="002A0C50"/>
    <w:rsid w:val="002A1022"/>
    <w:rsid w:val="002A3CDF"/>
    <w:rsid w:val="002B6D40"/>
    <w:rsid w:val="002C09E0"/>
    <w:rsid w:val="002C661B"/>
    <w:rsid w:val="002F6770"/>
    <w:rsid w:val="0030462B"/>
    <w:rsid w:val="00305B83"/>
    <w:rsid w:val="00312D44"/>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5FEA"/>
    <w:rsid w:val="003B737E"/>
    <w:rsid w:val="003C4DA8"/>
    <w:rsid w:val="003D3206"/>
    <w:rsid w:val="003F2B46"/>
    <w:rsid w:val="003F5E26"/>
    <w:rsid w:val="00403A8A"/>
    <w:rsid w:val="00414815"/>
    <w:rsid w:val="00436754"/>
    <w:rsid w:val="0046131D"/>
    <w:rsid w:val="00462C7E"/>
    <w:rsid w:val="00463A86"/>
    <w:rsid w:val="004740B1"/>
    <w:rsid w:val="004740DF"/>
    <w:rsid w:val="00476F8E"/>
    <w:rsid w:val="004841E8"/>
    <w:rsid w:val="004857F4"/>
    <w:rsid w:val="004927DE"/>
    <w:rsid w:val="00496649"/>
    <w:rsid w:val="004A4BBE"/>
    <w:rsid w:val="004C5220"/>
    <w:rsid w:val="004C65FE"/>
    <w:rsid w:val="004C7A82"/>
    <w:rsid w:val="004E0AB3"/>
    <w:rsid w:val="004E2B4D"/>
    <w:rsid w:val="004E7A71"/>
    <w:rsid w:val="004F5E1B"/>
    <w:rsid w:val="0051484A"/>
    <w:rsid w:val="005176B6"/>
    <w:rsid w:val="00542D73"/>
    <w:rsid w:val="005521B6"/>
    <w:rsid w:val="005550D2"/>
    <w:rsid w:val="0056352E"/>
    <w:rsid w:val="00567DDF"/>
    <w:rsid w:val="00583BDC"/>
    <w:rsid w:val="00583D0E"/>
    <w:rsid w:val="00595A67"/>
    <w:rsid w:val="005A22D5"/>
    <w:rsid w:val="005C2D13"/>
    <w:rsid w:val="005D1859"/>
    <w:rsid w:val="005D22F0"/>
    <w:rsid w:val="005D3BDB"/>
    <w:rsid w:val="005F1F88"/>
    <w:rsid w:val="005F45E0"/>
    <w:rsid w:val="005F5CDD"/>
    <w:rsid w:val="005F642D"/>
    <w:rsid w:val="00600AC5"/>
    <w:rsid w:val="00606D45"/>
    <w:rsid w:val="00610359"/>
    <w:rsid w:val="006146C7"/>
    <w:rsid w:val="006209DB"/>
    <w:rsid w:val="0063219E"/>
    <w:rsid w:val="0064549D"/>
    <w:rsid w:val="00651218"/>
    <w:rsid w:val="006621DA"/>
    <w:rsid w:val="00662C1E"/>
    <w:rsid w:val="00670BCE"/>
    <w:rsid w:val="00677257"/>
    <w:rsid w:val="006833F6"/>
    <w:rsid w:val="006848C7"/>
    <w:rsid w:val="006A27D9"/>
    <w:rsid w:val="006C0643"/>
    <w:rsid w:val="006C224A"/>
    <w:rsid w:val="006C346A"/>
    <w:rsid w:val="006C4F65"/>
    <w:rsid w:val="006C6C9B"/>
    <w:rsid w:val="006E508A"/>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06881"/>
    <w:rsid w:val="00813830"/>
    <w:rsid w:val="008157AB"/>
    <w:rsid w:val="00820D87"/>
    <w:rsid w:val="00824502"/>
    <w:rsid w:val="00825338"/>
    <w:rsid w:val="0083000C"/>
    <w:rsid w:val="0084787D"/>
    <w:rsid w:val="0085367C"/>
    <w:rsid w:val="008A2A1A"/>
    <w:rsid w:val="008A66D4"/>
    <w:rsid w:val="008B746A"/>
    <w:rsid w:val="008C19B4"/>
    <w:rsid w:val="008C4739"/>
    <w:rsid w:val="008F6181"/>
    <w:rsid w:val="00906428"/>
    <w:rsid w:val="00912CAB"/>
    <w:rsid w:val="00915A2F"/>
    <w:rsid w:val="00937DFB"/>
    <w:rsid w:val="0094019A"/>
    <w:rsid w:val="00950F0E"/>
    <w:rsid w:val="00954292"/>
    <w:rsid w:val="00954DF8"/>
    <w:rsid w:val="00974B98"/>
    <w:rsid w:val="009755C5"/>
    <w:rsid w:val="009835BD"/>
    <w:rsid w:val="00987CF8"/>
    <w:rsid w:val="009B6345"/>
    <w:rsid w:val="009D18C6"/>
    <w:rsid w:val="009E0AE9"/>
    <w:rsid w:val="009F3455"/>
    <w:rsid w:val="009F4E3D"/>
    <w:rsid w:val="00A13BB1"/>
    <w:rsid w:val="00A267EC"/>
    <w:rsid w:val="00A31A90"/>
    <w:rsid w:val="00A359AF"/>
    <w:rsid w:val="00A44857"/>
    <w:rsid w:val="00A876D5"/>
    <w:rsid w:val="00AA1BD6"/>
    <w:rsid w:val="00AA7953"/>
    <w:rsid w:val="00AB1602"/>
    <w:rsid w:val="00AC448C"/>
    <w:rsid w:val="00AC6715"/>
    <w:rsid w:val="00AD29F5"/>
    <w:rsid w:val="00AD62B2"/>
    <w:rsid w:val="00AD7A10"/>
    <w:rsid w:val="00AF4EB2"/>
    <w:rsid w:val="00B02BA5"/>
    <w:rsid w:val="00B23845"/>
    <w:rsid w:val="00B315E7"/>
    <w:rsid w:val="00B32737"/>
    <w:rsid w:val="00B36858"/>
    <w:rsid w:val="00B377D7"/>
    <w:rsid w:val="00B4013F"/>
    <w:rsid w:val="00B42676"/>
    <w:rsid w:val="00B538B6"/>
    <w:rsid w:val="00B543A5"/>
    <w:rsid w:val="00B55A01"/>
    <w:rsid w:val="00B6390A"/>
    <w:rsid w:val="00B67EB3"/>
    <w:rsid w:val="00B77D8D"/>
    <w:rsid w:val="00B80DDC"/>
    <w:rsid w:val="00B83EF1"/>
    <w:rsid w:val="00B86E9D"/>
    <w:rsid w:val="00B9285A"/>
    <w:rsid w:val="00B9326E"/>
    <w:rsid w:val="00B94EB9"/>
    <w:rsid w:val="00B9587B"/>
    <w:rsid w:val="00BA41C8"/>
    <w:rsid w:val="00BA6620"/>
    <w:rsid w:val="00BB27AB"/>
    <w:rsid w:val="00BB7F9F"/>
    <w:rsid w:val="00BC1EEB"/>
    <w:rsid w:val="00BD019F"/>
    <w:rsid w:val="00BD5B38"/>
    <w:rsid w:val="00BD69B4"/>
    <w:rsid w:val="00BE5253"/>
    <w:rsid w:val="00BF15AC"/>
    <w:rsid w:val="00BF2729"/>
    <w:rsid w:val="00C02FAE"/>
    <w:rsid w:val="00C11557"/>
    <w:rsid w:val="00C12CEF"/>
    <w:rsid w:val="00C20449"/>
    <w:rsid w:val="00C256E2"/>
    <w:rsid w:val="00C27917"/>
    <w:rsid w:val="00C33A96"/>
    <w:rsid w:val="00C34C47"/>
    <w:rsid w:val="00C425D8"/>
    <w:rsid w:val="00C42CD0"/>
    <w:rsid w:val="00C46B8C"/>
    <w:rsid w:val="00C55F63"/>
    <w:rsid w:val="00C611F0"/>
    <w:rsid w:val="00C65BE4"/>
    <w:rsid w:val="00C819C3"/>
    <w:rsid w:val="00C8482E"/>
    <w:rsid w:val="00C87268"/>
    <w:rsid w:val="00C90B21"/>
    <w:rsid w:val="00CB54C8"/>
    <w:rsid w:val="00CB56A3"/>
    <w:rsid w:val="00CB58D4"/>
    <w:rsid w:val="00CC03D0"/>
    <w:rsid w:val="00CD1D50"/>
    <w:rsid w:val="00CD75A2"/>
    <w:rsid w:val="00CE0027"/>
    <w:rsid w:val="00CF1F62"/>
    <w:rsid w:val="00D02107"/>
    <w:rsid w:val="00D0294B"/>
    <w:rsid w:val="00D42851"/>
    <w:rsid w:val="00D476A4"/>
    <w:rsid w:val="00D56028"/>
    <w:rsid w:val="00D6288C"/>
    <w:rsid w:val="00D66206"/>
    <w:rsid w:val="00D7464F"/>
    <w:rsid w:val="00D766DB"/>
    <w:rsid w:val="00D843E3"/>
    <w:rsid w:val="00D9038D"/>
    <w:rsid w:val="00DA29C9"/>
    <w:rsid w:val="00DA7A86"/>
    <w:rsid w:val="00DA7CF8"/>
    <w:rsid w:val="00DB149F"/>
    <w:rsid w:val="00DB2314"/>
    <w:rsid w:val="00DD38A2"/>
    <w:rsid w:val="00DD6F43"/>
    <w:rsid w:val="00DD7BEF"/>
    <w:rsid w:val="00DF624F"/>
    <w:rsid w:val="00E14C77"/>
    <w:rsid w:val="00E21100"/>
    <w:rsid w:val="00E21AB1"/>
    <w:rsid w:val="00E30E23"/>
    <w:rsid w:val="00E3390A"/>
    <w:rsid w:val="00E4128C"/>
    <w:rsid w:val="00E53340"/>
    <w:rsid w:val="00E7015B"/>
    <w:rsid w:val="00E731C9"/>
    <w:rsid w:val="00E76B89"/>
    <w:rsid w:val="00E8751D"/>
    <w:rsid w:val="00E87725"/>
    <w:rsid w:val="00E9056C"/>
    <w:rsid w:val="00EA1205"/>
    <w:rsid w:val="00EA182B"/>
    <w:rsid w:val="00EA5CFE"/>
    <w:rsid w:val="00EB24FB"/>
    <w:rsid w:val="00EB641A"/>
    <w:rsid w:val="00EC66D4"/>
    <w:rsid w:val="00ED375E"/>
    <w:rsid w:val="00ED6A8E"/>
    <w:rsid w:val="00EE2940"/>
    <w:rsid w:val="00EE48A7"/>
    <w:rsid w:val="00EF5E3F"/>
    <w:rsid w:val="00F0176D"/>
    <w:rsid w:val="00F05F67"/>
    <w:rsid w:val="00F21F06"/>
    <w:rsid w:val="00F2614C"/>
    <w:rsid w:val="00F34F90"/>
    <w:rsid w:val="00F351E6"/>
    <w:rsid w:val="00F36160"/>
    <w:rsid w:val="00F44C8D"/>
    <w:rsid w:val="00F55619"/>
    <w:rsid w:val="00F61E65"/>
    <w:rsid w:val="00F67163"/>
    <w:rsid w:val="00F817B9"/>
    <w:rsid w:val="00F96D16"/>
    <w:rsid w:val="00FC71C5"/>
    <w:rsid w:val="00FD04FA"/>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FC3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21914998-CDDD-4725-8743-B1DB3520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21</Pages>
  <Words>41263</Words>
  <Characters>23520</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119</cp:revision>
  <cp:lastPrinted>2022-07-19T12:55:00Z</cp:lastPrinted>
  <dcterms:created xsi:type="dcterms:W3CDTF">2020-10-05T13:26:00Z</dcterms:created>
  <dcterms:modified xsi:type="dcterms:W3CDTF">2026-06-29T09:53:00Z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