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6411" w14:textId="2E0EDB6D" w:rsidR="004403A6" w:rsidRPr="00544CEA" w:rsidRDefault="69E4F9CE" w:rsidP="00544CEA">
      <w:pPr>
        <w:spacing w:after="0" w:line="360" w:lineRule="auto"/>
        <w:rPr>
          <w:rFonts w:ascii="Calibri" w:hAnsi="Calibri" w:cs="Calibri"/>
          <w:b/>
          <w:sz w:val="24"/>
          <w:szCs w:val="24"/>
        </w:rPr>
      </w:pPr>
      <w:r w:rsidRPr="00544CEA">
        <w:rPr>
          <w:rFonts w:ascii="Calibri" w:eastAsia="Times New Roman" w:hAnsi="Calibri" w:cs="Calibri"/>
          <w:b/>
          <w:bCs/>
          <w:color w:val="000000" w:themeColor="text1"/>
          <w:sz w:val="24"/>
          <w:szCs w:val="24"/>
          <w:lang w:val="en-GB" w:eastAsia="lt-LT"/>
        </w:rPr>
        <w:t>TECHNICAL SPECIFICATION F</w:t>
      </w:r>
      <w:r w:rsidR="0003124C" w:rsidRPr="00544CEA">
        <w:rPr>
          <w:rFonts w:ascii="Calibri" w:eastAsia="Times New Roman" w:hAnsi="Calibri" w:cs="Calibri"/>
          <w:b/>
          <w:bCs/>
          <w:color w:val="000000" w:themeColor="text1"/>
          <w:sz w:val="24"/>
          <w:szCs w:val="24"/>
          <w:lang w:val="en-GB" w:eastAsia="lt-LT"/>
        </w:rPr>
        <w:t xml:space="preserve">OR </w:t>
      </w:r>
      <w:r w:rsidRPr="00544CEA">
        <w:rPr>
          <w:rFonts w:ascii="Calibri" w:eastAsia="Times New Roman" w:hAnsi="Calibri" w:cs="Calibri"/>
          <w:b/>
          <w:bCs/>
          <w:color w:val="000000" w:themeColor="text1"/>
          <w:sz w:val="24"/>
          <w:szCs w:val="24"/>
          <w:lang w:val="en-GB" w:eastAsia="lt-LT"/>
        </w:rPr>
        <w:t>THE</w:t>
      </w:r>
      <w:r w:rsidR="00674FE7" w:rsidRPr="00544CEA">
        <w:rPr>
          <w:rFonts w:ascii="Calibri" w:eastAsia="Times New Roman" w:hAnsi="Calibri" w:cs="Calibri"/>
          <w:b/>
          <w:bCs/>
          <w:color w:val="000000" w:themeColor="text1"/>
          <w:sz w:val="24"/>
          <w:szCs w:val="24"/>
          <w:lang w:val="en-GB" w:eastAsia="lt-LT"/>
        </w:rPr>
        <w:t xml:space="preserve"> LEASE</w:t>
      </w:r>
      <w:r w:rsidR="0003124C" w:rsidRPr="00544CEA">
        <w:rPr>
          <w:rFonts w:ascii="Calibri" w:eastAsia="Times New Roman" w:hAnsi="Calibri" w:cs="Calibri"/>
          <w:b/>
          <w:bCs/>
          <w:color w:val="000000" w:themeColor="text1"/>
          <w:sz w:val="24"/>
          <w:szCs w:val="24"/>
          <w:lang w:val="en-GB" w:eastAsia="lt-LT"/>
        </w:rPr>
        <w:t xml:space="preserve"> OF </w:t>
      </w:r>
      <w:r w:rsidR="5E413AF7" w:rsidRPr="00544CEA">
        <w:rPr>
          <w:rFonts w:ascii="Calibri" w:eastAsia="Times New Roman" w:hAnsi="Calibri" w:cs="Calibri"/>
          <w:b/>
          <w:bCs/>
          <w:color w:val="000000" w:themeColor="text1"/>
          <w:sz w:val="24"/>
          <w:szCs w:val="24"/>
          <w:lang w:val="en-GB" w:eastAsia="lt-LT"/>
        </w:rPr>
        <w:t xml:space="preserve">SOFTWARE </w:t>
      </w:r>
      <w:r w:rsidR="0003124C" w:rsidRPr="00544CEA">
        <w:rPr>
          <w:rFonts w:ascii="Calibri" w:eastAsia="Times New Roman" w:hAnsi="Calibri" w:cs="Calibri"/>
          <w:b/>
          <w:bCs/>
          <w:color w:val="000000" w:themeColor="text1"/>
          <w:sz w:val="24"/>
          <w:szCs w:val="24"/>
          <w:lang w:val="en-GB" w:eastAsia="lt-LT"/>
        </w:rPr>
        <w:t>(</w:t>
      </w:r>
      <w:r w:rsidRPr="00544CEA">
        <w:rPr>
          <w:rFonts w:ascii="Calibri" w:eastAsia="Times New Roman" w:hAnsi="Calibri" w:cs="Calibri"/>
          <w:b/>
          <w:bCs/>
          <w:color w:val="000000" w:themeColor="text1"/>
          <w:sz w:val="24"/>
          <w:szCs w:val="24"/>
          <w:lang w:val="en-GB" w:eastAsia="lt-LT"/>
        </w:rPr>
        <w:t>PROCESS MANAGEMENT SYSTEM</w:t>
      </w:r>
      <w:r w:rsidR="0003124C" w:rsidRPr="00544CEA">
        <w:rPr>
          <w:rFonts w:ascii="Calibri" w:eastAsia="Times New Roman" w:hAnsi="Calibri" w:cs="Calibri"/>
          <w:b/>
          <w:bCs/>
          <w:color w:val="000000" w:themeColor="text1"/>
          <w:sz w:val="24"/>
          <w:szCs w:val="24"/>
          <w:lang w:val="en-GB" w:eastAsia="lt-LT"/>
        </w:rPr>
        <w:t>)</w:t>
      </w:r>
      <w:r w:rsidR="004403A6" w:rsidRPr="00544CEA">
        <w:rPr>
          <w:rFonts w:ascii="Calibri" w:eastAsia="Times New Roman" w:hAnsi="Calibri" w:cs="Calibri"/>
          <w:b/>
          <w:bCs/>
          <w:color w:val="000000" w:themeColor="text1"/>
          <w:sz w:val="24"/>
          <w:szCs w:val="24"/>
          <w:lang w:val="en-GB" w:eastAsia="lt-LT"/>
        </w:rPr>
        <w:t xml:space="preserve"> </w:t>
      </w:r>
    </w:p>
    <w:p w14:paraId="0A873891" w14:textId="310FA3D6" w:rsidR="002D4C34" w:rsidRPr="00544CEA" w:rsidRDefault="002D4C34" w:rsidP="733F1FD8">
      <w:pPr>
        <w:ind w:left="-567"/>
        <w:jc w:val="center"/>
        <w:rPr>
          <w:rFonts w:ascii="Calibri" w:eastAsia="Times New Roman" w:hAnsi="Calibri" w:cs="Calibri"/>
          <w:color w:val="000000"/>
          <w:sz w:val="24"/>
          <w:szCs w:val="24"/>
          <w:lang w:val="en-GB" w:eastAsia="lt-LT"/>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2D4C34" w:rsidRPr="00544CEA" w14:paraId="7115B2BD" w14:textId="77777777" w:rsidTr="00544CEA">
        <w:trPr>
          <w:trHeight w:val="995"/>
        </w:trPr>
        <w:tc>
          <w:tcPr>
            <w:tcW w:w="10065" w:type="dxa"/>
            <w:shd w:val="clear" w:color="auto" w:fill="F2F2F2" w:themeFill="background1" w:themeFillShade="F2"/>
            <w:vAlign w:val="center"/>
          </w:tcPr>
          <w:p w14:paraId="0091B692" w14:textId="2C4C49DB" w:rsidR="002D4C34" w:rsidRPr="00544CEA" w:rsidRDefault="00C81A35" w:rsidP="006E0EB1">
            <w:pPr>
              <w:spacing w:after="0" w:line="240" w:lineRule="auto"/>
              <w:jc w:val="center"/>
              <w:rPr>
                <w:rFonts w:ascii="Calibri" w:eastAsia="Times New Roman" w:hAnsi="Calibri" w:cs="Calibri"/>
                <w:b/>
                <w:bCs/>
                <w:color w:val="000000"/>
                <w:sz w:val="24"/>
                <w:szCs w:val="24"/>
                <w:lang w:val="en-GB" w:eastAsia="lt-LT"/>
              </w:rPr>
            </w:pPr>
            <w:r w:rsidRPr="00544CEA">
              <w:rPr>
                <w:rFonts w:ascii="Calibri" w:eastAsia="Times New Roman" w:hAnsi="Calibri" w:cs="Calibri"/>
                <w:color w:val="000000" w:themeColor="text1"/>
                <w:sz w:val="24"/>
                <w:szCs w:val="24"/>
                <w:lang w:val="en-GB" w:eastAsia="lt-LT"/>
              </w:rPr>
              <w:t>Essential requirements for t</w:t>
            </w:r>
            <w:r w:rsidR="0B077253" w:rsidRPr="00544CEA">
              <w:rPr>
                <w:rFonts w:ascii="Calibri" w:eastAsia="Times New Roman" w:hAnsi="Calibri" w:cs="Calibri"/>
                <w:color w:val="000000" w:themeColor="text1"/>
                <w:sz w:val="24"/>
                <w:szCs w:val="24"/>
                <w:lang w:val="en-GB" w:eastAsia="lt-LT"/>
              </w:rPr>
              <w:t xml:space="preserve">he </w:t>
            </w:r>
            <w:r w:rsidRPr="00544CEA">
              <w:rPr>
                <w:rFonts w:ascii="Calibri" w:eastAsia="Times New Roman" w:hAnsi="Calibri" w:cs="Calibri"/>
                <w:color w:val="000000" w:themeColor="text1"/>
                <w:sz w:val="24"/>
                <w:szCs w:val="24"/>
                <w:lang w:val="en-GB" w:eastAsia="lt-LT"/>
              </w:rPr>
              <w:t xml:space="preserve">renewal of </w:t>
            </w:r>
            <w:r w:rsidR="0B077253" w:rsidRPr="00544CEA">
              <w:rPr>
                <w:rFonts w:ascii="Calibri" w:eastAsia="Times New Roman" w:hAnsi="Calibri" w:cs="Calibri"/>
                <w:color w:val="000000" w:themeColor="text1"/>
                <w:sz w:val="24"/>
                <w:szCs w:val="24"/>
                <w:lang w:val="en-GB" w:eastAsia="lt-LT"/>
              </w:rPr>
              <w:t xml:space="preserve">process management system </w:t>
            </w:r>
            <w:r w:rsidR="51F3CBE7" w:rsidRPr="00544CEA">
              <w:rPr>
                <w:rFonts w:ascii="Calibri" w:eastAsia="Times New Roman" w:hAnsi="Calibri" w:cs="Calibri"/>
                <w:b/>
                <w:bCs/>
                <w:color w:val="000000" w:themeColor="text1"/>
                <w:sz w:val="24"/>
                <w:szCs w:val="24"/>
                <w:lang w:val="en-GB" w:eastAsia="lt-LT"/>
              </w:rPr>
              <w:t xml:space="preserve">Nintex Process Manager </w:t>
            </w:r>
            <w:r w:rsidRPr="00544CEA">
              <w:rPr>
                <w:rFonts w:ascii="Calibri" w:eastAsia="Times New Roman" w:hAnsi="Calibri" w:cs="Calibri"/>
                <w:color w:val="000000" w:themeColor="text1"/>
                <w:sz w:val="24"/>
                <w:szCs w:val="24"/>
                <w:lang w:val="en-GB" w:eastAsia="lt-LT"/>
              </w:rPr>
              <w:t>subscription</w:t>
            </w:r>
            <w:r w:rsidR="006E0EB1" w:rsidRPr="00544CEA">
              <w:rPr>
                <w:rFonts w:ascii="Calibri" w:eastAsia="Times New Roman" w:hAnsi="Calibri" w:cs="Calibri"/>
                <w:bCs/>
                <w:color w:val="000000" w:themeColor="text1"/>
                <w:sz w:val="24"/>
                <w:szCs w:val="24"/>
                <w:lang w:val="en-GB" w:eastAsia="lt-LT"/>
              </w:rPr>
              <w:t xml:space="preserve"> licences</w:t>
            </w:r>
          </w:p>
        </w:tc>
      </w:tr>
      <w:tr w:rsidR="002D4C34" w:rsidRPr="00544CEA" w14:paraId="33F873CD" w14:textId="77777777" w:rsidTr="2737587E">
        <w:trPr>
          <w:trHeight w:val="585"/>
        </w:trPr>
        <w:tc>
          <w:tcPr>
            <w:tcW w:w="10065" w:type="dxa"/>
            <w:vAlign w:val="center"/>
          </w:tcPr>
          <w:p w14:paraId="6876E33C" w14:textId="62B17442" w:rsidR="002D4C34" w:rsidRPr="00544CEA" w:rsidRDefault="3A37E270" w:rsidP="006E0EB1">
            <w:pPr>
              <w:tabs>
                <w:tab w:val="left" w:pos="314"/>
              </w:tabs>
              <w:spacing w:after="0" w:line="360" w:lineRule="auto"/>
              <w:jc w:val="both"/>
              <w:rPr>
                <w:rFonts w:ascii="Calibri" w:eastAsia="Times New Roman" w:hAnsi="Calibri" w:cs="Calibri"/>
                <w:sz w:val="24"/>
                <w:szCs w:val="24"/>
                <w:lang w:val="en-GB" w:eastAsia="lt-LT"/>
              </w:rPr>
            </w:pPr>
            <w:r w:rsidRPr="00544CEA">
              <w:rPr>
                <w:rFonts w:ascii="Calibri" w:eastAsia="Times New Roman" w:hAnsi="Calibri" w:cs="Calibri"/>
                <w:sz w:val="24"/>
                <w:szCs w:val="24"/>
                <w:lang w:val="en-GB" w:eastAsia="lt-LT"/>
              </w:rPr>
              <w:t xml:space="preserve">1. </w:t>
            </w:r>
            <w:r w:rsidR="00C81A35" w:rsidRPr="00544CEA">
              <w:rPr>
                <w:rFonts w:ascii="Calibri" w:eastAsia="Times New Roman" w:hAnsi="Calibri" w:cs="Calibri"/>
                <w:sz w:val="24"/>
                <w:szCs w:val="24"/>
                <w:lang w:val="en-GB" w:eastAsia="lt-LT"/>
              </w:rPr>
              <w:t xml:space="preserve">The </w:t>
            </w:r>
            <w:r w:rsidR="69E4F9CE" w:rsidRPr="00544CEA">
              <w:rPr>
                <w:rFonts w:ascii="Calibri" w:eastAsia="Times New Roman" w:hAnsi="Calibri" w:cs="Calibri"/>
                <w:sz w:val="24"/>
                <w:szCs w:val="24"/>
                <w:lang w:val="en-GB" w:eastAsia="lt-LT"/>
              </w:rPr>
              <w:t xml:space="preserve">Provider must be the manufacturer of the </w:t>
            </w:r>
            <w:r w:rsidR="068BD10A" w:rsidRPr="00544CEA">
              <w:rPr>
                <w:rFonts w:ascii="Calibri" w:eastAsia="Times New Roman" w:hAnsi="Calibri" w:cs="Calibri"/>
                <w:sz w:val="24"/>
                <w:szCs w:val="24"/>
                <w:lang w:val="en-GB" w:eastAsia="lt-LT"/>
              </w:rPr>
              <w:t xml:space="preserve">Nintex </w:t>
            </w:r>
            <w:r w:rsidR="64621731" w:rsidRPr="00544CEA">
              <w:rPr>
                <w:rFonts w:ascii="Calibri" w:eastAsia="Times New Roman" w:hAnsi="Calibri" w:cs="Calibri"/>
                <w:sz w:val="24"/>
                <w:szCs w:val="24"/>
                <w:lang w:val="en-GB" w:eastAsia="lt-LT"/>
              </w:rPr>
              <w:t xml:space="preserve">Process Manager </w:t>
            </w:r>
            <w:proofErr w:type="gramStart"/>
            <w:r w:rsidR="69E4F9CE" w:rsidRPr="00544CEA">
              <w:rPr>
                <w:rFonts w:ascii="Calibri" w:eastAsia="Times New Roman" w:hAnsi="Calibri" w:cs="Calibri"/>
                <w:sz w:val="24"/>
                <w:szCs w:val="24"/>
                <w:lang w:val="en-GB" w:eastAsia="lt-LT"/>
              </w:rPr>
              <w:t>software</w:t>
            </w:r>
            <w:proofErr w:type="gramEnd"/>
            <w:r w:rsidR="69E4F9CE" w:rsidRPr="00544CEA">
              <w:rPr>
                <w:rFonts w:ascii="Calibri" w:eastAsia="Times New Roman" w:hAnsi="Calibri" w:cs="Calibri"/>
                <w:sz w:val="24"/>
                <w:szCs w:val="24"/>
                <w:lang w:val="en-GB" w:eastAsia="lt-LT"/>
              </w:rPr>
              <w:t xml:space="preserve"> or a</w:t>
            </w:r>
            <w:r w:rsidR="00C81A35" w:rsidRPr="00544CEA">
              <w:rPr>
                <w:rFonts w:ascii="Calibri" w:eastAsia="Times New Roman" w:hAnsi="Calibri" w:cs="Calibri"/>
                <w:sz w:val="24"/>
                <w:szCs w:val="24"/>
                <w:lang w:val="en-GB" w:eastAsia="lt-LT"/>
              </w:rPr>
              <w:t>n official</w:t>
            </w:r>
            <w:r w:rsidR="69E4F9CE" w:rsidRPr="00544CEA">
              <w:rPr>
                <w:rFonts w:ascii="Calibri" w:eastAsia="Times New Roman" w:hAnsi="Calibri" w:cs="Calibri"/>
                <w:sz w:val="24"/>
                <w:szCs w:val="24"/>
                <w:lang w:val="en-GB" w:eastAsia="lt-LT"/>
              </w:rPr>
              <w:t xml:space="preserve"> representative authori</w:t>
            </w:r>
            <w:r w:rsidR="00C81A35" w:rsidRPr="00544CEA">
              <w:rPr>
                <w:rFonts w:ascii="Calibri" w:eastAsia="Times New Roman" w:hAnsi="Calibri" w:cs="Calibri"/>
                <w:sz w:val="24"/>
                <w:szCs w:val="24"/>
                <w:lang w:val="en-GB" w:eastAsia="lt-LT"/>
              </w:rPr>
              <w:t>s</w:t>
            </w:r>
            <w:r w:rsidR="69E4F9CE" w:rsidRPr="00544CEA">
              <w:rPr>
                <w:rFonts w:ascii="Calibri" w:eastAsia="Times New Roman" w:hAnsi="Calibri" w:cs="Calibri"/>
                <w:sz w:val="24"/>
                <w:szCs w:val="24"/>
                <w:lang w:val="en-GB" w:eastAsia="lt-LT"/>
              </w:rPr>
              <w:t xml:space="preserve">ed to provide the </w:t>
            </w:r>
            <w:r w:rsidR="068BD10A" w:rsidRPr="00544CEA">
              <w:rPr>
                <w:rFonts w:ascii="Calibri" w:eastAsia="Times New Roman" w:hAnsi="Calibri" w:cs="Calibri"/>
                <w:sz w:val="24"/>
                <w:szCs w:val="24"/>
                <w:lang w:val="en-GB" w:eastAsia="lt-LT"/>
              </w:rPr>
              <w:t xml:space="preserve">Nintex </w:t>
            </w:r>
            <w:r w:rsidR="6AC8AD95" w:rsidRPr="00544CEA">
              <w:rPr>
                <w:rFonts w:ascii="Calibri" w:eastAsia="Times New Roman" w:hAnsi="Calibri" w:cs="Calibri"/>
                <w:sz w:val="24"/>
                <w:szCs w:val="24"/>
                <w:lang w:val="en-GB" w:eastAsia="lt-LT"/>
              </w:rPr>
              <w:t>Process Manager</w:t>
            </w:r>
            <w:r w:rsidR="068BD10A" w:rsidRPr="00544CEA">
              <w:rPr>
                <w:rFonts w:ascii="Calibri" w:eastAsia="Times New Roman" w:hAnsi="Calibri" w:cs="Calibri"/>
                <w:sz w:val="24"/>
                <w:szCs w:val="24"/>
                <w:lang w:val="en-GB" w:eastAsia="lt-LT"/>
              </w:rPr>
              <w:t xml:space="preserve"> </w:t>
            </w:r>
            <w:r w:rsidR="00014F7E" w:rsidRPr="00544CEA">
              <w:rPr>
                <w:rFonts w:ascii="Calibri" w:eastAsia="Times New Roman" w:hAnsi="Calibri" w:cs="Calibri"/>
                <w:sz w:val="24"/>
                <w:szCs w:val="24"/>
                <w:lang w:val="en-GB" w:eastAsia="lt-LT"/>
              </w:rPr>
              <w:t>lease</w:t>
            </w:r>
            <w:r w:rsidR="00C81A35" w:rsidRPr="00544CEA">
              <w:rPr>
                <w:rFonts w:ascii="Calibri" w:eastAsia="Times New Roman" w:hAnsi="Calibri" w:cs="Calibri"/>
                <w:sz w:val="24"/>
                <w:szCs w:val="24"/>
                <w:lang w:val="en-GB" w:eastAsia="lt-LT"/>
              </w:rPr>
              <w:t xml:space="preserve"> of </w:t>
            </w:r>
            <w:r w:rsidRPr="00544CEA">
              <w:rPr>
                <w:rFonts w:ascii="Calibri" w:eastAsia="Times New Roman" w:hAnsi="Calibri" w:cs="Calibri"/>
                <w:sz w:val="24"/>
                <w:szCs w:val="24"/>
                <w:lang w:val="en-GB" w:eastAsia="lt-LT"/>
              </w:rPr>
              <w:t>subscription</w:t>
            </w:r>
            <w:r w:rsidR="006E0EB1" w:rsidRPr="00544CEA">
              <w:rPr>
                <w:rFonts w:ascii="Calibri" w:eastAsia="Times New Roman" w:hAnsi="Calibri" w:cs="Calibri"/>
                <w:sz w:val="24"/>
                <w:szCs w:val="24"/>
                <w:lang w:val="en-GB" w:eastAsia="lt-LT"/>
              </w:rPr>
              <w:t xml:space="preserve"> licences</w:t>
            </w:r>
            <w:r w:rsidR="068BD10A" w:rsidRPr="00544CEA">
              <w:rPr>
                <w:rFonts w:ascii="Calibri" w:eastAsia="Times New Roman" w:hAnsi="Calibri" w:cs="Calibri"/>
                <w:sz w:val="24"/>
                <w:szCs w:val="24"/>
                <w:lang w:val="en-GB" w:eastAsia="lt-LT"/>
              </w:rPr>
              <w:t xml:space="preserve"> and support.</w:t>
            </w:r>
          </w:p>
        </w:tc>
      </w:tr>
      <w:tr w:rsidR="00BA566F" w:rsidRPr="00544CEA" w14:paraId="78E2CB9F" w14:textId="77777777" w:rsidTr="2737587E">
        <w:trPr>
          <w:trHeight w:val="585"/>
        </w:trPr>
        <w:tc>
          <w:tcPr>
            <w:tcW w:w="10065" w:type="dxa"/>
            <w:vAlign w:val="center"/>
          </w:tcPr>
          <w:p w14:paraId="5D7F54BD" w14:textId="290D6F88" w:rsidR="00BA566F" w:rsidRPr="00544CEA" w:rsidRDefault="3A37E270" w:rsidP="006E0EB1">
            <w:pPr>
              <w:numPr>
                <w:ilvl w:val="0"/>
                <w:numId w:val="2"/>
              </w:numPr>
              <w:tabs>
                <w:tab w:val="left" w:pos="456"/>
              </w:tabs>
              <w:spacing w:after="0" w:line="360" w:lineRule="auto"/>
              <w:ind w:left="0"/>
              <w:contextualSpacing/>
              <w:jc w:val="both"/>
              <w:rPr>
                <w:rFonts w:ascii="Calibri" w:eastAsia="Times New Roman" w:hAnsi="Calibri" w:cs="Calibri"/>
                <w:sz w:val="24"/>
                <w:szCs w:val="24"/>
                <w:lang w:val="en-GB" w:eastAsia="lt-LT"/>
              </w:rPr>
            </w:pPr>
            <w:r w:rsidRPr="00544CEA">
              <w:rPr>
                <w:rFonts w:ascii="Calibri" w:eastAsia="Times New Roman" w:hAnsi="Calibri" w:cs="Calibri"/>
                <w:sz w:val="24"/>
                <w:szCs w:val="24"/>
                <w:lang w:val="en-GB" w:eastAsia="lt-LT"/>
              </w:rPr>
              <w:t xml:space="preserve">2. </w:t>
            </w:r>
            <w:r w:rsidR="00606EEB" w:rsidRPr="00544CEA">
              <w:rPr>
                <w:rFonts w:ascii="Calibri" w:eastAsia="Times New Roman" w:hAnsi="Calibri" w:cs="Calibri"/>
                <w:sz w:val="24"/>
                <w:szCs w:val="24"/>
                <w:lang w:val="en-GB" w:eastAsia="lt-LT"/>
              </w:rPr>
              <w:t>Quantity of Nintex Process Manager subscription licences – for 1800 users for 36 months, which must be valid in 202</w:t>
            </w:r>
            <w:r w:rsidR="00393C3F" w:rsidRPr="00544CEA">
              <w:rPr>
                <w:rFonts w:ascii="Calibri" w:eastAsia="Times New Roman" w:hAnsi="Calibri" w:cs="Calibri"/>
                <w:sz w:val="24"/>
                <w:szCs w:val="24"/>
                <w:lang w:val="en-GB" w:eastAsia="lt-LT"/>
              </w:rPr>
              <w:t>7</w:t>
            </w:r>
            <w:r w:rsidR="00606EEB" w:rsidRPr="00544CEA">
              <w:rPr>
                <w:rFonts w:ascii="Calibri" w:eastAsia="Times New Roman" w:hAnsi="Calibri" w:cs="Calibri"/>
                <w:sz w:val="24"/>
                <w:szCs w:val="24"/>
                <w:lang w:val="en-GB" w:eastAsia="lt-LT"/>
              </w:rPr>
              <w:t>, 202</w:t>
            </w:r>
            <w:r w:rsidR="00393C3F" w:rsidRPr="00544CEA">
              <w:rPr>
                <w:rFonts w:ascii="Calibri" w:eastAsia="Times New Roman" w:hAnsi="Calibri" w:cs="Calibri"/>
                <w:sz w:val="24"/>
                <w:szCs w:val="24"/>
                <w:lang w:val="en-GB" w:eastAsia="lt-LT"/>
              </w:rPr>
              <w:t>8</w:t>
            </w:r>
            <w:r w:rsidR="00606EEB" w:rsidRPr="00544CEA">
              <w:rPr>
                <w:rFonts w:ascii="Calibri" w:eastAsia="Times New Roman" w:hAnsi="Calibri" w:cs="Calibri"/>
                <w:sz w:val="24"/>
                <w:szCs w:val="24"/>
                <w:lang w:val="en-GB" w:eastAsia="lt-LT"/>
              </w:rPr>
              <w:t xml:space="preserve"> and 202</w:t>
            </w:r>
            <w:r w:rsidR="00393C3F" w:rsidRPr="00544CEA">
              <w:rPr>
                <w:rFonts w:ascii="Calibri" w:eastAsia="Times New Roman" w:hAnsi="Calibri" w:cs="Calibri"/>
                <w:sz w:val="24"/>
                <w:szCs w:val="24"/>
                <w:lang w:val="en-GB" w:eastAsia="lt-LT"/>
              </w:rPr>
              <w:t>9</w:t>
            </w:r>
            <w:r w:rsidR="00606EEB" w:rsidRPr="00544CEA">
              <w:rPr>
                <w:rFonts w:ascii="Calibri" w:eastAsia="Times New Roman" w:hAnsi="Calibri" w:cs="Calibri"/>
                <w:sz w:val="24"/>
                <w:szCs w:val="24"/>
                <w:lang w:val="en-GB" w:eastAsia="lt-LT"/>
              </w:rPr>
              <w:t xml:space="preserve"> years</w:t>
            </w:r>
            <w:r w:rsidR="0B077253" w:rsidRPr="00544CEA">
              <w:rPr>
                <w:rFonts w:ascii="Calibri" w:eastAsia="Times New Roman" w:hAnsi="Calibri" w:cs="Calibri"/>
                <w:sz w:val="24"/>
                <w:szCs w:val="24"/>
                <w:lang w:val="en-GB" w:eastAsia="lt-LT"/>
              </w:rPr>
              <w:t>.</w:t>
            </w:r>
          </w:p>
        </w:tc>
      </w:tr>
      <w:tr w:rsidR="00AB3A67" w:rsidRPr="00544CEA" w14:paraId="3B315DCB" w14:textId="77777777" w:rsidTr="2737587E">
        <w:trPr>
          <w:trHeight w:val="585"/>
        </w:trPr>
        <w:tc>
          <w:tcPr>
            <w:tcW w:w="10065" w:type="dxa"/>
            <w:vAlign w:val="center"/>
          </w:tcPr>
          <w:p w14:paraId="2FAA815B" w14:textId="14B69FEF" w:rsidR="00AB3A67" w:rsidRPr="00544CEA" w:rsidRDefault="3A37E270" w:rsidP="006E0EB1">
            <w:pPr>
              <w:tabs>
                <w:tab w:val="left" w:pos="456"/>
              </w:tabs>
              <w:spacing w:after="0" w:line="360" w:lineRule="auto"/>
              <w:contextualSpacing/>
              <w:jc w:val="both"/>
              <w:rPr>
                <w:rFonts w:ascii="Calibri" w:eastAsia="Times New Roman" w:hAnsi="Calibri" w:cs="Calibri"/>
                <w:sz w:val="24"/>
                <w:szCs w:val="24"/>
                <w:lang w:val="en-GB" w:eastAsia="lt-LT"/>
              </w:rPr>
            </w:pPr>
            <w:r w:rsidRPr="00544CEA">
              <w:rPr>
                <w:rFonts w:ascii="Calibri" w:eastAsia="Times New Roman" w:hAnsi="Calibri" w:cs="Calibri"/>
                <w:sz w:val="24"/>
                <w:szCs w:val="24"/>
                <w:lang w:val="en-GB" w:eastAsia="lt-LT"/>
              </w:rPr>
              <w:t xml:space="preserve">3. </w:t>
            </w:r>
            <w:r w:rsidR="421B00D1" w:rsidRPr="00544CEA">
              <w:rPr>
                <w:rFonts w:ascii="Calibri" w:eastAsia="Times New Roman" w:hAnsi="Calibri" w:cs="Calibri"/>
                <w:sz w:val="24"/>
                <w:szCs w:val="24"/>
                <w:lang w:val="en-GB" w:eastAsia="lt-LT"/>
              </w:rPr>
              <w:t xml:space="preserve">Nintex </w:t>
            </w:r>
            <w:r w:rsidR="6EF1D3D6" w:rsidRPr="00544CEA">
              <w:rPr>
                <w:rFonts w:ascii="Calibri" w:eastAsia="Times New Roman" w:hAnsi="Calibri" w:cs="Calibri"/>
                <w:sz w:val="24"/>
                <w:szCs w:val="24"/>
                <w:lang w:val="en-GB" w:eastAsia="lt-LT"/>
              </w:rPr>
              <w:t>Process Manager</w:t>
            </w:r>
            <w:r w:rsidR="421B00D1" w:rsidRPr="00544CEA">
              <w:rPr>
                <w:rFonts w:ascii="Calibri" w:eastAsia="Times New Roman" w:hAnsi="Calibri" w:cs="Calibri"/>
                <w:sz w:val="24"/>
                <w:szCs w:val="24"/>
                <w:lang w:val="en-GB" w:eastAsia="lt-LT"/>
              </w:rPr>
              <w:t xml:space="preserve"> subscription</w:t>
            </w:r>
            <w:r w:rsidR="006E0EB1" w:rsidRPr="00544CEA">
              <w:rPr>
                <w:rFonts w:ascii="Calibri" w:eastAsia="Times New Roman" w:hAnsi="Calibri" w:cs="Calibri"/>
                <w:sz w:val="24"/>
                <w:szCs w:val="24"/>
                <w:lang w:val="en-GB" w:eastAsia="lt-LT"/>
              </w:rPr>
              <w:t xml:space="preserve"> licences</w:t>
            </w:r>
            <w:r w:rsidR="421B00D1" w:rsidRPr="00544CEA">
              <w:rPr>
                <w:rFonts w:ascii="Calibri" w:eastAsia="Times New Roman" w:hAnsi="Calibri" w:cs="Calibri"/>
                <w:sz w:val="24"/>
                <w:szCs w:val="24"/>
                <w:lang w:val="en-GB" w:eastAsia="lt-LT"/>
              </w:rPr>
              <w:t xml:space="preserve"> must not limit the number of processes created by users and must be connected to the </w:t>
            </w:r>
            <w:r w:rsidR="006E0EB1" w:rsidRPr="00544CEA">
              <w:rPr>
                <w:rFonts w:ascii="Calibri" w:eastAsia="Times New Roman" w:hAnsi="Calibri" w:cs="Calibri"/>
                <w:sz w:val="24"/>
                <w:szCs w:val="24"/>
                <w:lang w:val="en-GB" w:eastAsia="lt-LT"/>
              </w:rPr>
              <w:t>current</w:t>
            </w:r>
            <w:r w:rsidR="421B00D1" w:rsidRPr="00544CEA">
              <w:rPr>
                <w:rFonts w:ascii="Calibri" w:eastAsia="Times New Roman" w:hAnsi="Calibri" w:cs="Calibri"/>
                <w:sz w:val="24"/>
                <w:szCs w:val="24"/>
                <w:lang w:val="en-GB" w:eastAsia="lt-LT"/>
              </w:rPr>
              <w:t xml:space="preserve"> </w:t>
            </w:r>
            <w:r w:rsidR="001575FD" w:rsidRPr="00544CEA">
              <w:rPr>
                <w:rFonts w:ascii="Calibri" w:eastAsia="Times New Roman" w:hAnsi="Calibri" w:cs="Calibri"/>
                <w:sz w:val="24"/>
                <w:szCs w:val="24"/>
                <w:lang w:val="en-GB" w:eastAsia="lt-LT"/>
              </w:rPr>
              <w:t xml:space="preserve">licence subscription </w:t>
            </w:r>
            <w:r w:rsidR="421B00D1" w:rsidRPr="00544CEA">
              <w:rPr>
                <w:rFonts w:ascii="Calibri" w:eastAsia="Times New Roman" w:hAnsi="Calibri" w:cs="Calibri"/>
                <w:sz w:val="24"/>
                <w:szCs w:val="24"/>
                <w:lang w:val="en-GB" w:eastAsia="lt-LT"/>
              </w:rPr>
              <w:t>plan</w:t>
            </w:r>
            <w:r w:rsidR="001575FD" w:rsidRPr="00544CEA">
              <w:rPr>
                <w:rFonts w:ascii="Calibri" w:eastAsia="Times New Roman" w:hAnsi="Calibri" w:cs="Calibri"/>
                <w:sz w:val="24"/>
                <w:szCs w:val="24"/>
                <w:lang w:val="en-GB" w:eastAsia="lt-LT"/>
              </w:rPr>
              <w:t>:</w:t>
            </w:r>
            <w:r w:rsidR="421B00D1" w:rsidRPr="00544CEA">
              <w:rPr>
                <w:rFonts w:ascii="Calibri" w:eastAsia="Times New Roman" w:hAnsi="Calibri" w:cs="Calibri"/>
                <w:sz w:val="24"/>
                <w:szCs w:val="24"/>
                <w:lang w:val="en-GB" w:eastAsia="lt-LT"/>
              </w:rPr>
              <w:t xml:space="preserve"> </w:t>
            </w:r>
            <w:r w:rsidR="2FF9CD12" w:rsidRPr="00544CEA">
              <w:rPr>
                <w:rFonts w:ascii="Calibri" w:eastAsia="Times New Roman" w:hAnsi="Calibri" w:cs="Calibri"/>
                <w:sz w:val="24"/>
                <w:szCs w:val="24"/>
                <w:lang w:val="en-GB" w:eastAsia="lt-LT"/>
              </w:rPr>
              <w:t>Process Manager</w:t>
            </w:r>
            <w:r w:rsidR="421B00D1" w:rsidRPr="00544CEA">
              <w:rPr>
                <w:rFonts w:ascii="Calibri" w:eastAsia="Times New Roman" w:hAnsi="Calibri" w:cs="Calibri"/>
                <w:sz w:val="24"/>
                <w:szCs w:val="24"/>
                <w:lang w:val="en-GB" w:eastAsia="lt-LT"/>
              </w:rPr>
              <w:t xml:space="preserve"> Enterprise – Unlimited processes.</w:t>
            </w:r>
          </w:p>
        </w:tc>
      </w:tr>
      <w:tr w:rsidR="00277545" w:rsidRPr="00544CEA" w14:paraId="35DA72C6" w14:textId="77777777" w:rsidTr="2737587E">
        <w:trPr>
          <w:trHeight w:val="585"/>
        </w:trPr>
        <w:tc>
          <w:tcPr>
            <w:tcW w:w="10065" w:type="dxa"/>
            <w:vAlign w:val="center"/>
          </w:tcPr>
          <w:p w14:paraId="6FE81780" w14:textId="563CB61E" w:rsidR="00277545" w:rsidRPr="00544CEA" w:rsidRDefault="3A37E270" w:rsidP="00277545">
            <w:pPr>
              <w:tabs>
                <w:tab w:val="left" w:pos="456"/>
              </w:tabs>
              <w:spacing w:after="0" w:line="360" w:lineRule="auto"/>
              <w:contextualSpacing/>
              <w:jc w:val="both"/>
              <w:rPr>
                <w:rFonts w:ascii="Calibri" w:eastAsia="Times New Roman" w:hAnsi="Calibri" w:cs="Calibri"/>
                <w:color w:val="000000"/>
                <w:sz w:val="24"/>
                <w:szCs w:val="24"/>
                <w:lang w:val="en-GB" w:eastAsia="lt-LT"/>
              </w:rPr>
            </w:pPr>
            <w:r w:rsidRPr="00544CEA">
              <w:rPr>
                <w:rFonts w:ascii="Calibri" w:eastAsia="Times New Roman" w:hAnsi="Calibri" w:cs="Calibri"/>
                <w:color w:val="000000" w:themeColor="text1"/>
                <w:sz w:val="24"/>
                <w:szCs w:val="24"/>
                <w:lang w:val="en-GB" w:eastAsia="lt-LT"/>
              </w:rPr>
              <w:t xml:space="preserve">4. </w:t>
            </w:r>
            <w:r w:rsidR="421B00D1" w:rsidRPr="00544CEA">
              <w:rPr>
                <w:rFonts w:ascii="Calibri" w:eastAsia="Times New Roman" w:hAnsi="Calibri" w:cs="Calibri"/>
                <w:color w:val="000000" w:themeColor="text1"/>
                <w:sz w:val="24"/>
                <w:szCs w:val="24"/>
                <w:lang w:val="en-GB" w:eastAsia="lt-LT"/>
              </w:rPr>
              <w:t xml:space="preserve">Users must have a possibility to sign in to Nintex </w:t>
            </w:r>
            <w:r w:rsidR="54DCAF02" w:rsidRPr="00544CEA">
              <w:rPr>
                <w:rFonts w:ascii="Calibri" w:eastAsia="Times New Roman" w:hAnsi="Calibri" w:cs="Calibri"/>
                <w:color w:val="000000" w:themeColor="text1"/>
                <w:sz w:val="24"/>
                <w:szCs w:val="24"/>
                <w:lang w:val="en-GB" w:eastAsia="lt-LT"/>
              </w:rPr>
              <w:t>Process Manager</w:t>
            </w:r>
            <w:r w:rsidR="421B00D1" w:rsidRPr="00544CEA">
              <w:rPr>
                <w:rFonts w:ascii="Calibri" w:eastAsia="Times New Roman" w:hAnsi="Calibri" w:cs="Calibri"/>
                <w:color w:val="000000" w:themeColor="text1"/>
                <w:sz w:val="24"/>
                <w:szCs w:val="24"/>
                <w:lang w:val="en-GB" w:eastAsia="lt-LT"/>
              </w:rPr>
              <w:t xml:space="preserve"> using Single Sign On functionality (allowing to receive data from CO Active Directory resource management system).</w:t>
            </w:r>
          </w:p>
        </w:tc>
      </w:tr>
      <w:tr w:rsidR="00277545" w:rsidRPr="00544CEA" w14:paraId="6738DC87" w14:textId="77777777" w:rsidTr="2737587E">
        <w:trPr>
          <w:trHeight w:val="585"/>
        </w:trPr>
        <w:tc>
          <w:tcPr>
            <w:tcW w:w="10065" w:type="dxa"/>
          </w:tcPr>
          <w:p w14:paraId="1871F7B7" w14:textId="77777777" w:rsidR="00277545" w:rsidRPr="00544CEA" w:rsidRDefault="00783E6F" w:rsidP="00277545">
            <w:pPr>
              <w:rPr>
                <w:rFonts w:ascii="Calibri" w:hAnsi="Calibri" w:cs="Calibri"/>
                <w:sz w:val="24"/>
                <w:szCs w:val="24"/>
                <w:lang w:val="en-GB"/>
              </w:rPr>
            </w:pPr>
            <w:r w:rsidRPr="00544CEA">
              <w:rPr>
                <w:rFonts w:ascii="Calibri" w:eastAsia="Times New Roman" w:hAnsi="Calibri" w:cs="Calibri"/>
                <w:color w:val="000000"/>
                <w:sz w:val="24"/>
                <w:szCs w:val="24"/>
                <w:lang w:val="en-GB" w:eastAsia="lt-LT"/>
              </w:rPr>
              <w:t xml:space="preserve">5. </w:t>
            </w:r>
            <w:r w:rsidR="00277545" w:rsidRPr="00544CEA">
              <w:rPr>
                <w:rFonts w:ascii="Calibri" w:eastAsia="Times New Roman" w:hAnsi="Calibri" w:cs="Calibri"/>
                <w:color w:val="000000"/>
                <w:sz w:val="24"/>
                <w:szCs w:val="24"/>
                <w:lang w:val="en-GB" w:eastAsia="lt-LT"/>
              </w:rPr>
              <w:t>Users must be able to use process and document upload and approval functionality and process variation management functionality.</w:t>
            </w:r>
          </w:p>
        </w:tc>
      </w:tr>
      <w:tr w:rsidR="002D4C34" w:rsidRPr="00544CEA" w14:paraId="0CB107F2" w14:textId="77777777" w:rsidTr="2737587E">
        <w:trPr>
          <w:trHeight w:val="585"/>
        </w:trPr>
        <w:tc>
          <w:tcPr>
            <w:tcW w:w="10065" w:type="dxa"/>
          </w:tcPr>
          <w:p w14:paraId="0B7117F7" w14:textId="05010F4A" w:rsidR="002D4C34" w:rsidRPr="00544CEA" w:rsidRDefault="3A37E270" w:rsidP="001575FD">
            <w:pPr>
              <w:tabs>
                <w:tab w:val="left" w:pos="314"/>
              </w:tabs>
              <w:spacing w:after="0" w:line="360" w:lineRule="auto"/>
              <w:contextualSpacing/>
              <w:jc w:val="both"/>
              <w:rPr>
                <w:rFonts w:ascii="Calibri" w:eastAsia="Times New Roman" w:hAnsi="Calibri" w:cs="Calibri"/>
                <w:color w:val="000000"/>
                <w:sz w:val="24"/>
                <w:szCs w:val="24"/>
                <w:lang w:val="en-GB" w:eastAsia="lt-LT"/>
              </w:rPr>
            </w:pPr>
            <w:r w:rsidRPr="00544CEA">
              <w:rPr>
                <w:rFonts w:ascii="Calibri" w:hAnsi="Calibri" w:cs="Calibri"/>
                <w:sz w:val="24"/>
                <w:szCs w:val="24"/>
                <w:lang w:val="en-GB"/>
              </w:rPr>
              <w:t xml:space="preserve">6. </w:t>
            </w:r>
            <w:r w:rsidR="69E4F9CE" w:rsidRPr="00544CEA">
              <w:rPr>
                <w:rFonts w:ascii="Calibri" w:hAnsi="Calibri" w:cs="Calibri"/>
                <w:sz w:val="24"/>
                <w:szCs w:val="24"/>
                <w:lang w:val="en-GB"/>
              </w:rPr>
              <w:t xml:space="preserve">It must be possible to receive assistance and advice on the use of the </w:t>
            </w:r>
            <w:r w:rsidRPr="00544CEA">
              <w:rPr>
                <w:rFonts w:ascii="Calibri" w:hAnsi="Calibri" w:cs="Calibri"/>
                <w:sz w:val="24"/>
                <w:szCs w:val="24"/>
                <w:lang w:val="en-GB"/>
              </w:rPr>
              <w:t xml:space="preserve">Nintex </w:t>
            </w:r>
            <w:r w:rsidR="5B0E0815" w:rsidRPr="00544CEA">
              <w:rPr>
                <w:rFonts w:ascii="Calibri" w:hAnsi="Calibri" w:cs="Calibri"/>
                <w:sz w:val="24"/>
                <w:szCs w:val="24"/>
                <w:lang w:val="en-GB"/>
              </w:rPr>
              <w:t>Process Manager</w:t>
            </w:r>
            <w:r w:rsidRPr="00544CEA">
              <w:rPr>
                <w:rFonts w:ascii="Calibri" w:hAnsi="Calibri" w:cs="Calibri"/>
                <w:sz w:val="24"/>
                <w:szCs w:val="24"/>
                <w:lang w:val="en-GB"/>
              </w:rPr>
              <w:t xml:space="preserve"> </w:t>
            </w:r>
            <w:r w:rsidR="69E4F9CE" w:rsidRPr="00544CEA">
              <w:rPr>
                <w:rFonts w:ascii="Calibri" w:hAnsi="Calibri" w:cs="Calibri"/>
                <w:sz w:val="24"/>
                <w:szCs w:val="24"/>
                <w:lang w:val="en-GB"/>
              </w:rPr>
              <w:t>no later than one working day from the date of contacting the Provider by e-mail and telephone or other electronic means, if necessary, ensuring communication in real time (online).</w:t>
            </w:r>
            <w:r w:rsidRPr="00544CEA">
              <w:rPr>
                <w:rFonts w:ascii="Calibri" w:hAnsi="Calibri" w:cs="Calibri"/>
                <w:sz w:val="24"/>
                <w:szCs w:val="24"/>
                <w:lang w:val="en-GB"/>
              </w:rPr>
              <w:t xml:space="preserve"> </w:t>
            </w:r>
            <w:r w:rsidR="001575FD" w:rsidRPr="00544CEA">
              <w:rPr>
                <w:rFonts w:ascii="Calibri" w:hAnsi="Calibri" w:cs="Calibri"/>
                <w:sz w:val="24"/>
                <w:szCs w:val="24"/>
                <w:lang w:val="en-GB"/>
              </w:rPr>
              <w:t xml:space="preserve">The Provider must ensure availability of </w:t>
            </w:r>
            <w:r w:rsidRPr="00544CEA">
              <w:rPr>
                <w:rFonts w:ascii="Calibri" w:hAnsi="Calibri" w:cs="Calibri"/>
                <w:sz w:val="24"/>
                <w:szCs w:val="24"/>
                <w:lang w:val="en-GB"/>
              </w:rPr>
              <w:t xml:space="preserve">Nintex </w:t>
            </w:r>
            <w:r w:rsidR="7AD0EF58" w:rsidRPr="00544CEA">
              <w:rPr>
                <w:rFonts w:ascii="Calibri" w:hAnsi="Calibri" w:cs="Calibri"/>
                <w:sz w:val="24"/>
                <w:szCs w:val="24"/>
                <w:lang w:val="en-GB"/>
              </w:rPr>
              <w:t>Process Manager</w:t>
            </w:r>
            <w:r w:rsidRPr="00544CEA">
              <w:rPr>
                <w:rFonts w:ascii="Calibri" w:hAnsi="Calibri" w:cs="Calibri"/>
                <w:sz w:val="24"/>
                <w:szCs w:val="24"/>
                <w:lang w:val="en-GB"/>
              </w:rPr>
              <w:t xml:space="preserve"> support </w:t>
            </w:r>
            <w:r w:rsidR="001575FD" w:rsidRPr="00544CEA">
              <w:rPr>
                <w:rFonts w:ascii="Calibri" w:hAnsi="Calibri" w:cs="Calibri"/>
                <w:sz w:val="24"/>
                <w:szCs w:val="24"/>
                <w:lang w:val="en-GB"/>
              </w:rPr>
              <w:t xml:space="preserve">at </w:t>
            </w:r>
            <w:r w:rsidRPr="00544CEA">
              <w:rPr>
                <w:rFonts w:ascii="Calibri" w:hAnsi="Calibri" w:cs="Calibri"/>
                <w:sz w:val="24"/>
                <w:szCs w:val="24"/>
                <w:lang w:val="en-GB"/>
              </w:rPr>
              <w:t>24 x 5</w:t>
            </w:r>
            <w:r w:rsidR="001575FD" w:rsidRPr="00544CEA">
              <w:rPr>
                <w:rFonts w:ascii="Calibri" w:hAnsi="Calibri" w:cs="Calibri"/>
                <w:sz w:val="24"/>
                <w:szCs w:val="24"/>
                <w:lang w:val="en-GB"/>
              </w:rPr>
              <w:t xml:space="preserve"> level.</w:t>
            </w:r>
          </w:p>
        </w:tc>
      </w:tr>
      <w:tr w:rsidR="002D4C34" w:rsidRPr="00544CEA" w14:paraId="22294E78" w14:textId="77777777" w:rsidTr="2737587E">
        <w:trPr>
          <w:trHeight w:val="585"/>
        </w:trPr>
        <w:tc>
          <w:tcPr>
            <w:tcW w:w="10065" w:type="dxa"/>
            <w:hideMark/>
          </w:tcPr>
          <w:p w14:paraId="7E8A7EA4" w14:textId="2669AB3E" w:rsidR="002D4C34" w:rsidRPr="00544CEA" w:rsidRDefault="00783E6F" w:rsidP="001575FD">
            <w:pPr>
              <w:tabs>
                <w:tab w:val="left" w:pos="456"/>
              </w:tabs>
              <w:spacing w:after="0" w:line="360" w:lineRule="auto"/>
              <w:contextualSpacing/>
              <w:jc w:val="both"/>
              <w:rPr>
                <w:rFonts w:ascii="Calibri" w:eastAsia="Times New Roman" w:hAnsi="Calibri" w:cs="Calibri"/>
                <w:color w:val="000000"/>
                <w:sz w:val="24"/>
                <w:szCs w:val="24"/>
                <w:lang w:val="en-GB" w:eastAsia="lt-LT"/>
              </w:rPr>
            </w:pPr>
            <w:r w:rsidRPr="00544CEA">
              <w:rPr>
                <w:rFonts w:ascii="Calibri" w:hAnsi="Calibri" w:cs="Calibri"/>
                <w:sz w:val="24"/>
                <w:szCs w:val="24"/>
                <w:lang w:val="en-GB"/>
              </w:rPr>
              <w:t xml:space="preserve">7. </w:t>
            </w:r>
            <w:r w:rsidR="002D4C34" w:rsidRPr="00544CEA">
              <w:rPr>
                <w:rFonts w:ascii="Calibri" w:hAnsi="Calibri" w:cs="Calibri"/>
                <w:sz w:val="24"/>
                <w:szCs w:val="24"/>
                <w:lang w:val="en-GB"/>
              </w:rPr>
              <w:t xml:space="preserve">The </w:t>
            </w:r>
            <w:r w:rsidR="001575FD" w:rsidRPr="00544CEA">
              <w:rPr>
                <w:rFonts w:ascii="Calibri" w:hAnsi="Calibri" w:cs="Calibri"/>
                <w:sz w:val="24"/>
                <w:szCs w:val="24"/>
                <w:lang w:val="en-GB"/>
              </w:rPr>
              <w:t>P</w:t>
            </w:r>
            <w:r w:rsidR="002D4C34" w:rsidRPr="00544CEA">
              <w:rPr>
                <w:rFonts w:ascii="Calibri" w:hAnsi="Calibri" w:cs="Calibri"/>
                <w:sz w:val="24"/>
                <w:szCs w:val="24"/>
                <w:lang w:val="en-GB"/>
              </w:rPr>
              <w:t xml:space="preserve">rovider must ensure the security requirements for confidential information, including personal data (servers must </w:t>
            </w:r>
            <w:proofErr w:type="gramStart"/>
            <w:r w:rsidR="002D4C34" w:rsidRPr="00544CEA">
              <w:rPr>
                <w:rFonts w:ascii="Calibri" w:hAnsi="Calibri" w:cs="Calibri"/>
                <w:sz w:val="24"/>
                <w:szCs w:val="24"/>
                <w:lang w:val="en-GB"/>
              </w:rPr>
              <w:t>be located in</w:t>
            </w:r>
            <w:proofErr w:type="gramEnd"/>
            <w:r w:rsidR="002D4C34" w:rsidRPr="00544CEA">
              <w:rPr>
                <w:rFonts w:ascii="Calibri" w:hAnsi="Calibri" w:cs="Calibri"/>
                <w:sz w:val="24"/>
                <w:szCs w:val="24"/>
                <w:lang w:val="en-GB"/>
              </w:rPr>
              <w:t xml:space="preserve"> </w:t>
            </w:r>
            <w:r w:rsidR="001575FD" w:rsidRPr="00544CEA">
              <w:rPr>
                <w:rFonts w:ascii="Calibri" w:hAnsi="Calibri" w:cs="Calibri"/>
                <w:sz w:val="24"/>
                <w:szCs w:val="24"/>
                <w:lang w:val="en-GB"/>
              </w:rPr>
              <w:t xml:space="preserve">the </w:t>
            </w:r>
            <w:r w:rsidR="002D4C34" w:rsidRPr="00544CEA">
              <w:rPr>
                <w:rFonts w:ascii="Calibri" w:hAnsi="Calibri" w:cs="Calibri"/>
                <w:sz w:val="24"/>
                <w:szCs w:val="24"/>
                <w:lang w:val="en-GB"/>
              </w:rPr>
              <w:t xml:space="preserve">EU countries; the </w:t>
            </w:r>
            <w:r w:rsidR="001575FD" w:rsidRPr="00544CEA">
              <w:rPr>
                <w:rFonts w:ascii="Calibri" w:hAnsi="Calibri" w:cs="Calibri"/>
                <w:sz w:val="24"/>
                <w:szCs w:val="24"/>
                <w:lang w:val="en-GB"/>
              </w:rPr>
              <w:t>P</w:t>
            </w:r>
            <w:r w:rsidR="002D4C34" w:rsidRPr="00544CEA">
              <w:rPr>
                <w:rFonts w:ascii="Calibri" w:hAnsi="Calibri" w:cs="Calibri"/>
                <w:sz w:val="24"/>
                <w:szCs w:val="24"/>
                <w:lang w:val="en-GB"/>
              </w:rPr>
              <w:t>rovider assumes full responsibility for any loss of information, etc.).</w:t>
            </w:r>
          </w:p>
        </w:tc>
      </w:tr>
      <w:tr w:rsidR="002D4C34" w:rsidRPr="00544CEA" w14:paraId="08443D6B" w14:textId="77777777" w:rsidTr="2737587E">
        <w:trPr>
          <w:trHeight w:val="585"/>
        </w:trPr>
        <w:tc>
          <w:tcPr>
            <w:tcW w:w="10065" w:type="dxa"/>
            <w:vAlign w:val="center"/>
          </w:tcPr>
          <w:p w14:paraId="25B412DC" w14:textId="360B5979" w:rsidR="00F219EA" w:rsidRPr="00544CEA" w:rsidRDefault="3A37E270" w:rsidP="001C425C">
            <w:pPr>
              <w:tabs>
                <w:tab w:val="left" w:pos="456"/>
              </w:tabs>
              <w:spacing w:after="0" w:line="360" w:lineRule="auto"/>
              <w:contextualSpacing/>
              <w:jc w:val="both"/>
              <w:rPr>
                <w:rFonts w:ascii="Calibri" w:eastAsia="Times New Roman" w:hAnsi="Calibri" w:cs="Calibri"/>
                <w:color w:val="000000" w:themeColor="text1"/>
                <w:sz w:val="24"/>
                <w:szCs w:val="24"/>
                <w:lang w:val="en-GB" w:eastAsia="lt-LT"/>
              </w:rPr>
            </w:pPr>
            <w:r w:rsidRPr="00544CEA">
              <w:rPr>
                <w:rFonts w:ascii="Calibri" w:eastAsia="Times New Roman" w:hAnsi="Calibri" w:cs="Calibri"/>
                <w:color w:val="000000" w:themeColor="text1"/>
                <w:sz w:val="24"/>
                <w:szCs w:val="24"/>
                <w:lang w:val="en-GB" w:eastAsia="lt-LT"/>
              </w:rPr>
              <w:t xml:space="preserve">8. </w:t>
            </w:r>
            <w:r w:rsidR="001575FD" w:rsidRPr="00544CEA">
              <w:rPr>
                <w:rFonts w:ascii="Calibri" w:eastAsia="Times New Roman" w:hAnsi="Calibri" w:cs="Calibri"/>
                <w:color w:val="000000" w:themeColor="text1"/>
                <w:sz w:val="24"/>
                <w:szCs w:val="24"/>
                <w:lang w:val="en-GB" w:eastAsia="lt-LT"/>
              </w:rPr>
              <w:t>The goods</w:t>
            </w:r>
            <w:r w:rsidR="001C425C" w:rsidRPr="00544CEA">
              <w:rPr>
                <w:rStyle w:val="FootnoteReference"/>
                <w:rFonts w:ascii="Calibri" w:eastAsia="Times New Roman" w:hAnsi="Calibri" w:cs="Calibri"/>
                <w:color w:val="000000" w:themeColor="text1"/>
                <w:sz w:val="24"/>
                <w:szCs w:val="24"/>
                <w:lang w:val="en-GB" w:eastAsia="lt-LT"/>
              </w:rPr>
              <w:footnoteReference w:id="1"/>
            </w:r>
            <w:r w:rsidR="001575FD" w:rsidRPr="00544CEA">
              <w:rPr>
                <w:rFonts w:ascii="Calibri" w:eastAsia="Times New Roman" w:hAnsi="Calibri" w:cs="Calibri"/>
                <w:color w:val="000000" w:themeColor="text1"/>
                <w:sz w:val="24"/>
                <w:szCs w:val="24"/>
                <w:lang w:val="en-GB" w:eastAsia="lt-LT"/>
              </w:rPr>
              <w:t xml:space="preserve"> (including their manufacturers), services</w:t>
            </w:r>
            <w:r w:rsidR="001C425C" w:rsidRPr="00544CEA">
              <w:rPr>
                <w:rStyle w:val="FootnoteReference"/>
                <w:rFonts w:ascii="Calibri" w:eastAsia="Times New Roman" w:hAnsi="Calibri" w:cs="Calibri"/>
                <w:color w:val="000000" w:themeColor="text1"/>
                <w:sz w:val="24"/>
                <w:szCs w:val="24"/>
                <w:lang w:val="en-GB" w:eastAsia="lt-LT"/>
              </w:rPr>
              <w:footnoteReference w:id="2"/>
            </w:r>
            <w:r w:rsidR="001575FD" w:rsidRPr="00544CEA">
              <w:rPr>
                <w:rFonts w:ascii="Calibri" w:eastAsia="Times New Roman" w:hAnsi="Calibri" w:cs="Calibri"/>
                <w:color w:val="000000" w:themeColor="text1"/>
                <w:sz w:val="24"/>
                <w:szCs w:val="24"/>
                <w:lang w:val="en-GB" w:eastAsia="lt-LT"/>
              </w:rPr>
              <w:t xml:space="preserve"> or works</w:t>
            </w:r>
            <w:r w:rsidR="001C425C" w:rsidRPr="00544CEA">
              <w:rPr>
                <w:rStyle w:val="FootnoteReference"/>
                <w:rFonts w:ascii="Calibri" w:eastAsia="Times New Roman" w:hAnsi="Calibri" w:cs="Calibri"/>
                <w:color w:val="000000" w:themeColor="text1"/>
                <w:sz w:val="24"/>
                <w:szCs w:val="24"/>
                <w:lang w:val="en-GB" w:eastAsia="lt-LT"/>
              </w:rPr>
              <w:footnoteReference w:id="3"/>
            </w:r>
            <w:r w:rsidR="001575FD" w:rsidRPr="00544CEA">
              <w:rPr>
                <w:rFonts w:ascii="Calibri" w:eastAsia="Times New Roman" w:hAnsi="Calibri" w:cs="Calibri"/>
                <w:color w:val="000000" w:themeColor="text1"/>
                <w:sz w:val="24"/>
                <w:szCs w:val="24"/>
                <w:lang w:val="en-GB" w:eastAsia="lt-LT"/>
              </w:rPr>
              <w:t xml:space="preserve"> </w:t>
            </w:r>
            <w:r w:rsidR="001C425C" w:rsidRPr="00544CEA">
              <w:rPr>
                <w:rFonts w:ascii="Calibri" w:eastAsia="Times New Roman" w:hAnsi="Calibri" w:cs="Calibri"/>
                <w:color w:val="000000" w:themeColor="text1"/>
                <w:sz w:val="24"/>
                <w:szCs w:val="24"/>
                <w:lang w:val="en-GB" w:eastAsia="lt-LT"/>
              </w:rPr>
              <w:t>proposed by</w:t>
            </w:r>
            <w:r w:rsidR="001575FD" w:rsidRPr="00544CEA">
              <w:rPr>
                <w:rFonts w:ascii="Calibri" w:eastAsia="Times New Roman" w:hAnsi="Calibri" w:cs="Calibri"/>
                <w:color w:val="000000" w:themeColor="text1"/>
                <w:sz w:val="24"/>
                <w:szCs w:val="24"/>
                <w:lang w:val="en-GB" w:eastAsia="lt-LT"/>
              </w:rPr>
              <w:t xml:space="preserve"> the </w:t>
            </w:r>
            <w:r w:rsidR="001C425C" w:rsidRPr="00544CEA">
              <w:rPr>
                <w:rFonts w:ascii="Calibri" w:eastAsia="Times New Roman" w:hAnsi="Calibri" w:cs="Calibri"/>
                <w:color w:val="000000" w:themeColor="text1"/>
                <w:sz w:val="24"/>
                <w:szCs w:val="24"/>
                <w:lang w:val="en-GB" w:eastAsia="lt-LT"/>
              </w:rPr>
              <w:t>Provider</w:t>
            </w:r>
            <w:r w:rsidR="001575FD" w:rsidRPr="00544CEA">
              <w:rPr>
                <w:rFonts w:ascii="Calibri" w:eastAsia="Times New Roman" w:hAnsi="Calibri" w:cs="Calibri"/>
                <w:color w:val="000000" w:themeColor="text1"/>
                <w:sz w:val="24"/>
                <w:szCs w:val="24"/>
                <w:lang w:val="en-GB" w:eastAsia="lt-LT"/>
              </w:rPr>
              <w:t xml:space="preserve"> must not pose a threat to national security. By submitting and signing the </w:t>
            </w:r>
            <w:r w:rsidR="001C425C" w:rsidRPr="00544CEA">
              <w:rPr>
                <w:rFonts w:ascii="Calibri" w:eastAsia="Times New Roman" w:hAnsi="Calibri" w:cs="Calibri"/>
                <w:color w:val="000000" w:themeColor="text1"/>
                <w:sz w:val="24"/>
                <w:szCs w:val="24"/>
                <w:lang w:val="en-GB" w:eastAsia="lt-LT"/>
              </w:rPr>
              <w:t>tender bid</w:t>
            </w:r>
            <w:r w:rsidR="001575FD" w:rsidRPr="00544CEA">
              <w:rPr>
                <w:rFonts w:ascii="Calibri" w:eastAsia="Times New Roman" w:hAnsi="Calibri" w:cs="Calibri"/>
                <w:color w:val="000000" w:themeColor="text1"/>
                <w:sz w:val="24"/>
                <w:szCs w:val="24"/>
                <w:lang w:val="en-GB" w:eastAsia="lt-LT"/>
              </w:rPr>
              <w:t xml:space="preserve">, the </w:t>
            </w:r>
            <w:r w:rsidR="001C425C" w:rsidRPr="00544CEA">
              <w:rPr>
                <w:rFonts w:ascii="Calibri" w:eastAsia="Times New Roman" w:hAnsi="Calibri" w:cs="Calibri"/>
                <w:color w:val="000000" w:themeColor="text1"/>
                <w:sz w:val="24"/>
                <w:szCs w:val="24"/>
                <w:lang w:val="en-GB" w:eastAsia="lt-LT"/>
              </w:rPr>
              <w:t>Provider</w:t>
            </w:r>
            <w:r w:rsidR="001575FD" w:rsidRPr="00544CEA">
              <w:rPr>
                <w:rFonts w:ascii="Calibri" w:eastAsia="Times New Roman" w:hAnsi="Calibri" w:cs="Calibri"/>
                <w:color w:val="000000" w:themeColor="text1"/>
                <w:sz w:val="24"/>
                <w:szCs w:val="24"/>
                <w:lang w:val="en-GB" w:eastAsia="lt-LT"/>
              </w:rPr>
              <w:t xml:space="preserve"> confirms that the goods</w:t>
            </w:r>
            <w:r w:rsidR="001C425C" w:rsidRPr="00544CEA">
              <w:rPr>
                <w:rStyle w:val="FootnoteReference"/>
                <w:rFonts w:ascii="Calibri" w:eastAsia="Times New Roman" w:hAnsi="Calibri" w:cs="Calibri"/>
                <w:color w:val="000000" w:themeColor="text1"/>
                <w:sz w:val="24"/>
                <w:szCs w:val="24"/>
                <w:lang w:val="en-GB" w:eastAsia="lt-LT"/>
              </w:rPr>
              <w:footnoteReference w:id="4"/>
            </w:r>
            <w:r w:rsidR="001575FD" w:rsidRPr="00544CEA">
              <w:rPr>
                <w:rFonts w:ascii="Calibri" w:eastAsia="Times New Roman" w:hAnsi="Calibri" w:cs="Calibri"/>
                <w:color w:val="000000" w:themeColor="text1"/>
                <w:sz w:val="24"/>
                <w:szCs w:val="24"/>
                <w:lang w:val="en-GB" w:eastAsia="lt-LT"/>
              </w:rPr>
              <w:t xml:space="preserve"> (including their manufacturers), services</w:t>
            </w:r>
            <w:r w:rsidR="001C425C" w:rsidRPr="00544CEA">
              <w:rPr>
                <w:rStyle w:val="FootnoteReference"/>
                <w:rFonts w:ascii="Calibri" w:eastAsia="Times New Roman" w:hAnsi="Calibri" w:cs="Calibri"/>
                <w:color w:val="000000" w:themeColor="text1"/>
                <w:sz w:val="24"/>
                <w:szCs w:val="24"/>
                <w:lang w:val="en-GB" w:eastAsia="lt-LT"/>
              </w:rPr>
              <w:footnoteReference w:id="5"/>
            </w:r>
            <w:r w:rsidR="001575FD" w:rsidRPr="00544CEA">
              <w:rPr>
                <w:rFonts w:ascii="Calibri" w:eastAsia="Times New Roman" w:hAnsi="Calibri" w:cs="Calibri"/>
                <w:color w:val="000000" w:themeColor="text1"/>
                <w:sz w:val="24"/>
                <w:szCs w:val="24"/>
                <w:lang w:val="en-GB" w:eastAsia="lt-LT"/>
              </w:rPr>
              <w:t xml:space="preserve"> and/or works</w:t>
            </w:r>
            <w:r w:rsidR="001C425C" w:rsidRPr="00544CEA">
              <w:rPr>
                <w:rStyle w:val="FootnoteReference"/>
                <w:rFonts w:ascii="Calibri" w:eastAsia="Times New Roman" w:hAnsi="Calibri" w:cs="Calibri"/>
                <w:color w:val="000000" w:themeColor="text1"/>
                <w:sz w:val="24"/>
                <w:szCs w:val="24"/>
                <w:lang w:val="en-GB" w:eastAsia="lt-LT"/>
              </w:rPr>
              <w:footnoteReference w:id="6"/>
            </w:r>
            <w:r w:rsidR="001575FD" w:rsidRPr="00544CEA">
              <w:rPr>
                <w:rFonts w:ascii="Calibri" w:eastAsia="Times New Roman" w:hAnsi="Calibri" w:cs="Calibri"/>
                <w:color w:val="000000" w:themeColor="text1"/>
                <w:sz w:val="24"/>
                <w:szCs w:val="24"/>
                <w:lang w:val="en-GB" w:eastAsia="lt-LT"/>
              </w:rPr>
              <w:t xml:space="preserve"> </w:t>
            </w:r>
            <w:r w:rsidR="001C425C" w:rsidRPr="00544CEA">
              <w:rPr>
                <w:rFonts w:ascii="Calibri" w:eastAsia="Times New Roman" w:hAnsi="Calibri" w:cs="Calibri"/>
                <w:color w:val="000000" w:themeColor="text1"/>
                <w:sz w:val="24"/>
                <w:szCs w:val="24"/>
                <w:lang w:val="en-GB" w:eastAsia="lt-LT"/>
              </w:rPr>
              <w:t>proposed</w:t>
            </w:r>
            <w:r w:rsidR="001575FD" w:rsidRPr="00544CEA">
              <w:rPr>
                <w:rFonts w:ascii="Calibri" w:eastAsia="Times New Roman" w:hAnsi="Calibri" w:cs="Calibri"/>
                <w:color w:val="000000" w:themeColor="text1"/>
                <w:sz w:val="24"/>
                <w:szCs w:val="24"/>
                <w:lang w:val="en-GB" w:eastAsia="lt-LT"/>
              </w:rPr>
              <w:t xml:space="preserve"> by </w:t>
            </w:r>
            <w:r w:rsidR="001C425C" w:rsidRPr="00544CEA">
              <w:rPr>
                <w:rFonts w:ascii="Calibri" w:eastAsia="Times New Roman" w:hAnsi="Calibri" w:cs="Calibri"/>
                <w:color w:val="000000" w:themeColor="text1"/>
                <w:sz w:val="24"/>
                <w:szCs w:val="24"/>
                <w:lang w:val="en-GB" w:eastAsia="lt-LT"/>
              </w:rPr>
              <w:t>it</w:t>
            </w:r>
            <w:r w:rsidR="001575FD" w:rsidRPr="00544CEA">
              <w:rPr>
                <w:rFonts w:ascii="Calibri" w:eastAsia="Times New Roman" w:hAnsi="Calibri" w:cs="Calibri"/>
                <w:color w:val="000000" w:themeColor="text1"/>
                <w:sz w:val="24"/>
                <w:szCs w:val="24"/>
                <w:lang w:val="en-GB" w:eastAsia="lt-LT"/>
              </w:rPr>
              <w:t xml:space="preserve"> do not pose a threat to national security</w:t>
            </w:r>
            <w:r w:rsidR="001C425C" w:rsidRPr="00544CEA">
              <w:rPr>
                <w:rFonts w:ascii="Calibri" w:eastAsia="Times New Roman" w:hAnsi="Calibri" w:cs="Calibri"/>
                <w:color w:val="000000" w:themeColor="text1"/>
                <w:sz w:val="24"/>
                <w:szCs w:val="24"/>
                <w:lang w:val="en-GB" w:eastAsia="lt-LT"/>
              </w:rPr>
              <w:t>.</w:t>
            </w:r>
          </w:p>
        </w:tc>
      </w:tr>
      <w:tr w:rsidR="00A65BEA" w:rsidRPr="00544CEA" w14:paraId="39B8C2FA" w14:textId="77777777" w:rsidTr="2737587E">
        <w:trPr>
          <w:trHeight w:val="585"/>
        </w:trPr>
        <w:tc>
          <w:tcPr>
            <w:tcW w:w="10065" w:type="dxa"/>
            <w:vAlign w:val="center"/>
          </w:tcPr>
          <w:p w14:paraId="4B23DBEC" w14:textId="150456E4" w:rsidR="00A65BEA" w:rsidRPr="00544CEA" w:rsidRDefault="00A65BEA" w:rsidP="000122C7">
            <w:pPr>
              <w:tabs>
                <w:tab w:val="left" w:pos="456"/>
              </w:tabs>
              <w:spacing w:after="0" w:line="360" w:lineRule="auto"/>
              <w:contextualSpacing/>
              <w:jc w:val="both"/>
              <w:rPr>
                <w:rFonts w:ascii="Calibri" w:eastAsia="Times New Roman" w:hAnsi="Calibri" w:cs="Calibri"/>
                <w:b/>
                <w:bCs/>
                <w:color w:val="000000"/>
                <w:sz w:val="24"/>
                <w:szCs w:val="24"/>
                <w:lang w:val="en-GB" w:eastAsia="lt-LT"/>
              </w:rPr>
            </w:pPr>
            <w:r w:rsidRPr="00544CEA">
              <w:rPr>
                <w:rFonts w:ascii="Calibri" w:eastAsia="Times New Roman" w:hAnsi="Calibri" w:cs="Calibri"/>
                <w:color w:val="000000"/>
                <w:sz w:val="24"/>
                <w:szCs w:val="24"/>
                <w:lang w:val="en-GB" w:eastAsia="lt-LT"/>
              </w:rPr>
              <w:lastRenderedPageBreak/>
              <w:t xml:space="preserve">9. </w:t>
            </w:r>
            <w:r w:rsidR="00B0600C" w:rsidRPr="00544CEA">
              <w:rPr>
                <w:rFonts w:ascii="Calibri" w:eastAsia="Times New Roman" w:hAnsi="Calibri" w:cs="Calibri"/>
                <w:color w:val="000000"/>
                <w:sz w:val="24"/>
                <w:szCs w:val="24"/>
                <w:lang w:val="en-GB" w:eastAsia="lt-LT"/>
              </w:rPr>
              <w:t xml:space="preserve">The manufacturer of the goods or the person controlling it cannot be registered </w:t>
            </w:r>
            <w:r w:rsidR="000122C7" w:rsidRPr="00544CEA">
              <w:rPr>
                <w:rFonts w:ascii="Calibri" w:eastAsia="Times New Roman" w:hAnsi="Calibri" w:cs="Calibri"/>
                <w:color w:val="000000"/>
                <w:sz w:val="24"/>
                <w:szCs w:val="24"/>
                <w:lang w:val="en-GB" w:eastAsia="lt-LT"/>
              </w:rPr>
              <w:t xml:space="preserve">in </w:t>
            </w:r>
            <w:r w:rsidR="00B0600C" w:rsidRPr="00544CEA">
              <w:rPr>
                <w:rFonts w:ascii="Calibri" w:eastAsia="Times New Roman" w:hAnsi="Calibri" w:cs="Calibri"/>
                <w:color w:val="000000"/>
                <w:sz w:val="24"/>
                <w:szCs w:val="24"/>
                <w:lang w:val="en-GB" w:eastAsia="lt-LT"/>
              </w:rPr>
              <w:t>(if the manufacturer or the person controlling it is a natural person - permanent resident or citizen of) the countries or territories specified in the list provided for in Article 92 (14) of the Law on Public Procurement of the Republic of Lithuania</w:t>
            </w:r>
            <w:r w:rsidR="000A7621" w:rsidRPr="00544CEA">
              <w:rPr>
                <w:rFonts w:ascii="Calibri" w:eastAsia="Times New Roman" w:hAnsi="Calibri" w:cs="Calibri"/>
                <w:color w:val="000000"/>
                <w:sz w:val="24"/>
                <w:szCs w:val="24"/>
                <w:lang w:val="en-GB" w:eastAsia="lt-LT"/>
              </w:rPr>
              <w:t xml:space="preserve"> </w:t>
            </w:r>
            <w:r w:rsidR="000A7621" w:rsidRPr="00544CEA">
              <w:rPr>
                <w:rFonts w:ascii="Calibri" w:eastAsia="Calibri" w:hAnsi="Calibri" w:cs="Calibri"/>
                <w:color w:val="4472C4" w:themeColor="accent5"/>
                <w:sz w:val="24"/>
                <w:szCs w:val="24"/>
              </w:rPr>
              <w:t>(</w:t>
            </w:r>
            <w:hyperlink r:id="rId11">
              <w:r w:rsidR="000A7621" w:rsidRPr="00544CEA">
                <w:rPr>
                  <w:rFonts w:ascii="Calibri" w:hAnsi="Calibri" w:cs="Calibri"/>
                  <w:color w:val="4472C4" w:themeColor="accent5"/>
                  <w:sz w:val="24"/>
                  <w:szCs w:val="24"/>
                  <w:u w:val="single"/>
                </w:rPr>
                <w:t>https://e-seimas.lrs.lt/portal/legalAct/lt/TAP/16f99e01af6811ecaf79c2120caf5094</w:t>
              </w:r>
            </w:hyperlink>
            <w:hyperlink r:id="rId12">
              <w:r w:rsidR="000A7621" w:rsidRPr="00544CEA">
                <w:rPr>
                  <w:rStyle w:val="Hyperlink"/>
                  <w:rFonts w:ascii="Calibri" w:hAnsi="Calibri" w:cs="Calibri"/>
                  <w:color w:val="4472C4" w:themeColor="accent5"/>
                  <w:sz w:val="24"/>
                  <w:szCs w:val="24"/>
                </w:rPr>
                <w:t>https://e-seimas.lrs.lt/portal/legalAct/lt/TAP/cb3ab4d2ae7d11ecaf79c2120caf5094?jfwid=q1nivj4n4</w:t>
              </w:r>
            </w:hyperlink>
            <w:r w:rsidR="000A7621" w:rsidRPr="00544CEA">
              <w:rPr>
                <w:rFonts w:ascii="Calibri" w:eastAsia="Calibri" w:hAnsi="Calibri" w:cs="Calibri"/>
                <w:color w:val="4472C4" w:themeColor="accent5"/>
                <w:sz w:val="24"/>
                <w:szCs w:val="24"/>
              </w:rPr>
              <w:t>).</w:t>
            </w:r>
          </w:p>
        </w:tc>
      </w:tr>
      <w:tr w:rsidR="00A65BEA" w:rsidRPr="00544CEA" w14:paraId="42C5EABD" w14:textId="77777777" w:rsidTr="2737587E">
        <w:trPr>
          <w:trHeight w:val="585"/>
        </w:trPr>
        <w:tc>
          <w:tcPr>
            <w:tcW w:w="10065" w:type="dxa"/>
            <w:vAlign w:val="center"/>
          </w:tcPr>
          <w:p w14:paraId="6BFC228A" w14:textId="20AD3B3F" w:rsidR="00A65BEA" w:rsidRPr="00544CEA" w:rsidRDefault="00A65BEA" w:rsidP="004C7E94">
            <w:pPr>
              <w:tabs>
                <w:tab w:val="left" w:pos="456"/>
              </w:tabs>
              <w:spacing w:after="0" w:line="360" w:lineRule="auto"/>
              <w:contextualSpacing/>
              <w:jc w:val="both"/>
              <w:rPr>
                <w:rFonts w:ascii="Calibri" w:eastAsia="Times New Roman" w:hAnsi="Calibri" w:cs="Calibri"/>
                <w:color w:val="000000"/>
                <w:sz w:val="24"/>
                <w:szCs w:val="24"/>
                <w:lang w:val="en-GB" w:eastAsia="lt-LT"/>
              </w:rPr>
            </w:pPr>
            <w:r w:rsidRPr="00544CEA">
              <w:rPr>
                <w:rFonts w:ascii="Calibri" w:eastAsia="Times New Roman" w:hAnsi="Calibri" w:cs="Calibri"/>
                <w:color w:val="000000"/>
                <w:sz w:val="24"/>
                <w:szCs w:val="24"/>
                <w:lang w:val="en-GB" w:eastAsia="lt-LT"/>
              </w:rPr>
              <w:t xml:space="preserve">10. </w:t>
            </w:r>
            <w:r w:rsidR="004C7E94" w:rsidRPr="00544CEA">
              <w:rPr>
                <w:rFonts w:ascii="Calibri" w:eastAsia="Times New Roman" w:hAnsi="Calibri" w:cs="Calibri"/>
                <w:color w:val="000000"/>
                <w:sz w:val="24"/>
                <w:szCs w:val="24"/>
                <w:lang w:val="en-GB" w:eastAsia="lt-LT"/>
              </w:rPr>
              <w:t>The services may not be provided from the countries or territories specified in the list provided for in Article 92 (14) of the Law on Public Procurement of the Republic of Lithuania</w:t>
            </w:r>
            <w:r w:rsidR="00131BF5" w:rsidRPr="00544CEA">
              <w:rPr>
                <w:rFonts w:ascii="Calibri" w:eastAsia="Times New Roman" w:hAnsi="Calibri" w:cs="Calibri"/>
                <w:color w:val="000000"/>
                <w:sz w:val="24"/>
                <w:szCs w:val="24"/>
                <w:lang w:val="en-GB" w:eastAsia="lt-LT"/>
              </w:rPr>
              <w:t xml:space="preserve"> </w:t>
            </w:r>
            <w:r w:rsidR="00131BF5" w:rsidRPr="00544CEA">
              <w:rPr>
                <w:rFonts w:ascii="Calibri" w:eastAsia="Calibri" w:hAnsi="Calibri" w:cs="Calibri"/>
                <w:color w:val="4472C4" w:themeColor="accent5"/>
                <w:sz w:val="24"/>
                <w:szCs w:val="24"/>
              </w:rPr>
              <w:t>(</w:t>
            </w:r>
            <w:hyperlink r:id="rId13">
              <w:r w:rsidR="00131BF5" w:rsidRPr="00544CEA">
                <w:rPr>
                  <w:rStyle w:val="Hyperlink"/>
                  <w:rFonts w:ascii="Calibri" w:hAnsi="Calibri" w:cs="Calibri"/>
                  <w:color w:val="4472C4" w:themeColor="accent5"/>
                  <w:sz w:val="24"/>
                  <w:szCs w:val="24"/>
                </w:rPr>
                <w:t>https://e-seimas.lrs.lt/portal/legalAct/lt/TAP/16f99e01af6811ecaf79c2120caf5094</w:t>
              </w:r>
            </w:hyperlink>
            <w:hyperlink r:id="rId14">
              <w:r w:rsidR="00131BF5" w:rsidRPr="00544CEA">
                <w:rPr>
                  <w:rStyle w:val="Hyperlink"/>
                  <w:rFonts w:ascii="Calibri" w:hAnsi="Calibri" w:cs="Calibri"/>
                  <w:color w:val="4472C4" w:themeColor="accent5"/>
                  <w:sz w:val="24"/>
                  <w:szCs w:val="24"/>
                </w:rPr>
                <w:t>https://e-seimas.lrs.lt/portal/legalAct/lt/TAP/cb3ab4d2ae7d11ecaf79c2120caf5094?jfwid=q1nivj4n4</w:t>
              </w:r>
            </w:hyperlink>
            <w:r w:rsidR="00131BF5" w:rsidRPr="00544CEA">
              <w:rPr>
                <w:rFonts w:ascii="Calibri" w:eastAsia="Calibri" w:hAnsi="Calibri" w:cs="Calibri"/>
                <w:color w:val="4472C4" w:themeColor="accent5"/>
                <w:sz w:val="24"/>
                <w:szCs w:val="24"/>
              </w:rPr>
              <w:t>).</w:t>
            </w:r>
          </w:p>
        </w:tc>
      </w:tr>
      <w:tr w:rsidR="00A65BEA" w:rsidRPr="00544CEA" w14:paraId="24A292A4" w14:textId="77777777" w:rsidTr="2737587E">
        <w:trPr>
          <w:trHeight w:val="585"/>
        </w:trPr>
        <w:tc>
          <w:tcPr>
            <w:tcW w:w="10065" w:type="dxa"/>
            <w:vAlign w:val="center"/>
          </w:tcPr>
          <w:p w14:paraId="0F755DF7" w14:textId="4B870F56" w:rsidR="00A65BEA" w:rsidRPr="00544CEA" w:rsidRDefault="00A65BEA" w:rsidP="000A31AC">
            <w:pPr>
              <w:tabs>
                <w:tab w:val="left" w:pos="456"/>
              </w:tabs>
              <w:spacing w:after="0" w:line="360" w:lineRule="auto"/>
              <w:contextualSpacing/>
              <w:jc w:val="both"/>
              <w:rPr>
                <w:rFonts w:ascii="Calibri" w:eastAsia="Times New Roman" w:hAnsi="Calibri" w:cs="Calibri"/>
                <w:color w:val="000000"/>
                <w:sz w:val="24"/>
                <w:szCs w:val="24"/>
                <w:lang w:eastAsia="lt-LT"/>
              </w:rPr>
            </w:pPr>
            <w:r w:rsidRPr="00544CEA">
              <w:rPr>
                <w:rFonts w:ascii="Calibri" w:eastAsia="Times New Roman" w:hAnsi="Calibri" w:cs="Calibri"/>
                <w:color w:val="000000"/>
                <w:sz w:val="24"/>
                <w:szCs w:val="24"/>
                <w:lang w:val="en-GB" w:eastAsia="lt-LT"/>
              </w:rPr>
              <w:t xml:space="preserve">11. </w:t>
            </w:r>
            <w:r w:rsidR="00E62664" w:rsidRPr="00544CEA">
              <w:rPr>
                <w:rFonts w:ascii="Calibri" w:eastAsia="Times New Roman" w:hAnsi="Calibri" w:cs="Calibri"/>
                <w:color w:val="000000"/>
                <w:sz w:val="24"/>
                <w:szCs w:val="24"/>
                <w:lang w:val="en-GB" w:eastAsia="lt-LT"/>
              </w:rPr>
              <w:t xml:space="preserve">If the manufacturer of the goods or </w:t>
            </w:r>
            <w:r w:rsidR="000A31AC" w:rsidRPr="00544CEA">
              <w:rPr>
                <w:rFonts w:ascii="Calibri" w:eastAsia="Times New Roman" w:hAnsi="Calibri" w:cs="Calibri"/>
                <w:color w:val="000000"/>
                <w:sz w:val="24"/>
                <w:szCs w:val="24"/>
                <w:lang w:val="en-GB" w:eastAsia="lt-LT"/>
              </w:rPr>
              <w:t xml:space="preserve">the </w:t>
            </w:r>
            <w:r w:rsidR="00E62664" w:rsidRPr="00544CEA">
              <w:rPr>
                <w:rFonts w:ascii="Calibri" w:eastAsia="Times New Roman" w:hAnsi="Calibri" w:cs="Calibri"/>
                <w:color w:val="000000"/>
                <w:sz w:val="24"/>
                <w:szCs w:val="24"/>
                <w:lang w:val="en-GB" w:eastAsia="lt-LT"/>
              </w:rPr>
              <w:t xml:space="preserve">service provider, or the person controlling it, is a company, a state </w:t>
            </w:r>
            <w:r w:rsidR="000A31AC" w:rsidRPr="00544CEA">
              <w:rPr>
                <w:rFonts w:ascii="Calibri" w:eastAsia="Times New Roman" w:hAnsi="Calibri" w:cs="Calibri"/>
                <w:color w:val="000000"/>
                <w:sz w:val="24"/>
                <w:szCs w:val="24"/>
                <w:lang w:val="en-GB" w:eastAsia="lt-LT"/>
              </w:rPr>
              <w:t>enterprise</w:t>
            </w:r>
            <w:r w:rsidR="00E62664" w:rsidRPr="00544CEA">
              <w:rPr>
                <w:rFonts w:ascii="Calibri" w:eastAsia="Times New Roman" w:hAnsi="Calibri" w:cs="Calibri"/>
                <w:color w:val="000000"/>
                <w:sz w:val="24"/>
                <w:szCs w:val="24"/>
                <w:lang w:val="en-GB" w:eastAsia="lt-LT"/>
              </w:rPr>
              <w:t xml:space="preserve">, a municipal </w:t>
            </w:r>
            <w:r w:rsidR="000A31AC" w:rsidRPr="00544CEA">
              <w:rPr>
                <w:rFonts w:ascii="Calibri" w:eastAsia="Times New Roman" w:hAnsi="Calibri" w:cs="Calibri"/>
                <w:color w:val="000000"/>
                <w:sz w:val="24"/>
                <w:szCs w:val="24"/>
                <w:lang w:val="en-GB" w:eastAsia="lt-LT"/>
              </w:rPr>
              <w:t>undertaking</w:t>
            </w:r>
            <w:r w:rsidR="00E62664" w:rsidRPr="00544CEA">
              <w:rPr>
                <w:rFonts w:ascii="Calibri" w:eastAsia="Times New Roman" w:hAnsi="Calibri" w:cs="Calibri"/>
                <w:color w:val="000000"/>
                <w:sz w:val="24"/>
                <w:szCs w:val="24"/>
                <w:lang w:val="en-GB" w:eastAsia="lt-LT"/>
              </w:rPr>
              <w:t xml:space="preserve">, as well as a state-owned company and their subsidiaries, listed in the </w:t>
            </w:r>
            <w:proofErr w:type="spellStart"/>
            <w:r w:rsidR="004D143A" w:rsidRPr="00544CEA">
              <w:rPr>
                <w:rFonts w:ascii="Calibri" w:eastAsia="Times New Roman" w:hAnsi="Calibri" w:cs="Calibri"/>
                <w:color w:val="000000"/>
                <w:sz w:val="24"/>
                <w:szCs w:val="24"/>
                <w:lang w:eastAsia="lt-LT"/>
              </w:rPr>
              <w:t>Law</w:t>
            </w:r>
            <w:proofErr w:type="spellEnd"/>
            <w:r w:rsidR="004D143A" w:rsidRPr="00544CEA">
              <w:rPr>
                <w:rFonts w:ascii="Calibri" w:eastAsia="Times New Roman" w:hAnsi="Calibri" w:cs="Calibri"/>
                <w:color w:val="000000"/>
                <w:sz w:val="24"/>
                <w:szCs w:val="24"/>
                <w:lang w:eastAsia="lt-LT"/>
              </w:rPr>
              <w:t xml:space="preserve"> on the </w:t>
            </w:r>
            <w:proofErr w:type="spellStart"/>
            <w:r w:rsidR="004D143A" w:rsidRPr="00544CEA">
              <w:rPr>
                <w:rFonts w:ascii="Calibri" w:eastAsia="Times New Roman" w:hAnsi="Calibri" w:cs="Calibri"/>
                <w:color w:val="000000"/>
                <w:sz w:val="24"/>
                <w:szCs w:val="24"/>
                <w:lang w:eastAsia="lt-LT"/>
              </w:rPr>
              <w:t>Protection</w:t>
            </w:r>
            <w:proofErr w:type="spellEnd"/>
            <w:r w:rsidR="004D143A" w:rsidRPr="00544CEA">
              <w:rPr>
                <w:rFonts w:ascii="Calibri" w:eastAsia="Times New Roman" w:hAnsi="Calibri" w:cs="Calibri"/>
                <w:color w:val="000000"/>
                <w:sz w:val="24"/>
                <w:szCs w:val="24"/>
                <w:lang w:eastAsia="lt-LT"/>
              </w:rPr>
              <w:t xml:space="preserve"> of </w:t>
            </w:r>
            <w:proofErr w:type="spellStart"/>
            <w:r w:rsidR="004D143A" w:rsidRPr="00544CEA">
              <w:rPr>
                <w:rFonts w:ascii="Calibri" w:eastAsia="Times New Roman" w:hAnsi="Calibri" w:cs="Calibri"/>
                <w:color w:val="000000"/>
                <w:sz w:val="24"/>
                <w:szCs w:val="24"/>
                <w:lang w:eastAsia="lt-LT"/>
              </w:rPr>
              <w:t>Objects</w:t>
            </w:r>
            <w:proofErr w:type="spellEnd"/>
            <w:r w:rsidR="004D143A" w:rsidRPr="00544CEA">
              <w:rPr>
                <w:rFonts w:ascii="Calibri" w:eastAsia="Times New Roman" w:hAnsi="Calibri" w:cs="Calibri"/>
                <w:color w:val="000000"/>
                <w:sz w:val="24"/>
                <w:szCs w:val="24"/>
                <w:lang w:eastAsia="lt-LT"/>
              </w:rPr>
              <w:t xml:space="preserve"> </w:t>
            </w:r>
            <w:proofErr w:type="spellStart"/>
            <w:r w:rsidR="004D143A" w:rsidRPr="00544CEA">
              <w:rPr>
                <w:rFonts w:ascii="Calibri" w:eastAsia="Times New Roman" w:hAnsi="Calibri" w:cs="Calibri"/>
                <w:color w:val="000000"/>
                <w:sz w:val="24"/>
                <w:szCs w:val="24"/>
                <w:lang w:eastAsia="lt-LT"/>
              </w:rPr>
              <w:t>Important</w:t>
            </w:r>
            <w:proofErr w:type="spellEnd"/>
            <w:r w:rsidR="004D143A" w:rsidRPr="00544CEA">
              <w:rPr>
                <w:rFonts w:ascii="Calibri" w:eastAsia="Times New Roman" w:hAnsi="Calibri" w:cs="Calibri"/>
                <w:color w:val="000000"/>
                <w:sz w:val="24"/>
                <w:szCs w:val="24"/>
                <w:lang w:eastAsia="lt-LT"/>
              </w:rPr>
              <w:t xml:space="preserve"> to </w:t>
            </w:r>
            <w:proofErr w:type="spellStart"/>
            <w:r w:rsidR="004D143A" w:rsidRPr="00544CEA">
              <w:rPr>
                <w:rFonts w:ascii="Calibri" w:eastAsia="Times New Roman" w:hAnsi="Calibri" w:cs="Calibri"/>
                <w:color w:val="000000"/>
                <w:sz w:val="24"/>
                <w:szCs w:val="24"/>
                <w:lang w:eastAsia="lt-LT"/>
              </w:rPr>
              <w:t>National</w:t>
            </w:r>
            <w:proofErr w:type="spellEnd"/>
            <w:r w:rsidR="004D143A" w:rsidRPr="00544CEA">
              <w:rPr>
                <w:rFonts w:ascii="Calibri" w:eastAsia="Times New Roman" w:hAnsi="Calibri" w:cs="Calibri"/>
                <w:color w:val="000000"/>
                <w:sz w:val="24"/>
                <w:szCs w:val="24"/>
                <w:lang w:eastAsia="lt-LT"/>
              </w:rPr>
              <w:t xml:space="preserve"> Security</w:t>
            </w:r>
            <w:r w:rsidR="00E62664" w:rsidRPr="00544CEA">
              <w:rPr>
                <w:rFonts w:ascii="Calibri" w:eastAsia="Times New Roman" w:hAnsi="Calibri" w:cs="Calibri"/>
                <w:color w:val="000000"/>
                <w:sz w:val="24"/>
                <w:szCs w:val="24"/>
                <w:lang w:val="en-GB" w:eastAsia="lt-LT"/>
              </w:rPr>
              <w:t xml:space="preserve">, </w:t>
            </w:r>
            <w:r w:rsidR="000A31AC" w:rsidRPr="00544CEA">
              <w:rPr>
                <w:rFonts w:ascii="Calibri" w:eastAsia="Times New Roman" w:hAnsi="Calibri" w:cs="Calibri"/>
                <w:color w:val="000000"/>
                <w:sz w:val="24"/>
                <w:szCs w:val="24"/>
                <w:lang w:val="en-GB" w:eastAsia="lt-LT"/>
              </w:rPr>
              <w:t xml:space="preserve">which are </w:t>
            </w:r>
            <w:r w:rsidR="009E41BF" w:rsidRPr="00544CEA">
              <w:rPr>
                <w:rFonts w:ascii="Calibri" w:eastAsia="Times New Roman" w:hAnsi="Calibri" w:cs="Calibri"/>
                <w:color w:val="000000"/>
                <w:sz w:val="24"/>
                <w:szCs w:val="24"/>
                <w:lang w:val="en-GB" w:eastAsia="lt-LT"/>
              </w:rPr>
              <w:t xml:space="preserve">important for ensuring national security, </w:t>
            </w:r>
            <w:r w:rsidR="000A31AC" w:rsidRPr="00544CEA">
              <w:rPr>
                <w:rFonts w:ascii="Calibri" w:eastAsia="Times New Roman" w:hAnsi="Calibri" w:cs="Calibri"/>
                <w:color w:val="000000"/>
                <w:sz w:val="24"/>
                <w:szCs w:val="24"/>
                <w:lang w:val="en-GB" w:eastAsia="lt-LT"/>
              </w:rPr>
              <w:t xml:space="preserve">Article 37 (9) of </w:t>
            </w:r>
            <w:r w:rsidR="00E62664" w:rsidRPr="00544CEA">
              <w:rPr>
                <w:rFonts w:ascii="Calibri" w:eastAsia="Times New Roman" w:hAnsi="Calibri" w:cs="Calibri"/>
                <w:color w:val="000000"/>
                <w:sz w:val="24"/>
                <w:szCs w:val="24"/>
                <w:lang w:val="en-GB" w:eastAsia="lt-LT"/>
              </w:rPr>
              <w:t>the Law on Public Procurement of the Republic of Lithuania does not apply</w:t>
            </w:r>
            <w:r w:rsidR="000A31AC" w:rsidRPr="00544CEA">
              <w:rPr>
                <w:rFonts w:ascii="Calibri" w:eastAsia="Times New Roman" w:hAnsi="Calibri" w:cs="Calibri"/>
                <w:color w:val="000000"/>
                <w:sz w:val="24"/>
                <w:szCs w:val="24"/>
                <w:lang w:val="en-GB" w:eastAsia="lt-LT"/>
              </w:rPr>
              <w:t xml:space="preserve"> to these entities.</w:t>
            </w:r>
          </w:p>
        </w:tc>
      </w:tr>
      <w:tr w:rsidR="000A31AC" w:rsidRPr="00544CEA" w14:paraId="06FED8D0" w14:textId="77777777" w:rsidTr="2737587E">
        <w:trPr>
          <w:trHeight w:val="585"/>
        </w:trPr>
        <w:tc>
          <w:tcPr>
            <w:tcW w:w="10065" w:type="dxa"/>
            <w:vAlign w:val="center"/>
          </w:tcPr>
          <w:p w14:paraId="091F0B3D" w14:textId="0EF9D0A7" w:rsidR="000A31AC" w:rsidRPr="00544CEA" w:rsidRDefault="000A31AC" w:rsidP="0083410F">
            <w:pPr>
              <w:tabs>
                <w:tab w:val="left" w:pos="456"/>
              </w:tabs>
              <w:spacing w:after="0" w:line="360" w:lineRule="auto"/>
              <w:contextualSpacing/>
              <w:jc w:val="both"/>
              <w:rPr>
                <w:rFonts w:ascii="Calibri" w:eastAsia="Times New Roman" w:hAnsi="Calibri" w:cs="Calibri"/>
                <w:color w:val="000000"/>
                <w:sz w:val="24"/>
                <w:szCs w:val="24"/>
                <w:lang w:val="en-GB" w:eastAsia="lt-LT"/>
              </w:rPr>
            </w:pPr>
            <w:r w:rsidRPr="00544CEA">
              <w:rPr>
                <w:rFonts w:ascii="Calibri" w:eastAsia="Times New Roman" w:hAnsi="Calibri" w:cs="Calibri"/>
                <w:color w:val="000000"/>
                <w:sz w:val="24"/>
                <w:szCs w:val="24"/>
                <w:lang w:val="en-GB" w:eastAsia="lt-LT"/>
              </w:rPr>
              <w:t xml:space="preserve">12. Environmental protection criteria. In accordance with the </w:t>
            </w:r>
            <w:r w:rsidR="003F7820" w:rsidRPr="00544CEA">
              <w:rPr>
                <w:rFonts w:ascii="Calibri" w:eastAsia="Times New Roman" w:hAnsi="Calibri" w:cs="Calibri"/>
                <w:color w:val="000000"/>
                <w:sz w:val="24"/>
                <w:szCs w:val="24"/>
                <w:lang w:val="en-GB" w:eastAsia="lt-LT"/>
              </w:rPr>
              <w:t>P</w:t>
            </w:r>
            <w:r w:rsidRPr="00544CEA">
              <w:rPr>
                <w:rFonts w:ascii="Calibri" w:eastAsia="Times New Roman" w:hAnsi="Calibri" w:cs="Calibri"/>
                <w:color w:val="000000"/>
                <w:sz w:val="24"/>
                <w:szCs w:val="24"/>
                <w:lang w:val="en-GB" w:eastAsia="lt-LT"/>
              </w:rPr>
              <w:t xml:space="preserve">rocedure for the </w:t>
            </w:r>
            <w:r w:rsidR="003F7820" w:rsidRPr="00544CEA">
              <w:rPr>
                <w:rFonts w:ascii="Calibri" w:eastAsia="Times New Roman" w:hAnsi="Calibri" w:cs="Calibri"/>
                <w:color w:val="000000"/>
                <w:sz w:val="24"/>
                <w:szCs w:val="24"/>
                <w:lang w:val="en-GB" w:eastAsia="lt-LT"/>
              </w:rPr>
              <w:t>A</w:t>
            </w:r>
            <w:r w:rsidRPr="00544CEA">
              <w:rPr>
                <w:rFonts w:ascii="Calibri" w:eastAsia="Times New Roman" w:hAnsi="Calibri" w:cs="Calibri"/>
                <w:color w:val="000000"/>
                <w:sz w:val="24"/>
                <w:szCs w:val="24"/>
                <w:lang w:val="en-GB" w:eastAsia="lt-LT"/>
              </w:rPr>
              <w:t xml:space="preserve">pplication of </w:t>
            </w:r>
            <w:r w:rsidR="003F7820" w:rsidRPr="00544CEA">
              <w:rPr>
                <w:rFonts w:ascii="Calibri" w:eastAsia="Times New Roman" w:hAnsi="Calibri" w:cs="Calibri"/>
                <w:color w:val="000000"/>
                <w:sz w:val="24"/>
                <w:szCs w:val="24"/>
                <w:lang w:val="en-GB" w:eastAsia="lt-LT"/>
              </w:rPr>
              <w:t>E</w:t>
            </w:r>
            <w:r w:rsidRPr="00544CEA">
              <w:rPr>
                <w:rFonts w:ascii="Calibri" w:eastAsia="Times New Roman" w:hAnsi="Calibri" w:cs="Calibri"/>
                <w:color w:val="000000"/>
                <w:sz w:val="24"/>
                <w:szCs w:val="24"/>
                <w:lang w:val="en-GB" w:eastAsia="lt-LT"/>
              </w:rPr>
              <w:t xml:space="preserve">nvironmental </w:t>
            </w:r>
            <w:r w:rsidR="003F7820" w:rsidRPr="00544CEA">
              <w:rPr>
                <w:rFonts w:ascii="Calibri" w:eastAsia="Times New Roman" w:hAnsi="Calibri" w:cs="Calibri"/>
                <w:color w:val="000000"/>
                <w:sz w:val="24"/>
                <w:szCs w:val="24"/>
                <w:lang w:val="en-GB" w:eastAsia="lt-LT"/>
              </w:rPr>
              <w:t>P</w:t>
            </w:r>
            <w:r w:rsidRPr="00544CEA">
              <w:rPr>
                <w:rFonts w:ascii="Calibri" w:eastAsia="Times New Roman" w:hAnsi="Calibri" w:cs="Calibri"/>
                <w:color w:val="000000"/>
                <w:sz w:val="24"/>
                <w:szCs w:val="24"/>
                <w:lang w:val="en-GB" w:eastAsia="lt-LT"/>
              </w:rPr>
              <w:t xml:space="preserve">rotection </w:t>
            </w:r>
            <w:r w:rsidR="003F7820" w:rsidRPr="00544CEA">
              <w:rPr>
                <w:rFonts w:ascii="Calibri" w:eastAsia="Times New Roman" w:hAnsi="Calibri" w:cs="Calibri"/>
                <w:color w:val="000000"/>
                <w:sz w:val="24"/>
                <w:szCs w:val="24"/>
                <w:lang w:val="en-GB" w:eastAsia="lt-LT"/>
              </w:rPr>
              <w:t>C</w:t>
            </w:r>
            <w:r w:rsidRPr="00544CEA">
              <w:rPr>
                <w:rFonts w:ascii="Calibri" w:eastAsia="Times New Roman" w:hAnsi="Calibri" w:cs="Calibri"/>
                <w:color w:val="000000"/>
                <w:sz w:val="24"/>
                <w:szCs w:val="24"/>
                <w:lang w:val="en-GB" w:eastAsia="lt-LT"/>
              </w:rPr>
              <w:t xml:space="preserve">riteria in </w:t>
            </w:r>
            <w:r w:rsidR="003F7820" w:rsidRPr="00544CEA">
              <w:rPr>
                <w:rFonts w:ascii="Calibri" w:eastAsia="Times New Roman" w:hAnsi="Calibri" w:cs="Calibri"/>
                <w:color w:val="000000"/>
                <w:sz w:val="24"/>
                <w:szCs w:val="24"/>
                <w:lang w:val="en-GB" w:eastAsia="lt-LT"/>
              </w:rPr>
              <w:t>G</w:t>
            </w:r>
            <w:r w:rsidRPr="00544CEA">
              <w:rPr>
                <w:rFonts w:ascii="Calibri" w:eastAsia="Times New Roman" w:hAnsi="Calibri" w:cs="Calibri"/>
                <w:color w:val="000000"/>
                <w:sz w:val="24"/>
                <w:szCs w:val="24"/>
                <w:lang w:val="en-GB" w:eastAsia="lt-LT"/>
              </w:rPr>
              <w:t xml:space="preserve">reen </w:t>
            </w:r>
            <w:r w:rsidR="003F7820" w:rsidRPr="00544CEA">
              <w:rPr>
                <w:rFonts w:ascii="Calibri" w:eastAsia="Times New Roman" w:hAnsi="Calibri" w:cs="Calibri"/>
                <w:color w:val="000000"/>
                <w:sz w:val="24"/>
                <w:szCs w:val="24"/>
                <w:lang w:val="en-GB" w:eastAsia="lt-LT"/>
              </w:rPr>
              <w:t>P</w:t>
            </w:r>
            <w:r w:rsidRPr="00544CEA">
              <w:rPr>
                <w:rFonts w:ascii="Calibri" w:eastAsia="Times New Roman" w:hAnsi="Calibri" w:cs="Calibri"/>
                <w:color w:val="000000"/>
                <w:sz w:val="24"/>
                <w:szCs w:val="24"/>
                <w:lang w:val="en-GB" w:eastAsia="lt-LT"/>
              </w:rPr>
              <w:t>rocurement</w:t>
            </w:r>
            <w:r w:rsidR="003F7820" w:rsidRPr="00544CEA">
              <w:rPr>
                <w:rFonts w:ascii="Calibri" w:eastAsia="Times New Roman" w:hAnsi="Calibri" w:cs="Calibri"/>
                <w:color w:val="000000"/>
                <w:sz w:val="24"/>
                <w:szCs w:val="24"/>
                <w:lang w:val="en-GB" w:eastAsia="lt-LT"/>
              </w:rPr>
              <w:t>s</w:t>
            </w:r>
            <w:r w:rsidR="0083410F" w:rsidRPr="00544CEA">
              <w:rPr>
                <w:rFonts w:ascii="Calibri" w:eastAsia="Times New Roman" w:hAnsi="Calibri" w:cs="Calibri"/>
                <w:color w:val="000000"/>
                <w:sz w:val="24"/>
                <w:szCs w:val="24"/>
                <w:lang w:val="en-GB" w:eastAsia="lt-LT"/>
              </w:rPr>
              <w:t xml:space="preserve"> approved by </w:t>
            </w:r>
            <w:r w:rsidR="003F7820" w:rsidRPr="00544CEA">
              <w:rPr>
                <w:rFonts w:ascii="Calibri" w:eastAsia="Times New Roman" w:hAnsi="Calibri" w:cs="Calibri"/>
                <w:color w:val="000000"/>
                <w:sz w:val="24"/>
                <w:szCs w:val="24"/>
                <w:lang w:val="en-GB" w:eastAsia="lt-LT"/>
              </w:rPr>
              <w:t>Order No. D1-508 of</w:t>
            </w:r>
            <w:r w:rsidRPr="00544CEA">
              <w:rPr>
                <w:rFonts w:ascii="Calibri" w:eastAsia="Times New Roman" w:hAnsi="Calibri" w:cs="Calibri"/>
                <w:color w:val="000000"/>
                <w:sz w:val="24"/>
                <w:szCs w:val="24"/>
                <w:lang w:val="en-GB" w:eastAsia="lt-LT"/>
              </w:rPr>
              <w:t xml:space="preserve"> the Minister of the Environment of the Republic of Lithuania </w:t>
            </w:r>
            <w:r w:rsidR="003F7820" w:rsidRPr="00544CEA">
              <w:rPr>
                <w:rFonts w:ascii="Calibri" w:eastAsia="Times New Roman" w:hAnsi="Calibri" w:cs="Calibri"/>
                <w:color w:val="000000"/>
                <w:sz w:val="24"/>
                <w:szCs w:val="24"/>
                <w:lang w:val="en-GB" w:eastAsia="lt-LT"/>
              </w:rPr>
              <w:t>on 28</w:t>
            </w:r>
            <w:r w:rsidRPr="00544CEA">
              <w:rPr>
                <w:rFonts w:ascii="Calibri" w:eastAsia="Times New Roman" w:hAnsi="Calibri" w:cs="Calibri"/>
                <w:color w:val="000000"/>
                <w:sz w:val="24"/>
                <w:szCs w:val="24"/>
                <w:lang w:val="en-GB" w:eastAsia="lt-LT"/>
              </w:rPr>
              <w:t xml:space="preserve"> </w:t>
            </w:r>
            <w:r w:rsidR="003F7820" w:rsidRPr="00544CEA">
              <w:rPr>
                <w:rFonts w:ascii="Calibri" w:eastAsia="Times New Roman" w:hAnsi="Calibri" w:cs="Calibri"/>
                <w:color w:val="000000"/>
                <w:sz w:val="24"/>
                <w:szCs w:val="24"/>
                <w:lang w:val="en-GB" w:eastAsia="lt-LT"/>
              </w:rPr>
              <w:t xml:space="preserve">June </w:t>
            </w:r>
            <w:r w:rsidRPr="00544CEA">
              <w:rPr>
                <w:rFonts w:ascii="Calibri" w:eastAsia="Times New Roman" w:hAnsi="Calibri" w:cs="Calibri"/>
                <w:color w:val="000000"/>
                <w:sz w:val="24"/>
                <w:szCs w:val="24"/>
                <w:lang w:val="en-GB" w:eastAsia="lt-LT"/>
              </w:rPr>
              <w:t xml:space="preserve">2011 On </w:t>
            </w:r>
            <w:r w:rsidR="003F7820" w:rsidRPr="00544CEA">
              <w:rPr>
                <w:rFonts w:ascii="Calibri" w:eastAsia="Times New Roman" w:hAnsi="Calibri" w:cs="Calibri"/>
                <w:color w:val="000000"/>
                <w:sz w:val="24"/>
                <w:szCs w:val="24"/>
                <w:lang w:val="en-GB" w:eastAsia="lt-LT"/>
              </w:rPr>
              <w:t>A</w:t>
            </w:r>
            <w:r w:rsidRPr="00544CEA">
              <w:rPr>
                <w:rFonts w:ascii="Calibri" w:eastAsia="Times New Roman" w:hAnsi="Calibri" w:cs="Calibri"/>
                <w:color w:val="000000"/>
                <w:sz w:val="24"/>
                <w:szCs w:val="24"/>
                <w:lang w:val="en-GB" w:eastAsia="lt-LT"/>
              </w:rPr>
              <w:t>pproval of the</w:t>
            </w:r>
            <w:r w:rsidR="0083410F" w:rsidRPr="00544CEA">
              <w:rPr>
                <w:rFonts w:ascii="Calibri" w:eastAsia="Times New Roman" w:hAnsi="Calibri" w:cs="Calibri"/>
                <w:color w:val="000000"/>
                <w:sz w:val="24"/>
                <w:szCs w:val="24"/>
                <w:lang w:val="en-GB" w:eastAsia="lt-LT"/>
              </w:rPr>
              <w:t xml:space="preserve"> L</w:t>
            </w:r>
            <w:r w:rsidRPr="00544CEA">
              <w:rPr>
                <w:rFonts w:ascii="Calibri" w:eastAsia="Times New Roman" w:hAnsi="Calibri" w:cs="Calibri"/>
                <w:color w:val="000000"/>
                <w:sz w:val="24"/>
                <w:szCs w:val="24"/>
                <w:lang w:val="en-GB" w:eastAsia="lt-LT"/>
              </w:rPr>
              <w:t xml:space="preserve">ist of </w:t>
            </w:r>
            <w:r w:rsidR="0083410F" w:rsidRPr="00544CEA">
              <w:rPr>
                <w:rFonts w:ascii="Calibri" w:eastAsia="Times New Roman" w:hAnsi="Calibri" w:cs="Calibri"/>
                <w:color w:val="000000"/>
                <w:sz w:val="24"/>
                <w:szCs w:val="24"/>
                <w:lang w:val="en-GB" w:eastAsia="lt-LT"/>
              </w:rPr>
              <w:t>P</w:t>
            </w:r>
            <w:r w:rsidRPr="00544CEA">
              <w:rPr>
                <w:rFonts w:ascii="Calibri" w:eastAsia="Times New Roman" w:hAnsi="Calibri" w:cs="Calibri"/>
                <w:color w:val="000000"/>
                <w:sz w:val="24"/>
                <w:szCs w:val="24"/>
                <w:lang w:val="en-GB" w:eastAsia="lt-LT"/>
              </w:rPr>
              <w:t>roduct</w:t>
            </w:r>
            <w:r w:rsidR="0083410F" w:rsidRPr="00544CEA">
              <w:rPr>
                <w:rFonts w:ascii="Calibri" w:eastAsia="Times New Roman" w:hAnsi="Calibri" w:cs="Calibri"/>
                <w:color w:val="000000"/>
                <w:sz w:val="24"/>
                <w:szCs w:val="24"/>
                <w:lang w:val="en-GB" w:eastAsia="lt-LT"/>
              </w:rPr>
              <w:t xml:space="preserve">s </w:t>
            </w:r>
            <w:r w:rsidRPr="00544CEA">
              <w:rPr>
                <w:rFonts w:ascii="Calibri" w:eastAsia="Times New Roman" w:hAnsi="Calibri" w:cs="Calibri"/>
                <w:color w:val="000000"/>
                <w:sz w:val="24"/>
                <w:szCs w:val="24"/>
                <w:lang w:val="en-GB" w:eastAsia="lt-LT"/>
              </w:rPr>
              <w:t xml:space="preserve"> which </w:t>
            </w:r>
            <w:r w:rsidR="0083410F" w:rsidRPr="00544CEA">
              <w:rPr>
                <w:rFonts w:ascii="Calibri" w:eastAsia="Times New Roman" w:hAnsi="Calibri" w:cs="Calibri"/>
                <w:color w:val="000000"/>
                <w:sz w:val="24"/>
                <w:szCs w:val="24"/>
                <w:lang w:val="en-GB" w:eastAsia="lt-LT"/>
              </w:rPr>
              <w:t>Public Procurement is subject to the E</w:t>
            </w:r>
            <w:r w:rsidRPr="00544CEA">
              <w:rPr>
                <w:rFonts w:ascii="Calibri" w:eastAsia="Times New Roman" w:hAnsi="Calibri" w:cs="Calibri"/>
                <w:color w:val="000000"/>
                <w:sz w:val="24"/>
                <w:szCs w:val="24"/>
                <w:lang w:val="en-GB" w:eastAsia="lt-LT"/>
              </w:rPr>
              <w:t xml:space="preserve">nvironmental </w:t>
            </w:r>
            <w:r w:rsidR="0083410F" w:rsidRPr="00544CEA">
              <w:rPr>
                <w:rFonts w:ascii="Calibri" w:eastAsia="Times New Roman" w:hAnsi="Calibri" w:cs="Calibri"/>
                <w:color w:val="000000"/>
                <w:sz w:val="24"/>
                <w:szCs w:val="24"/>
                <w:lang w:val="en-GB" w:eastAsia="lt-LT"/>
              </w:rPr>
              <w:t>P</w:t>
            </w:r>
            <w:r w:rsidRPr="00544CEA">
              <w:rPr>
                <w:rFonts w:ascii="Calibri" w:eastAsia="Times New Roman" w:hAnsi="Calibri" w:cs="Calibri"/>
                <w:color w:val="000000"/>
                <w:sz w:val="24"/>
                <w:szCs w:val="24"/>
                <w:lang w:val="en-GB" w:eastAsia="lt-LT"/>
              </w:rPr>
              <w:t xml:space="preserve">rotection </w:t>
            </w:r>
            <w:r w:rsidR="0083410F" w:rsidRPr="00544CEA">
              <w:rPr>
                <w:rFonts w:ascii="Calibri" w:eastAsia="Times New Roman" w:hAnsi="Calibri" w:cs="Calibri"/>
                <w:color w:val="000000"/>
                <w:sz w:val="24"/>
                <w:szCs w:val="24"/>
                <w:lang w:val="en-GB" w:eastAsia="lt-LT"/>
              </w:rPr>
              <w:t>C</w:t>
            </w:r>
            <w:r w:rsidRPr="00544CEA">
              <w:rPr>
                <w:rFonts w:ascii="Calibri" w:eastAsia="Times New Roman" w:hAnsi="Calibri" w:cs="Calibri"/>
                <w:color w:val="000000"/>
                <w:sz w:val="24"/>
                <w:szCs w:val="24"/>
                <w:lang w:val="en-GB" w:eastAsia="lt-LT"/>
              </w:rPr>
              <w:t xml:space="preserve">riteria, </w:t>
            </w:r>
            <w:r w:rsidR="0083410F" w:rsidRPr="00544CEA">
              <w:rPr>
                <w:rFonts w:ascii="Calibri" w:eastAsia="Times New Roman" w:hAnsi="Calibri" w:cs="Calibri"/>
                <w:color w:val="000000"/>
                <w:sz w:val="24"/>
                <w:szCs w:val="24"/>
                <w:lang w:val="en-GB" w:eastAsia="lt-LT"/>
              </w:rPr>
              <w:t>Environmental Protection Criteria and the</w:t>
            </w:r>
            <w:r w:rsidRPr="00544CEA">
              <w:rPr>
                <w:rFonts w:ascii="Calibri" w:eastAsia="Times New Roman" w:hAnsi="Calibri" w:cs="Calibri"/>
                <w:color w:val="000000"/>
                <w:sz w:val="24"/>
                <w:szCs w:val="24"/>
                <w:lang w:val="en-GB" w:eastAsia="lt-LT"/>
              </w:rPr>
              <w:t xml:space="preserve"> </w:t>
            </w:r>
            <w:r w:rsidR="0083410F" w:rsidRPr="00544CEA">
              <w:rPr>
                <w:rFonts w:ascii="Calibri" w:eastAsia="Times New Roman" w:hAnsi="Calibri" w:cs="Calibri"/>
                <w:color w:val="000000"/>
                <w:sz w:val="24"/>
                <w:szCs w:val="24"/>
                <w:lang w:val="en-GB" w:eastAsia="lt-LT"/>
              </w:rPr>
              <w:t>P</w:t>
            </w:r>
            <w:r w:rsidRPr="00544CEA">
              <w:rPr>
                <w:rFonts w:ascii="Calibri" w:eastAsia="Times New Roman" w:hAnsi="Calibri" w:cs="Calibri"/>
                <w:color w:val="000000"/>
                <w:sz w:val="24"/>
                <w:szCs w:val="24"/>
                <w:lang w:val="en-GB" w:eastAsia="lt-LT"/>
              </w:rPr>
              <w:t>rocedure</w:t>
            </w:r>
            <w:r w:rsidR="0083410F" w:rsidRPr="00544CEA">
              <w:rPr>
                <w:rFonts w:ascii="Calibri" w:eastAsia="Times New Roman" w:hAnsi="Calibri" w:cs="Calibri"/>
                <w:color w:val="000000"/>
                <w:sz w:val="24"/>
                <w:szCs w:val="24"/>
                <w:lang w:val="en-GB" w:eastAsia="lt-LT"/>
              </w:rPr>
              <w:t xml:space="preserve"> for Applying</w:t>
            </w:r>
            <w:r w:rsidRPr="00544CEA">
              <w:rPr>
                <w:rFonts w:ascii="Calibri" w:eastAsia="Times New Roman" w:hAnsi="Calibri" w:cs="Calibri"/>
                <w:color w:val="000000"/>
                <w:sz w:val="24"/>
                <w:szCs w:val="24"/>
                <w:lang w:val="en-GB" w:eastAsia="lt-LT"/>
              </w:rPr>
              <w:t xml:space="preserve"> </w:t>
            </w:r>
            <w:r w:rsidR="0083410F" w:rsidRPr="00544CEA">
              <w:rPr>
                <w:rFonts w:ascii="Calibri" w:eastAsia="Times New Roman" w:hAnsi="Calibri" w:cs="Calibri"/>
                <w:color w:val="000000"/>
                <w:sz w:val="24"/>
                <w:szCs w:val="24"/>
                <w:lang w:val="en-GB" w:eastAsia="lt-LT"/>
              </w:rPr>
              <w:t>E</w:t>
            </w:r>
            <w:r w:rsidRPr="00544CEA">
              <w:rPr>
                <w:rFonts w:ascii="Calibri" w:eastAsia="Times New Roman" w:hAnsi="Calibri" w:cs="Calibri"/>
                <w:color w:val="000000"/>
                <w:sz w:val="24"/>
                <w:szCs w:val="24"/>
                <w:lang w:val="en-GB" w:eastAsia="lt-LT"/>
              </w:rPr>
              <w:t xml:space="preserve">nvironmental </w:t>
            </w:r>
            <w:r w:rsidR="0083410F" w:rsidRPr="00544CEA">
              <w:rPr>
                <w:rFonts w:ascii="Calibri" w:eastAsia="Times New Roman" w:hAnsi="Calibri" w:cs="Calibri"/>
                <w:color w:val="000000"/>
                <w:sz w:val="24"/>
                <w:szCs w:val="24"/>
                <w:lang w:val="en-GB" w:eastAsia="lt-LT"/>
              </w:rPr>
              <w:t>P</w:t>
            </w:r>
            <w:r w:rsidRPr="00544CEA">
              <w:rPr>
                <w:rFonts w:ascii="Calibri" w:eastAsia="Times New Roman" w:hAnsi="Calibri" w:cs="Calibri"/>
                <w:color w:val="000000"/>
                <w:sz w:val="24"/>
                <w:szCs w:val="24"/>
                <w:lang w:val="en-GB" w:eastAsia="lt-LT"/>
              </w:rPr>
              <w:t xml:space="preserve">rotection </w:t>
            </w:r>
            <w:r w:rsidR="0083410F" w:rsidRPr="00544CEA">
              <w:rPr>
                <w:rFonts w:ascii="Calibri" w:eastAsia="Times New Roman" w:hAnsi="Calibri" w:cs="Calibri"/>
                <w:color w:val="000000"/>
                <w:sz w:val="24"/>
                <w:szCs w:val="24"/>
                <w:lang w:val="en-GB" w:eastAsia="lt-LT"/>
              </w:rPr>
              <w:t>C</w:t>
            </w:r>
            <w:r w:rsidRPr="00544CEA">
              <w:rPr>
                <w:rFonts w:ascii="Calibri" w:eastAsia="Times New Roman" w:hAnsi="Calibri" w:cs="Calibri"/>
                <w:color w:val="000000"/>
                <w:sz w:val="24"/>
                <w:szCs w:val="24"/>
                <w:lang w:val="en-GB" w:eastAsia="lt-LT"/>
              </w:rPr>
              <w:t xml:space="preserve">riteria that </w:t>
            </w:r>
            <w:r w:rsidR="0083410F" w:rsidRPr="00544CEA">
              <w:rPr>
                <w:rFonts w:ascii="Calibri" w:eastAsia="Times New Roman" w:hAnsi="Calibri" w:cs="Calibri"/>
                <w:color w:val="000000"/>
                <w:sz w:val="24"/>
                <w:szCs w:val="24"/>
                <w:lang w:val="en-GB" w:eastAsia="lt-LT"/>
              </w:rPr>
              <w:t>Contracting Authorities</w:t>
            </w:r>
            <w:r w:rsidRPr="00544CEA">
              <w:rPr>
                <w:rFonts w:ascii="Calibri" w:eastAsia="Times New Roman" w:hAnsi="Calibri" w:cs="Calibri"/>
                <w:color w:val="000000"/>
                <w:sz w:val="24"/>
                <w:szCs w:val="24"/>
                <w:lang w:val="en-GB" w:eastAsia="lt-LT"/>
              </w:rPr>
              <w:t xml:space="preserve"> must </w:t>
            </w:r>
            <w:r w:rsidR="0083410F" w:rsidRPr="00544CEA">
              <w:rPr>
                <w:rFonts w:ascii="Calibri" w:eastAsia="Times New Roman" w:hAnsi="Calibri" w:cs="Calibri"/>
                <w:color w:val="000000"/>
                <w:sz w:val="24"/>
                <w:szCs w:val="24"/>
                <w:lang w:val="en-GB" w:eastAsia="lt-LT"/>
              </w:rPr>
              <w:t>a</w:t>
            </w:r>
            <w:r w:rsidRPr="00544CEA">
              <w:rPr>
                <w:rFonts w:ascii="Calibri" w:eastAsia="Times New Roman" w:hAnsi="Calibri" w:cs="Calibri"/>
                <w:color w:val="000000"/>
                <w:sz w:val="24"/>
                <w:szCs w:val="24"/>
                <w:lang w:val="en-GB" w:eastAsia="lt-LT"/>
              </w:rPr>
              <w:t xml:space="preserve">pply when </w:t>
            </w:r>
            <w:r w:rsidR="0083410F" w:rsidRPr="00544CEA">
              <w:rPr>
                <w:rFonts w:ascii="Calibri" w:eastAsia="Times New Roman" w:hAnsi="Calibri" w:cs="Calibri"/>
                <w:color w:val="000000"/>
                <w:sz w:val="24"/>
                <w:szCs w:val="24"/>
                <w:lang w:val="en-GB" w:eastAsia="lt-LT"/>
              </w:rPr>
              <w:t>Procuring</w:t>
            </w:r>
            <w:r w:rsidRPr="00544CEA">
              <w:rPr>
                <w:rFonts w:ascii="Calibri" w:eastAsia="Times New Roman" w:hAnsi="Calibri" w:cs="Calibri"/>
                <w:color w:val="000000"/>
                <w:sz w:val="24"/>
                <w:szCs w:val="24"/>
                <w:lang w:val="en-GB" w:eastAsia="lt-LT"/>
              </w:rPr>
              <w:t xml:space="preserve"> </w:t>
            </w:r>
            <w:r w:rsidR="0083410F" w:rsidRPr="00544CEA">
              <w:rPr>
                <w:rFonts w:ascii="Calibri" w:eastAsia="Times New Roman" w:hAnsi="Calibri" w:cs="Calibri"/>
                <w:color w:val="000000"/>
                <w:sz w:val="24"/>
                <w:szCs w:val="24"/>
                <w:lang w:val="en-GB" w:eastAsia="lt-LT"/>
              </w:rPr>
              <w:t>G</w:t>
            </w:r>
            <w:r w:rsidRPr="00544CEA">
              <w:rPr>
                <w:rFonts w:ascii="Calibri" w:eastAsia="Times New Roman" w:hAnsi="Calibri" w:cs="Calibri"/>
                <w:color w:val="000000"/>
                <w:sz w:val="24"/>
                <w:szCs w:val="24"/>
                <w:lang w:val="en-GB" w:eastAsia="lt-LT"/>
              </w:rPr>
              <w:t xml:space="preserve">oods, </w:t>
            </w:r>
            <w:r w:rsidR="0083410F" w:rsidRPr="00544CEA">
              <w:rPr>
                <w:rFonts w:ascii="Calibri" w:eastAsia="Times New Roman" w:hAnsi="Calibri" w:cs="Calibri"/>
                <w:color w:val="000000"/>
                <w:sz w:val="24"/>
                <w:szCs w:val="24"/>
                <w:lang w:val="en-GB" w:eastAsia="lt-LT"/>
              </w:rPr>
              <w:t>S</w:t>
            </w:r>
            <w:r w:rsidRPr="00544CEA">
              <w:rPr>
                <w:rFonts w:ascii="Calibri" w:eastAsia="Times New Roman" w:hAnsi="Calibri" w:cs="Calibri"/>
                <w:color w:val="000000"/>
                <w:sz w:val="24"/>
                <w:szCs w:val="24"/>
                <w:lang w:val="en-GB" w:eastAsia="lt-LT"/>
              </w:rPr>
              <w:t xml:space="preserve">ervices or </w:t>
            </w:r>
            <w:r w:rsidR="0083410F" w:rsidRPr="00544CEA">
              <w:rPr>
                <w:rFonts w:ascii="Calibri" w:eastAsia="Times New Roman" w:hAnsi="Calibri" w:cs="Calibri"/>
                <w:color w:val="000000"/>
                <w:sz w:val="24"/>
                <w:szCs w:val="24"/>
                <w:lang w:val="en-GB" w:eastAsia="lt-LT"/>
              </w:rPr>
              <w:t>W</w:t>
            </w:r>
            <w:r w:rsidRPr="00544CEA">
              <w:rPr>
                <w:rFonts w:ascii="Calibri" w:eastAsia="Times New Roman" w:hAnsi="Calibri" w:cs="Calibri"/>
                <w:color w:val="000000"/>
                <w:sz w:val="24"/>
                <w:szCs w:val="24"/>
                <w:lang w:val="en-GB" w:eastAsia="lt-LT"/>
              </w:rPr>
              <w:t>orks (</w:t>
            </w:r>
            <w:r w:rsidR="0083410F" w:rsidRPr="00544CEA">
              <w:rPr>
                <w:rFonts w:ascii="Calibri" w:eastAsia="Times New Roman" w:hAnsi="Calibri" w:cs="Calibri"/>
                <w:color w:val="000000"/>
                <w:sz w:val="24"/>
                <w:szCs w:val="24"/>
                <w:lang w:val="en-GB" w:eastAsia="lt-LT"/>
              </w:rPr>
              <w:t xml:space="preserve">version approved by Order No. D1-41 on 13 </w:t>
            </w:r>
            <w:r w:rsidRPr="00544CEA">
              <w:rPr>
                <w:rFonts w:ascii="Calibri" w:eastAsia="Times New Roman" w:hAnsi="Calibri" w:cs="Calibri"/>
                <w:color w:val="000000"/>
                <w:sz w:val="24"/>
                <w:szCs w:val="24"/>
                <w:lang w:val="en-GB" w:eastAsia="lt-LT"/>
              </w:rPr>
              <w:t xml:space="preserve">December 2022), </w:t>
            </w:r>
            <w:r w:rsidR="00532B3C" w:rsidRPr="00544CEA">
              <w:rPr>
                <w:rFonts w:ascii="Calibri" w:eastAsia="Times New Roman" w:hAnsi="Calibri" w:cs="Calibri"/>
                <w:color w:val="000000"/>
                <w:sz w:val="24"/>
                <w:szCs w:val="24"/>
                <w:lang w:val="en-GB" w:eastAsia="lt-LT"/>
              </w:rPr>
              <w:t xml:space="preserve">the </w:t>
            </w:r>
            <w:r w:rsidRPr="00544CEA">
              <w:rPr>
                <w:rFonts w:ascii="Calibri" w:eastAsia="Times New Roman" w:hAnsi="Calibri" w:cs="Calibri"/>
                <w:color w:val="000000"/>
                <w:sz w:val="24"/>
                <w:szCs w:val="24"/>
                <w:lang w:val="en-GB" w:eastAsia="lt-LT"/>
              </w:rPr>
              <w:t>software</w:t>
            </w:r>
            <w:r w:rsidR="0083410F" w:rsidRPr="00544CEA">
              <w:rPr>
                <w:rFonts w:ascii="Calibri" w:eastAsia="Times New Roman" w:hAnsi="Calibri" w:cs="Calibri"/>
                <w:color w:val="000000"/>
                <w:sz w:val="24"/>
                <w:szCs w:val="24"/>
                <w:lang w:val="en-GB" w:eastAsia="lt-LT"/>
              </w:rPr>
              <w:t xml:space="preserve"> procured</w:t>
            </w:r>
            <w:r w:rsidRPr="00544CEA">
              <w:rPr>
                <w:rFonts w:ascii="Calibri" w:eastAsia="Times New Roman" w:hAnsi="Calibri" w:cs="Calibri"/>
                <w:color w:val="000000"/>
                <w:sz w:val="24"/>
                <w:szCs w:val="24"/>
                <w:lang w:val="en-GB" w:eastAsia="lt-LT"/>
              </w:rPr>
              <w:t xml:space="preserve"> will have to be supplied without physical media, supported and updated electronically, as well as all documentation will have to be submitted electronically</w:t>
            </w:r>
            <w:r w:rsidR="0083410F" w:rsidRPr="00544CEA">
              <w:rPr>
                <w:rFonts w:ascii="Calibri" w:eastAsia="Times New Roman" w:hAnsi="Calibri" w:cs="Calibri"/>
                <w:color w:val="000000"/>
                <w:sz w:val="24"/>
                <w:szCs w:val="24"/>
                <w:lang w:val="en-GB" w:eastAsia="lt-LT"/>
              </w:rPr>
              <w:t>.</w:t>
            </w:r>
          </w:p>
        </w:tc>
      </w:tr>
    </w:tbl>
    <w:p w14:paraId="3CF4EDE4" w14:textId="77777777" w:rsidR="002A7375" w:rsidRPr="00544CEA" w:rsidRDefault="002A7375">
      <w:pPr>
        <w:rPr>
          <w:rFonts w:ascii="Calibri" w:hAnsi="Calibri" w:cs="Calibri"/>
          <w:sz w:val="24"/>
          <w:szCs w:val="24"/>
          <w:lang w:val="en-GB"/>
        </w:rPr>
      </w:pPr>
    </w:p>
    <w:sectPr w:rsidR="002A7375" w:rsidRPr="00544CEA" w:rsidSect="00F350AC">
      <w:headerReference w:type="even" r:id="rId15"/>
      <w:headerReference w:type="default" r:id="rId16"/>
      <w:footerReference w:type="even" r:id="rId17"/>
      <w:footerReference w:type="default" r:id="rId18"/>
      <w:headerReference w:type="first" r:id="rId19"/>
      <w:footerReference w:type="first" r:id="rId2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FED9C" w14:textId="77777777" w:rsidR="00982C5B" w:rsidRDefault="00982C5B" w:rsidP="00DD3A79">
      <w:pPr>
        <w:spacing w:line="240" w:lineRule="auto"/>
      </w:pPr>
      <w:r>
        <w:separator/>
      </w:r>
    </w:p>
  </w:endnote>
  <w:endnote w:type="continuationSeparator" w:id="0">
    <w:p w14:paraId="3E74C8D2" w14:textId="77777777" w:rsidR="00982C5B" w:rsidRDefault="00982C5B"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FB15" w14:textId="77777777" w:rsidR="0059492A" w:rsidRDefault="00594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389C" w14:textId="77777777" w:rsidR="0059492A" w:rsidRDefault="005949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DA68" w14:textId="77777777" w:rsidR="0059492A" w:rsidRDefault="00594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80429" w14:textId="77777777" w:rsidR="00982C5B" w:rsidRDefault="00982C5B" w:rsidP="00DD3A79">
      <w:pPr>
        <w:spacing w:line="240" w:lineRule="auto"/>
      </w:pPr>
      <w:r>
        <w:separator/>
      </w:r>
    </w:p>
  </w:footnote>
  <w:footnote w:type="continuationSeparator" w:id="0">
    <w:p w14:paraId="025B1C64" w14:textId="77777777" w:rsidR="00982C5B" w:rsidRDefault="00982C5B" w:rsidP="00DD3A79">
      <w:pPr>
        <w:spacing w:line="240" w:lineRule="auto"/>
      </w:pPr>
      <w:r>
        <w:continuationSeparator/>
      </w:r>
    </w:p>
  </w:footnote>
  <w:footnote w:id="1">
    <w:p w14:paraId="1E660BB5" w14:textId="7F83FA8E" w:rsidR="001C425C" w:rsidRPr="001C425C" w:rsidRDefault="001C425C" w:rsidP="0096670B">
      <w:pPr>
        <w:pStyle w:val="FootnoteText"/>
        <w:spacing w:after="0" w:line="240" w:lineRule="auto"/>
        <w:rPr>
          <w:lang w:val="en-GB"/>
        </w:rPr>
      </w:pPr>
      <w:r>
        <w:rPr>
          <w:rStyle w:val="FootnoteReference"/>
        </w:rPr>
        <w:footnoteRef/>
      </w:r>
      <w:r>
        <w:t xml:space="preserve"> </w:t>
      </w:r>
      <w:r w:rsidRPr="001C425C">
        <w:rPr>
          <w:lang w:val="en-GB"/>
        </w:rPr>
        <w:t>Applicable when the goods are procured.</w:t>
      </w:r>
    </w:p>
  </w:footnote>
  <w:footnote w:id="2">
    <w:p w14:paraId="2074367A" w14:textId="5E005B00" w:rsidR="001C425C" w:rsidRPr="001C425C" w:rsidRDefault="001C425C" w:rsidP="0096670B">
      <w:pPr>
        <w:pStyle w:val="FootnoteText"/>
        <w:spacing w:after="0" w:line="240" w:lineRule="auto"/>
        <w:rPr>
          <w:lang w:val="en-GB"/>
        </w:rPr>
      </w:pPr>
      <w:r w:rsidRPr="001C425C">
        <w:rPr>
          <w:rStyle w:val="FootnoteReference"/>
          <w:lang w:val="en-GB"/>
        </w:rPr>
        <w:footnoteRef/>
      </w:r>
      <w:r w:rsidRPr="001C425C">
        <w:rPr>
          <w:lang w:val="en-GB"/>
        </w:rPr>
        <w:t xml:space="preserve"> Applicable when services are procured.</w:t>
      </w:r>
    </w:p>
  </w:footnote>
  <w:footnote w:id="3">
    <w:p w14:paraId="4FC337E9" w14:textId="5A34F0E8" w:rsidR="001C425C" w:rsidRPr="001C425C" w:rsidRDefault="001C425C" w:rsidP="0096670B">
      <w:pPr>
        <w:pStyle w:val="FootnoteText"/>
        <w:spacing w:after="0" w:line="240" w:lineRule="auto"/>
        <w:rPr>
          <w:lang w:val="en-GB"/>
        </w:rPr>
      </w:pPr>
      <w:r w:rsidRPr="001C425C">
        <w:rPr>
          <w:rStyle w:val="FootnoteReference"/>
          <w:lang w:val="en-GB"/>
        </w:rPr>
        <w:footnoteRef/>
      </w:r>
      <w:r w:rsidRPr="001C425C">
        <w:rPr>
          <w:lang w:val="en-GB"/>
        </w:rPr>
        <w:t xml:space="preserve"> Applicable when works are procured.</w:t>
      </w:r>
    </w:p>
  </w:footnote>
  <w:footnote w:id="4">
    <w:p w14:paraId="099FFE40" w14:textId="643450C7" w:rsidR="001C425C" w:rsidRPr="001C425C" w:rsidRDefault="001C425C" w:rsidP="0096670B">
      <w:pPr>
        <w:pStyle w:val="FootnoteText"/>
        <w:spacing w:after="0" w:line="240" w:lineRule="auto"/>
        <w:rPr>
          <w:lang w:val="en-GB"/>
        </w:rPr>
      </w:pPr>
      <w:r w:rsidRPr="001C425C">
        <w:rPr>
          <w:rStyle w:val="FootnoteReference"/>
          <w:lang w:val="en-GB"/>
        </w:rPr>
        <w:footnoteRef/>
      </w:r>
      <w:r w:rsidRPr="001C425C">
        <w:rPr>
          <w:lang w:val="en-GB"/>
        </w:rPr>
        <w:t xml:space="preserve"> Applicable when the goods are procured.</w:t>
      </w:r>
    </w:p>
  </w:footnote>
  <w:footnote w:id="5">
    <w:p w14:paraId="4EC98D28" w14:textId="0B2649E9" w:rsidR="001C425C" w:rsidRPr="001C425C" w:rsidRDefault="001C425C" w:rsidP="0096670B">
      <w:pPr>
        <w:pStyle w:val="FootnoteText"/>
        <w:spacing w:after="0" w:line="240" w:lineRule="auto"/>
        <w:rPr>
          <w:lang w:val="en-GB"/>
        </w:rPr>
      </w:pPr>
      <w:r w:rsidRPr="001C425C">
        <w:rPr>
          <w:rStyle w:val="FootnoteReference"/>
          <w:lang w:val="en-GB"/>
        </w:rPr>
        <w:footnoteRef/>
      </w:r>
      <w:r w:rsidRPr="001C425C">
        <w:rPr>
          <w:lang w:val="en-GB"/>
        </w:rPr>
        <w:t xml:space="preserve"> Applicable when services are procured.</w:t>
      </w:r>
    </w:p>
  </w:footnote>
  <w:footnote w:id="6">
    <w:p w14:paraId="0A419CDE" w14:textId="470C2A26" w:rsidR="001C425C" w:rsidRPr="001C425C" w:rsidRDefault="001C425C" w:rsidP="0096670B">
      <w:pPr>
        <w:pStyle w:val="FootnoteText"/>
        <w:spacing w:after="0" w:line="240" w:lineRule="auto"/>
        <w:rPr>
          <w:lang w:val="en-GB"/>
        </w:rPr>
      </w:pPr>
      <w:r w:rsidRPr="001C425C">
        <w:rPr>
          <w:rStyle w:val="FootnoteReference"/>
          <w:lang w:val="en-GB"/>
        </w:rPr>
        <w:footnoteRef/>
      </w:r>
      <w:r w:rsidRPr="001C425C">
        <w:rPr>
          <w:lang w:val="en-GB"/>
        </w:rPr>
        <w:t xml:space="preserve"> Applicable when works are procured.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F7FE" w14:textId="77777777" w:rsidR="0059492A" w:rsidRDefault="00594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FBF7" w14:textId="77777777" w:rsidR="00DD3A79" w:rsidRPr="0059492A" w:rsidRDefault="00DD3A79" w:rsidP="005949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327C" w14:textId="77777777" w:rsidR="0059492A" w:rsidRDefault="00594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1A3"/>
    <w:multiLevelType w:val="hybridMultilevel"/>
    <w:tmpl w:val="C1ECFF24"/>
    <w:lvl w:ilvl="0" w:tplc="C6788AC6">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572188"/>
    <w:multiLevelType w:val="hybridMultilevel"/>
    <w:tmpl w:val="B23AF2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55498F"/>
    <w:multiLevelType w:val="hybridMultilevel"/>
    <w:tmpl w:val="76064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06252726">
    <w:abstractNumId w:val="0"/>
  </w:num>
  <w:num w:numId="2" w16cid:durableId="630477837">
    <w:abstractNumId w:val="1"/>
  </w:num>
  <w:num w:numId="3" w16cid:durableId="400564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BF"/>
    <w:rsid w:val="000122C7"/>
    <w:rsid w:val="00013222"/>
    <w:rsid w:val="00014F7E"/>
    <w:rsid w:val="0003124C"/>
    <w:rsid w:val="000404DD"/>
    <w:rsid w:val="00086A7E"/>
    <w:rsid w:val="00086ED4"/>
    <w:rsid w:val="000A31AC"/>
    <w:rsid w:val="000A7621"/>
    <w:rsid w:val="000B5754"/>
    <w:rsid w:val="000F07E5"/>
    <w:rsid w:val="00131BF5"/>
    <w:rsid w:val="001575FD"/>
    <w:rsid w:val="001A38D5"/>
    <w:rsid w:val="001C425C"/>
    <w:rsid w:val="00215BF1"/>
    <w:rsid w:val="00277545"/>
    <w:rsid w:val="002832F8"/>
    <w:rsid w:val="002A45E8"/>
    <w:rsid w:val="002A7375"/>
    <w:rsid w:val="002B2A06"/>
    <w:rsid w:val="002C1076"/>
    <w:rsid w:val="002D4C34"/>
    <w:rsid w:val="00325C26"/>
    <w:rsid w:val="00393C3F"/>
    <w:rsid w:val="003A586B"/>
    <w:rsid w:val="003D5426"/>
    <w:rsid w:val="003E48E6"/>
    <w:rsid w:val="003F7820"/>
    <w:rsid w:val="004403A6"/>
    <w:rsid w:val="0044393C"/>
    <w:rsid w:val="004671D4"/>
    <w:rsid w:val="00467A9F"/>
    <w:rsid w:val="004717CB"/>
    <w:rsid w:val="004C322E"/>
    <w:rsid w:val="004C7E94"/>
    <w:rsid w:val="004D143A"/>
    <w:rsid w:val="004F19F6"/>
    <w:rsid w:val="00532B3C"/>
    <w:rsid w:val="00544CEA"/>
    <w:rsid w:val="005738C2"/>
    <w:rsid w:val="0059492A"/>
    <w:rsid w:val="00606EEB"/>
    <w:rsid w:val="00634DBE"/>
    <w:rsid w:val="00672D56"/>
    <w:rsid w:val="00674C9B"/>
    <w:rsid w:val="00674FE7"/>
    <w:rsid w:val="0068535E"/>
    <w:rsid w:val="006B305B"/>
    <w:rsid w:val="006B4605"/>
    <w:rsid w:val="006E0EB1"/>
    <w:rsid w:val="00706D78"/>
    <w:rsid w:val="00725DB0"/>
    <w:rsid w:val="0076358F"/>
    <w:rsid w:val="00777399"/>
    <w:rsid w:val="00783E6F"/>
    <w:rsid w:val="007B390D"/>
    <w:rsid w:val="007C11D2"/>
    <w:rsid w:val="0083410F"/>
    <w:rsid w:val="008435F7"/>
    <w:rsid w:val="00866D04"/>
    <w:rsid w:val="00884AFE"/>
    <w:rsid w:val="008A01CE"/>
    <w:rsid w:val="008A7C51"/>
    <w:rsid w:val="009001A8"/>
    <w:rsid w:val="00904282"/>
    <w:rsid w:val="009362DE"/>
    <w:rsid w:val="00940FFA"/>
    <w:rsid w:val="0096670B"/>
    <w:rsid w:val="00982C5B"/>
    <w:rsid w:val="00997FA8"/>
    <w:rsid w:val="009E41BF"/>
    <w:rsid w:val="009E4582"/>
    <w:rsid w:val="009F3561"/>
    <w:rsid w:val="00A24E6B"/>
    <w:rsid w:val="00A34954"/>
    <w:rsid w:val="00A65BEA"/>
    <w:rsid w:val="00A84CCE"/>
    <w:rsid w:val="00A86A94"/>
    <w:rsid w:val="00AB23B4"/>
    <w:rsid w:val="00AB3A67"/>
    <w:rsid w:val="00AB57A3"/>
    <w:rsid w:val="00AD2E68"/>
    <w:rsid w:val="00B03AFF"/>
    <w:rsid w:val="00B0600C"/>
    <w:rsid w:val="00B55CD0"/>
    <w:rsid w:val="00B76466"/>
    <w:rsid w:val="00B8445D"/>
    <w:rsid w:val="00BA566F"/>
    <w:rsid w:val="00BA7BA2"/>
    <w:rsid w:val="00BC1E9C"/>
    <w:rsid w:val="00C4724F"/>
    <w:rsid w:val="00C81A35"/>
    <w:rsid w:val="00C85348"/>
    <w:rsid w:val="00CB573B"/>
    <w:rsid w:val="00D15234"/>
    <w:rsid w:val="00DD3A79"/>
    <w:rsid w:val="00DF2764"/>
    <w:rsid w:val="00E40B53"/>
    <w:rsid w:val="00E62664"/>
    <w:rsid w:val="00E83A4B"/>
    <w:rsid w:val="00EA02AB"/>
    <w:rsid w:val="00ED77F6"/>
    <w:rsid w:val="00F02DFD"/>
    <w:rsid w:val="00F05E5F"/>
    <w:rsid w:val="00F219EA"/>
    <w:rsid w:val="00F271BF"/>
    <w:rsid w:val="00F350AC"/>
    <w:rsid w:val="00F35E7C"/>
    <w:rsid w:val="00F86AAF"/>
    <w:rsid w:val="00FE2E5E"/>
    <w:rsid w:val="03D803AF"/>
    <w:rsid w:val="0452F511"/>
    <w:rsid w:val="0573D410"/>
    <w:rsid w:val="068BD10A"/>
    <w:rsid w:val="0B077253"/>
    <w:rsid w:val="0D8A4D3F"/>
    <w:rsid w:val="0E23E25D"/>
    <w:rsid w:val="10C0CE40"/>
    <w:rsid w:val="1393831D"/>
    <w:rsid w:val="17C60727"/>
    <w:rsid w:val="1862D31E"/>
    <w:rsid w:val="21BCF6CC"/>
    <w:rsid w:val="247C75E8"/>
    <w:rsid w:val="26320C35"/>
    <w:rsid w:val="26618DDD"/>
    <w:rsid w:val="2737587E"/>
    <w:rsid w:val="2803198C"/>
    <w:rsid w:val="2B506BFB"/>
    <w:rsid w:val="2B92167E"/>
    <w:rsid w:val="2C02ABD1"/>
    <w:rsid w:val="2C1DEB01"/>
    <w:rsid w:val="2D81CB7B"/>
    <w:rsid w:val="2D98D678"/>
    <w:rsid w:val="2FF9CD12"/>
    <w:rsid w:val="31BA57DB"/>
    <w:rsid w:val="342D1AF8"/>
    <w:rsid w:val="344989DC"/>
    <w:rsid w:val="34AF28AE"/>
    <w:rsid w:val="3553029E"/>
    <w:rsid w:val="35F433E0"/>
    <w:rsid w:val="3A20DC79"/>
    <w:rsid w:val="3A37E270"/>
    <w:rsid w:val="3CEA9945"/>
    <w:rsid w:val="3E41A788"/>
    <w:rsid w:val="40474DBB"/>
    <w:rsid w:val="421B00D1"/>
    <w:rsid w:val="462392B5"/>
    <w:rsid w:val="46ADE41F"/>
    <w:rsid w:val="476865CC"/>
    <w:rsid w:val="4CE7AE39"/>
    <w:rsid w:val="4E0E7923"/>
    <w:rsid w:val="4ECFF508"/>
    <w:rsid w:val="504CED5E"/>
    <w:rsid w:val="51A918EE"/>
    <w:rsid w:val="51ECEE07"/>
    <w:rsid w:val="51F3CBE7"/>
    <w:rsid w:val="537134F9"/>
    <w:rsid w:val="5388DAD5"/>
    <w:rsid w:val="54DCAF02"/>
    <w:rsid w:val="5774AAE8"/>
    <w:rsid w:val="581A6C33"/>
    <w:rsid w:val="596DE797"/>
    <w:rsid w:val="5B0E0815"/>
    <w:rsid w:val="5D08B32E"/>
    <w:rsid w:val="5E413AF7"/>
    <w:rsid w:val="5F6A6D5E"/>
    <w:rsid w:val="603347B6"/>
    <w:rsid w:val="6036F481"/>
    <w:rsid w:val="62A9C8D5"/>
    <w:rsid w:val="64621731"/>
    <w:rsid w:val="67B28899"/>
    <w:rsid w:val="68A3C0D1"/>
    <w:rsid w:val="69E4F9CE"/>
    <w:rsid w:val="6A93185B"/>
    <w:rsid w:val="6AC8AD95"/>
    <w:rsid w:val="6C10B455"/>
    <w:rsid w:val="6EF1D3D6"/>
    <w:rsid w:val="70A6E143"/>
    <w:rsid w:val="712F43F9"/>
    <w:rsid w:val="72C01F70"/>
    <w:rsid w:val="7329355B"/>
    <w:rsid w:val="733F1FD8"/>
    <w:rsid w:val="756B7474"/>
    <w:rsid w:val="79A0E0C8"/>
    <w:rsid w:val="7A09C8B9"/>
    <w:rsid w:val="7AD0EF58"/>
    <w:rsid w:val="7E64E281"/>
    <w:rsid w:val="7ECEC60C"/>
    <w:rsid w:val="7FFE9F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A18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34"/>
    <w:pPr>
      <w:spacing w:after="200" w:line="276" w:lineRule="auto"/>
      <w:ind w:firstLine="0"/>
    </w:pPr>
    <w:rPr>
      <w:rFonts w:asciiTheme="minorHAnsi" w:eastAsiaTheme="minorEastAsia" w:hAnsiTheme="minorHAns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styleId="CommentReference">
    <w:name w:val="annotation reference"/>
    <w:basedOn w:val="DefaultParagraphFont"/>
    <w:uiPriority w:val="99"/>
    <w:semiHidden/>
    <w:unhideWhenUsed/>
    <w:rsid w:val="00215BF1"/>
    <w:rPr>
      <w:sz w:val="16"/>
      <w:szCs w:val="16"/>
    </w:rPr>
  </w:style>
  <w:style w:type="paragraph" w:styleId="CommentText">
    <w:name w:val="annotation text"/>
    <w:basedOn w:val="Normal"/>
    <w:link w:val="CommentTextChar"/>
    <w:uiPriority w:val="99"/>
    <w:unhideWhenUsed/>
    <w:rsid w:val="00215BF1"/>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215BF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15B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BF1"/>
    <w:rPr>
      <w:rFonts w:ascii="Segoe UI" w:eastAsiaTheme="minorEastAsia" w:hAnsi="Segoe UI" w:cs="Segoe UI"/>
      <w:sz w:val="18"/>
      <w:szCs w:val="18"/>
      <w:lang w:eastAsia="zh-CN"/>
    </w:rPr>
  </w:style>
  <w:style w:type="paragraph" w:styleId="ListParagraph">
    <w:name w:val="List Paragraph"/>
    <w:basedOn w:val="Normal"/>
    <w:uiPriority w:val="34"/>
    <w:qFormat/>
    <w:rsid w:val="00783E6F"/>
    <w:pPr>
      <w:ind w:left="720"/>
      <w:contextualSpacing/>
    </w:pPr>
  </w:style>
  <w:style w:type="character" w:styleId="Hyperlink">
    <w:name w:val="Hyperlink"/>
    <w:basedOn w:val="DefaultParagraphFont"/>
    <w:uiPriority w:val="99"/>
    <w:unhideWhenUsed/>
    <w:rsid w:val="002832F8"/>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DF2764"/>
    <w:pPr>
      <w:spacing w:after="20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DF2764"/>
    <w:rPr>
      <w:rFonts w:asciiTheme="minorHAnsi" w:eastAsiaTheme="minorEastAsia" w:hAnsiTheme="minorHAnsi" w:cs="Times New Roman"/>
      <w:b/>
      <w:bCs/>
      <w:sz w:val="20"/>
      <w:szCs w:val="20"/>
      <w:lang w:eastAsia="zh-CN"/>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9F3561"/>
    <w:pPr>
      <w:spacing w:after="160"/>
    </w:pPr>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9F3561"/>
    <w:rPr>
      <w:rFonts w:asciiTheme="minorHAnsi" w:eastAsiaTheme="minorEastAsia" w:hAnsiTheme="minorHAnsi"/>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9F35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9F3561"/>
    <w:pPr>
      <w:spacing w:before="60" w:after="160" w:line="240" w:lineRule="exact"/>
      <w:jc w:val="both"/>
    </w:pPr>
    <w:rPr>
      <w:rFonts w:ascii="Tahoma" w:eastAsiaTheme="minorHAnsi" w:hAnsi="Tahoma"/>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24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P/16f99e01af6811ecaf79c2120caf509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seimas.lrs.lt/portal/legalAct/lt/TAP/cb3ab4d2ae7d11ecaf79c2120caf5094?jfwid=q1nivj4n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P/16f99e01af6811ecaf79c2120caf509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P/cb3ab4d2ae7d11ecaf79c2120caf5094?jfwid=q1nivj4n4"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9" ma:contentTypeDescription="Create a new document." ma:contentTypeScope="" ma:versionID="51a1238641d8ec3639f586458ba2d9c7">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d968a30e493d76c26c29f67008f09952"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ea7db2-d6d3-43a4-a670-095cb0bce423}"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49C4F-FFE3-40EB-81F9-BA47851208D4}">
  <ds:schemaRefs>
    <ds:schemaRef ds:uri="http://schemas.microsoft.com/sharepoint/v3/contenttype/forms"/>
  </ds:schemaRefs>
</ds:datastoreItem>
</file>

<file path=customXml/itemProps2.xml><?xml version="1.0" encoding="utf-8"?>
<ds:datastoreItem xmlns:ds="http://schemas.openxmlformats.org/officeDocument/2006/customXml" ds:itemID="{732C1274-23D1-45FB-BA3D-7DE4C7D9241D}">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3.xml><?xml version="1.0" encoding="utf-8"?>
<ds:datastoreItem xmlns:ds="http://schemas.openxmlformats.org/officeDocument/2006/customXml" ds:itemID="{39AF546A-8DE1-4E36-985D-786A86103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592C1D-90CC-4350-88CB-D087626A2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3918</Characters>
  <Application>Microsoft Office Word</Application>
  <DocSecurity>0</DocSecurity>
  <Lines>56</Lines>
  <Paragraphs>18</Paragraphs>
  <ScaleCrop>false</ScaleCrop>
  <Manager/>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2026-06-16T05:37:00Z</dcterms:created>
  <dcterms:modified xsi:type="dcterms:W3CDTF">2026-06-26T12:47:00Z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2024-03-08T12:37:34Z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bd3bbb1b-35b9-43e3-a69e-2bf0bc94245d</vt:lpwstr>
  </property>
  <property fmtid="{D5CDD505-2E9C-101B-9397-08002B2CF9AE}" pid="10" name="MSIP_Label_179ca552-b207-4d72-8d58-818aee87ca18_ContentBits">
    <vt:lpwstr>0</vt:lpwstr>
  </property>
</Properties>
</file>