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7C49" w14:textId="7952DDFF" w:rsidR="002D4C34" w:rsidRDefault="00215BF1" w:rsidP="002D4C34">
      <w:pPr>
        <w:ind w:left="-567"/>
        <w:jc w:val="center"/>
        <w:rPr>
          <w:rFonts w:eastAsia="Times New Roman" w:cstheme="minorHAnsi"/>
          <w:b/>
          <w:bCs/>
          <w:sz w:val="24"/>
          <w:szCs w:val="24"/>
          <w:lang w:eastAsia="lt-LT"/>
        </w:rPr>
      </w:pPr>
      <w:r w:rsidRPr="006A5857">
        <w:rPr>
          <w:rFonts w:cstheme="minorHAnsi"/>
          <w:b/>
          <w:caps/>
          <w:sz w:val="24"/>
          <w:szCs w:val="24"/>
        </w:rPr>
        <w:t xml:space="preserve">PROCESŲ VALDYMO SISTEMOS </w:t>
      </w:r>
      <w:r w:rsidR="0011468A" w:rsidRPr="006A5857">
        <w:rPr>
          <w:rFonts w:cstheme="minorHAnsi"/>
          <w:b/>
          <w:noProof/>
          <w:sz w:val="24"/>
          <w:szCs w:val="24"/>
        </w:rPr>
        <w:t xml:space="preserve">PROGRAMINĖS ĮRANGOS </w:t>
      </w:r>
      <w:r w:rsidR="00840733" w:rsidRPr="006A5857">
        <w:rPr>
          <w:rFonts w:cstheme="minorHAnsi"/>
          <w:b/>
          <w:noProof/>
          <w:sz w:val="24"/>
          <w:szCs w:val="24"/>
        </w:rPr>
        <w:t>NUOMOS</w:t>
      </w:r>
      <w:r w:rsidR="00436487" w:rsidRPr="006A5857">
        <w:rPr>
          <w:rFonts w:cstheme="minorHAnsi"/>
          <w:noProof/>
          <w:sz w:val="24"/>
          <w:szCs w:val="24"/>
        </w:rPr>
        <w:t xml:space="preserve"> </w:t>
      </w:r>
      <w:r w:rsidR="002D4C34" w:rsidRPr="006A5857">
        <w:rPr>
          <w:rFonts w:eastAsia="Times New Roman" w:cstheme="minorHAnsi"/>
          <w:b/>
          <w:bCs/>
          <w:sz w:val="24"/>
          <w:szCs w:val="24"/>
          <w:lang w:eastAsia="lt-LT"/>
        </w:rPr>
        <w:t>TECHNINĖ SPECIFIKACIJA</w:t>
      </w:r>
      <w:r w:rsidR="00436487" w:rsidRPr="006A5857">
        <w:rPr>
          <w:rFonts w:eastAsia="Times New Roman" w:cstheme="minorHAnsi"/>
          <w:b/>
          <w:bCs/>
          <w:sz w:val="24"/>
          <w:szCs w:val="24"/>
          <w:lang w:eastAsia="lt-LT"/>
        </w:rPr>
        <w:t xml:space="preserve"> </w:t>
      </w:r>
    </w:p>
    <w:p w14:paraId="572F29E6" w14:textId="77777777" w:rsidR="006A5857" w:rsidRPr="006A5857" w:rsidRDefault="006A5857" w:rsidP="002D4C34">
      <w:pPr>
        <w:ind w:left="-567"/>
        <w:jc w:val="center"/>
        <w:rPr>
          <w:rFonts w:eastAsia="Times New Roman" w:cstheme="minorHAnsi"/>
          <w:b/>
          <w:bCs/>
          <w:sz w:val="24"/>
          <w:szCs w:val="24"/>
          <w:lang w:eastAsia="lt-LT"/>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D4C34" w:rsidRPr="006A5857" w14:paraId="0FCA4394" w14:textId="77777777" w:rsidTr="006A5857">
        <w:trPr>
          <w:trHeight w:val="1159"/>
        </w:trPr>
        <w:tc>
          <w:tcPr>
            <w:tcW w:w="10065" w:type="dxa"/>
            <w:shd w:val="clear" w:color="auto" w:fill="F2F2F2" w:themeFill="background1" w:themeFillShade="F2"/>
            <w:vAlign w:val="center"/>
          </w:tcPr>
          <w:p w14:paraId="0679F575" w14:textId="04477330" w:rsidR="002D4C34" w:rsidRPr="006A5857" w:rsidRDefault="00215BF1" w:rsidP="00215BF1">
            <w:pPr>
              <w:spacing w:after="0" w:line="240" w:lineRule="auto"/>
              <w:jc w:val="center"/>
              <w:rPr>
                <w:rFonts w:eastAsia="Times New Roman" w:cstheme="minorHAnsi"/>
                <w:b/>
                <w:bCs/>
                <w:sz w:val="24"/>
                <w:szCs w:val="24"/>
                <w:lang w:eastAsia="lt-LT"/>
              </w:rPr>
            </w:pPr>
            <w:r w:rsidRPr="006A5857">
              <w:rPr>
                <w:rFonts w:eastAsia="Times New Roman" w:cstheme="minorHAnsi"/>
                <w:bCs/>
                <w:sz w:val="24"/>
                <w:szCs w:val="24"/>
                <w:lang w:eastAsia="lt-LT"/>
              </w:rPr>
              <w:t>Procesų valdymo sistemos</w:t>
            </w:r>
            <w:r w:rsidRPr="006A5857">
              <w:rPr>
                <w:rFonts w:eastAsia="Times New Roman" w:cstheme="minorHAnsi"/>
                <w:b/>
                <w:bCs/>
                <w:sz w:val="24"/>
                <w:szCs w:val="24"/>
                <w:lang w:eastAsia="lt-LT"/>
              </w:rPr>
              <w:t xml:space="preserve"> Nintex </w:t>
            </w:r>
            <w:r w:rsidR="007138E0" w:rsidRPr="006A5857">
              <w:rPr>
                <w:rFonts w:eastAsia="Times New Roman" w:cstheme="minorHAnsi"/>
                <w:b/>
                <w:bCs/>
                <w:sz w:val="24"/>
                <w:szCs w:val="24"/>
                <w:lang w:eastAsia="lt-LT"/>
              </w:rPr>
              <w:t>Process Manager</w:t>
            </w:r>
            <w:r w:rsidRPr="006A5857">
              <w:rPr>
                <w:rFonts w:eastAsia="Times New Roman" w:cstheme="minorHAnsi"/>
                <w:b/>
                <w:bCs/>
                <w:sz w:val="24"/>
                <w:szCs w:val="24"/>
                <w:lang w:eastAsia="lt-LT"/>
              </w:rPr>
              <w:t xml:space="preserve"> </w:t>
            </w:r>
            <w:r w:rsidR="00415430" w:rsidRPr="006A5857">
              <w:rPr>
                <w:rFonts w:eastAsia="Times New Roman" w:cstheme="minorHAnsi"/>
                <w:bCs/>
                <w:sz w:val="24"/>
                <w:szCs w:val="24"/>
                <w:lang w:eastAsia="lt-LT"/>
              </w:rPr>
              <w:t>programinės įrangos nuomos</w:t>
            </w:r>
            <w:r w:rsidR="00B700B5" w:rsidRPr="006A5857">
              <w:rPr>
                <w:rFonts w:eastAsia="Times New Roman" w:cstheme="minorHAnsi"/>
                <w:sz w:val="24"/>
                <w:szCs w:val="24"/>
                <w:lang w:eastAsia="lt-LT"/>
              </w:rPr>
              <w:t xml:space="preserve"> </w:t>
            </w:r>
            <w:r w:rsidR="001B7643" w:rsidRPr="006A5857">
              <w:rPr>
                <w:rFonts w:eastAsia="Times New Roman" w:cstheme="minorHAnsi"/>
                <w:sz w:val="24"/>
                <w:szCs w:val="24"/>
                <w:lang w:eastAsia="lt-LT"/>
              </w:rPr>
              <w:t xml:space="preserve">atnaujinimo </w:t>
            </w:r>
            <w:r w:rsidR="002D4C34" w:rsidRPr="006A5857">
              <w:rPr>
                <w:rFonts w:eastAsia="Times New Roman" w:cstheme="minorHAnsi"/>
                <w:sz w:val="24"/>
                <w:szCs w:val="24"/>
                <w:lang w:eastAsia="lt-LT"/>
              </w:rPr>
              <w:t xml:space="preserve">esminiai </w:t>
            </w:r>
            <w:r w:rsidRPr="006A5857">
              <w:rPr>
                <w:rFonts w:eastAsia="Times New Roman" w:cstheme="minorHAnsi"/>
                <w:sz w:val="24"/>
                <w:szCs w:val="24"/>
                <w:lang w:eastAsia="lt-LT"/>
              </w:rPr>
              <w:t>reikalavimai</w:t>
            </w:r>
          </w:p>
        </w:tc>
      </w:tr>
      <w:tr w:rsidR="002D4C34" w:rsidRPr="006A5857" w14:paraId="591D2353" w14:textId="77777777" w:rsidTr="60D9E2EF">
        <w:trPr>
          <w:trHeight w:val="585"/>
        </w:trPr>
        <w:tc>
          <w:tcPr>
            <w:tcW w:w="10065" w:type="dxa"/>
            <w:vAlign w:val="center"/>
          </w:tcPr>
          <w:p w14:paraId="5D8F2F79" w14:textId="63EF52CB" w:rsidR="002D4C34" w:rsidRPr="006A5857" w:rsidRDefault="00325C26" w:rsidP="00325C26">
            <w:pPr>
              <w:tabs>
                <w:tab w:val="left" w:pos="314"/>
              </w:tabs>
              <w:spacing w:after="0" w:line="360" w:lineRule="auto"/>
              <w:contextualSpacing/>
              <w:jc w:val="both"/>
              <w:rPr>
                <w:rFonts w:eastAsia="Times New Roman" w:cstheme="minorHAnsi"/>
                <w:sz w:val="24"/>
                <w:szCs w:val="24"/>
                <w:lang w:eastAsia="lt-LT"/>
              </w:rPr>
            </w:pPr>
            <w:r w:rsidRPr="006A5857">
              <w:rPr>
                <w:rFonts w:eastAsia="Times New Roman" w:cstheme="minorHAnsi"/>
                <w:sz w:val="24"/>
                <w:szCs w:val="24"/>
                <w:lang w:eastAsia="lt-LT"/>
              </w:rPr>
              <w:t xml:space="preserve">1. </w:t>
            </w:r>
            <w:r w:rsidR="002D4C34" w:rsidRPr="006A5857">
              <w:rPr>
                <w:rFonts w:eastAsia="Times New Roman" w:cstheme="minorHAnsi"/>
                <w:sz w:val="24"/>
                <w:szCs w:val="24"/>
                <w:lang w:eastAsia="lt-LT"/>
              </w:rPr>
              <w:t>Tiek</w:t>
            </w:r>
            <w:r w:rsidR="00215BF1" w:rsidRPr="006A5857">
              <w:rPr>
                <w:rFonts w:eastAsia="Times New Roman" w:cstheme="minorHAnsi"/>
                <w:sz w:val="24"/>
                <w:szCs w:val="24"/>
                <w:lang w:eastAsia="lt-LT"/>
              </w:rPr>
              <w:t>ėjas turi būti Nintex P</w:t>
            </w:r>
            <w:r w:rsidR="00A4500A" w:rsidRPr="006A5857">
              <w:rPr>
                <w:rFonts w:eastAsia="Times New Roman" w:cstheme="minorHAnsi"/>
                <w:sz w:val="24"/>
                <w:szCs w:val="24"/>
                <w:lang w:eastAsia="lt-LT"/>
              </w:rPr>
              <w:t>rocess Manager</w:t>
            </w:r>
            <w:r w:rsidR="002D4C34" w:rsidRPr="006A5857">
              <w:rPr>
                <w:rFonts w:eastAsia="Times New Roman" w:cstheme="minorHAnsi"/>
                <w:sz w:val="24"/>
                <w:szCs w:val="24"/>
                <w:lang w:eastAsia="lt-LT"/>
              </w:rPr>
              <w:t xml:space="preserve"> programinės įrangos gamintojas arb</w:t>
            </w:r>
            <w:r w:rsidR="00215BF1" w:rsidRPr="006A5857">
              <w:rPr>
                <w:rFonts w:eastAsia="Times New Roman" w:cstheme="minorHAnsi"/>
                <w:sz w:val="24"/>
                <w:szCs w:val="24"/>
                <w:lang w:eastAsia="lt-LT"/>
              </w:rPr>
              <w:t xml:space="preserve">a oficialus atstovas, įgaliotas tiekti Nintex </w:t>
            </w:r>
            <w:r w:rsidR="00A4500A" w:rsidRPr="006A5857">
              <w:rPr>
                <w:rFonts w:eastAsia="Times New Roman" w:cstheme="minorHAnsi"/>
                <w:sz w:val="24"/>
                <w:szCs w:val="24"/>
                <w:lang w:eastAsia="lt-LT"/>
              </w:rPr>
              <w:t>Process Manager</w:t>
            </w:r>
            <w:r w:rsidR="00215BF1" w:rsidRPr="006A5857">
              <w:rPr>
                <w:rFonts w:eastAsia="Times New Roman" w:cstheme="minorHAnsi"/>
                <w:sz w:val="24"/>
                <w:szCs w:val="24"/>
                <w:lang w:eastAsia="lt-LT"/>
              </w:rPr>
              <w:t xml:space="preserve"> licencijų nuomą ir palaikymą</w:t>
            </w:r>
            <w:r w:rsidR="002D4C34" w:rsidRPr="006A5857">
              <w:rPr>
                <w:rFonts w:eastAsia="Times New Roman" w:cstheme="minorHAnsi"/>
                <w:sz w:val="24"/>
                <w:szCs w:val="24"/>
                <w:lang w:eastAsia="lt-LT"/>
              </w:rPr>
              <w:t>.</w:t>
            </w:r>
          </w:p>
        </w:tc>
      </w:tr>
      <w:tr w:rsidR="002D4C34" w:rsidRPr="006A5857" w14:paraId="4F231D16" w14:textId="77777777" w:rsidTr="60D9E2EF">
        <w:trPr>
          <w:trHeight w:val="585"/>
        </w:trPr>
        <w:tc>
          <w:tcPr>
            <w:tcW w:w="10065" w:type="dxa"/>
            <w:vAlign w:val="center"/>
          </w:tcPr>
          <w:p w14:paraId="4DE11658" w14:textId="0B37C919" w:rsidR="002D4C34" w:rsidRPr="006A5857" w:rsidRDefault="00325C26" w:rsidP="00325C26">
            <w:pPr>
              <w:tabs>
                <w:tab w:val="left" w:pos="321"/>
              </w:tabs>
              <w:spacing w:after="0" w:line="360" w:lineRule="auto"/>
              <w:contextualSpacing/>
              <w:jc w:val="both"/>
              <w:rPr>
                <w:rFonts w:eastAsia="Times New Roman" w:cstheme="minorHAnsi"/>
                <w:sz w:val="24"/>
                <w:szCs w:val="24"/>
                <w:lang w:eastAsia="lt-LT"/>
              </w:rPr>
            </w:pPr>
            <w:r w:rsidRPr="006A5857">
              <w:rPr>
                <w:rFonts w:eastAsia="Times New Roman" w:cstheme="minorHAnsi"/>
                <w:sz w:val="24"/>
                <w:szCs w:val="24"/>
                <w:lang w:eastAsia="lt-LT"/>
              </w:rPr>
              <w:t xml:space="preserve">2. </w:t>
            </w:r>
            <w:r w:rsidR="00215BF1" w:rsidRPr="006A5857">
              <w:rPr>
                <w:rFonts w:eastAsia="Times New Roman" w:cstheme="minorHAnsi"/>
                <w:sz w:val="24"/>
                <w:szCs w:val="24"/>
                <w:lang w:eastAsia="lt-LT"/>
              </w:rPr>
              <w:t xml:space="preserve">Nintex </w:t>
            </w:r>
            <w:r w:rsidR="00A4500A" w:rsidRPr="006A5857">
              <w:rPr>
                <w:rFonts w:eastAsia="Times New Roman" w:cstheme="minorHAnsi"/>
                <w:sz w:val="24"/>
                <w:szCs w:val="24"/>
                <w:lang w:eastAsia="lt-LT"/>
              </w:rPr>
              <w:t>Process Manager</w:t>
            </w:r>
            <w:r w:rsidR="00215BF1" w:rsidRPr="006A5857">
              <w:rPr>
                <w:rFonts w:eastAsia="Times New Roman" w:cstheme="minorHAnsi"/>
                <w:sz w:val="24"/>
                <w:szCs w:val="24"/>
                <w:lang w:eastAsia="lt-LT"/>
              </w:rPr>
              <w:t xml:space="preserve"> licencijų nuomos kiekis – </w:t>
            </w:r>
            <w:r w:rsidR="006377CC" w:rsidRPr="006A5857">
              <w:rPr>
                <w:rFonts w:eastAsia="Times New Roman" w:cstheme="minorHAnsi"/>
                <w:sz w:val="24"/>
                <w:szCs w:val="24"/>
                <w:lang w:eastAsia="lt-LT"/>
              </w:rPr>
              <w:t>1800</w:t>
            </w:r>
            <w:r w:rsidR="00215BF1" w:rsidRPr="006A5857">
              <w:rPr>
                <w:rFonts w:eastAsia="Times New Roman" w:cstheme="minorHAnsi"/>
                <w:sz w:val="24"/>
                <w:szCs w:val="24"/>
                <w:lang w:eastAsia="lt-LT"/>
              </w:rPr>
              <w:t xml:space="preserve"> vartotojų </w:t>
            </w:r>
            <w:r w:rsidR="006377CC" w:rsidRPr="006A5857">
              <w:rPr>
                <w:rFonts w:eastAsia="Times New Roman" w:cstheme="minorHAnsi"/>
                <w:sz w:val="24"/>
                <w:szCs w:val="24"/>
                <w:lang w:eastAsia="lt-LT"/>
              </w:rPr>
              <w:t>36</w:t>
            </w:r>
            <w:r w:rsidR="00215BF1" w:rsidRPr="006A5857">
              <w:rPr>
                <w:rFonts w:eastAsia="Times New Roman" w:cstheme="minorHAnsi"/>
                <w:sz w:val="24"/>
                <w:szCs w:val="24"/>
                <w:lang w:eastAsia="lt-LT"/>
              </w:rPr>
              <w:t xml:space="preserve"> mėnes</w:t>
            </w:r>
            <w:r w:rsidR="00823EE7" w:rsidRPr="006A5857">
              <w:rPr>
                <w:rFonts w:eastAsia="Times New Roman" w:cstheme="minorHAnsi"/>
                <w:sz w:val="24"/>
                <w:szCs w:val="24"/>
                <w:lang w:eastAsia="lt-LT"/>
              </w:rPr>
              <w:t>iams</w:t>
            </w:r>
            <w:r w:rsidR="00215BF1" w:rsidRPr="006A5857">
              <w:rPr>
                <w:rFonts w:eastAsia="Times New Roman" w:cstheme="minorHAnsi"/>
                <w:sz w:val="24"/>
                <w:szCs w:val="24"/>
                <w:lang w:eastAsia="lt-LT"/>
              </w:rPr>
              <w:t xml:space="preserve">, kurios turi </w:t>
            </w:r>
            <w:r w:rsidR="00823EE7" w:rsidRPr="006A5857">
              <w:rPr>
                <w:rFonts w:eastAsia="Times New Roman" w:cstheme="minorHAnsi"/>
                <w:sz w:val="24"/>
                <w:szCs w:val="24"/>
                <w:lang w:eastAsia="lt-LT"/>
              </w:rPr>
              <w:t>galioti 2027, 2028 ir 2029 metais.</w:t>
            </w:r>
          </w:p>
        </w:tc>
      </w:tr>
      <w:tr w:rsidR="002D4C34" w:rsidRPr="006A5857" w14:paraId="09A7FA5A" w14:textId="77777777" w:rsidTr="60D9E2EF">
        <w:trPr>
          <w:trHeight w:val="585"/>
        </w:trPr>
        <w:tc>
          <w:tcPr>
            <w:tcW w:w="10065" w:type="dxa"/>
            <w:vAlign w:val="center"/>
          </w:tcPr>
          <w:p w14:paraId="111FBD25" w14:textId="32D55C31" w:rsidR="002D4C34" w:rsidRPr="006A5857" w:rsidRDefault="00325C26" w:rsidP="00325C26">
            <w:pPr>
              <w:tabs>
                <w:tab w:val="left" w:pos="314"/>
              </w:tabs>
              <w:spacing w:after="0" w:line="360" w:lineRule="auto"/>
              <w:contextualSpacing/>
              <w:jc w:val="both"/>
              <w:rPr>
                <w:rFonts w:eastAsia="Times New Roman" w:cstheme="minorHAnsi"/>
                <w:sz w:val="24"/>
                <w:szCs w:val="24"/>
                <w:lang w:eastAsia="lt-LT"/>
              </w:rPr>
            </w:pPr>
            <w:r w:rsidRPr="006A5857">
              <w:rPr>
                <w:rFonts w:eastAsia="Times New Roman" w:cstheme="minorHAnsi"/>
                <w:sz w:val="24"/>
                <w:szCs w:val="24"/>
                <w:lang w:eastAsia="lt-LT"/>
              </w:rPr>
              <w:t>3.</w:t>
            </w:r>
            <w:r w:rsidR="00277545" w:rsidRPr="006A5857">
              <w:rPr>
                <w:rFonts w:eastAsia="Times New Roman" w:cstheme="minorHAnsi"/>
                <w:sz w:val="24"/>
                <w:szCs w:val="24"/>
                <w:lang w:eastAsia="lt-LT"/>
              </w:rPr>
              <w:t xml:space="preserve"> Nintex </w:t>
            </w:r>
            <w:r w:rsidR="00A4500A" w:rsidRPr="006A5857">
              <w:rPr>
                <w:rFonts w:eastAsia="Times New Roman" w:cstheme="minorHAnsi"/>
                <w:sz w:val="24"/>
                <w:szCs w:val="24"/>
                <w:lang w:eastAsia="lt-LT"/>
              </w:rPr>
              <w:t>Process Manager</w:t>
            </w:r>
            <w:r w:rsidR="00277545" w:rsidRPr="006A5857">
              <w:rPr>
                <w:rFonts w:eastAsia="Times New Roman" w:cstheme="minorHAnsi"/>
                <w:sz w:val="24"/>
                <w:szCs w:val="24"/>
                <w:lang w:eastAsia="lt-LT"/>
              </w:rPr>
              <w:t xml:space="preserve"> </w:t>
            </w:r>
            <w:r w:rsidR="00215BF1" w:rsidRPr="006A5857">
              <w:rPr>
                <w:rFonts w:eastAsia="Times New Roman" w:cstheme="minorHAnsi"/>
                <w:sz w:val="24"/>
                <w:szCs w:val="24"/>
                <w:lang w:eastAsia="lt-LT"/>
              </w:rPr>
              <w:t>licencijos turi neriboti vartotojų rengiamų procesų kiekio</w:t>
            </w:r>
            <w:r w:rsidR="008A01CE" w:rsidRPr="006A5857">
              <w:rPr>
                <w:rFonts w:eastAsia="Times New Roman" w:cstheme="minorHAnsi"/>
                <w:sz w:val="24"/>
                <w:szCs w:val="24"/>
                <w:lang w:eastAsia="lt-LT"/>
              </w:rPr>
              <w:t xml:space="preserve"> </w:t>
            </w:r>
            <w:r w:rsidR="004C322E" w:rsidRPr="006A5857">
              <w:rPr>
                <w:rFonts w:eastAsia="Times New Roman" w:cstheme="minorHAnsi"/>
                <w:sz w:val="24"/>
                <w:szCs w:val="24"/>
                <w:lang w:eastAsia="lt-LT"/>
              </w:rPr>
              <w:t>ir</w:t>
            </w:r>
            <w:r w:rsidR="00566588" w:rsidRPr="006A5857">
              <w:rPr>
                <w:rFonts w:eastAsia="Times New Roman" w:cstheme="minorHAnsi"/>
                <w:sz w:val="24"/>
                <w:szCs w:val="24"/>
                <w:lang w:eastAsia="lt-LT"/>
              </w:rPr>
              <w:t xml:space="preserve"> turi būti</w:t>
            </w:r>
            <w:r w:rsidR="004C322E" w:rsidRPr="006A5857">
              <w:rPr>
                <w:rFonts w:eastAsia="Times New Roman" w:cstheme="minorHAnsi"/>
                <w:sz w:val="24"/>
                <w:szCs w:val="24"/>
                <w:lang w:eastAsia="lt-LT"/>
              </w:rPr>
              <w:t xml:space="preserve"> prijungtos prie turimo įmonės licencijų nuomos plano </w:t>
            </w:r>
            <w:r w:rsidR="008A01CE" w:rsidRPr="006A5857">
              <w:rPr>
                <w:rFonts w:eastAsia="Times New Roman" w:cstheme="minorHAnsi"/>
                <w:sz w:val="24"/>
                <w:szCs w:val="24"/>
                <w:lang w:eastAsia="lt-LT"/>
              </w:rPr>
              <w:t>(</w:t>
            </w:r>
            <w:r w:rsidR="004C322E" w:rsidRPr="006A5857">
              <w:rPr>
                <w:rFonts w:eastAsia="Times New Roman" w:cstheme="minorHAnsi"/>
                <w:sz w:val="24"/>
                <w:szCs w:val="24"/>
                <w:lang w:eastAsia="lt-LT"/>
              </w:rPr>
              <w:t xml:space="preserve">angl. </w:t>
            </w:r>
            <w:r w:rsidR="00277545" w:rsidRPr="006A5857">
              <w:rPr>
                <w:rFonts w:eastAsia="Times New Roman" w:cstheme="minorHAnsi"/>
                <w:sz w:val="24"/>
                <w:szCs w:val="24"/>
                <w:lang w:eastAsia="lt-LT"/>
              </w:rPr>
              <w:t>Promapp Enterprise – Unlimited processes</w:t>
            </w:r>
            <w:r w:rsidR="008A01CE" w:rsidRPr="006A5857">
              <w:rPr>
                <w:rFonts w:eastAsia="Times New Roman" w:cstheme="minorHAnsi"/>
                <w:sz w:val="24"/>
                <w:szCs w:val="24"/>
                <w:lang w:eastAsia="lt-LT"/>
              </w:rPr>
              <w:t>).</w:t>
            </w:r>
          </w:p>
        </w:tc>
      </w:tr>
      <w:tr w:rsidR="002D4C34" w:rsidRPr="006A5857" w14:paraId="77E0E47C" w14:textId="77777777" w:rsidTr="60D9E2EF">
        <w:trPr>
          <w:trHeight w:val="585"/>
        </w:trPr>
        <w:tc>
          <w:tcPr>
            <w:tcW w:w="10065" w:type="dxa"/>
            <w:vAlign w:val="center"/>
          </w:tcPr>
          <w:p w14:paraId="0C3C143B" w14:textId="7B08D9BC" w:rsidR="002D4C34" w:rsidRPr="006A5857" w:rsidRDefault="00325C26" w:rsidP="00325C26">
            <w:pPr>
              <w:tabs>
                <w:tab w:val="left" w:pos="321"/>
              </w:tabs>
              <w:spacing w:after="0" w:line="360" w:lineRule="auto"/>
              <w:contextualSpacing/>
              <w:jc w:val="both"/>
              <w:rPr>
                <w:rFonts w:eastAsia="Times New Roman" w:cstheme="minorHAnsi"/>
                <w:sz w:val="24"/>
                <w:szCs w:val="24"/>
                <w:lang w:eastAsia="lt-LT"/>
              </w:rPr>
            </w:pPr>
            <w:r w:rsidRPr="006A5857">
              <w:rPr>
                <w:rFonts w:eastAsia="Times New Roman" w:cstheme="minorHAnsi"/>
                <w:sz w:val="24"/>
                <w:szCs w:val="24"/>
                <w:lang w:eastAsia="lt-LT"/>
              </w:rPr>
              <w:t xml:space="preserve">4. </w:t>
            </w:r>
            <w:r w:rsidR="008A01CE" w:rsidRPr="006A5857">
              <w:rPr>
                <w:rFonts w:eastAsia="Times New Roman" w:cstheme="minorHAnsi"/>
                <w:sz w:val="24"/>
                <w:szCs w:val="24"/>
                <w:lang w:eastAsia="lt-LT"/>
              </w:rPr>
              <w:t xml:space="preserve">Vartotojai turi turėti galimybę prisijungti prie Nintex </w:t>
            </w:r>
            <w:r w:rsidR="00A4500A" w:rsidRPr="006A5857">
              <w:rPr>
                <w:rFonts w:eastAsia="Times New Roman" w:cstheme="minorHAnsi"/>
                <w:sz w:val="24"/>
                <w:szCs w:val="24"/>
                <w:lang w:eastAsia="lt-LT"/>
              </w:rPr>
              <w:t>Process Manager</w:t>
            </w:r>
            <w:r w:rsidR="008A01CE" w:rsidRPr="006A5857">
              <w:rPr>
                <w:rFonts w:eastAsia="Times New Roman" w:cstheme="minorHAnsi"/>
                <w:sz w:val="24"/>
                <w:szCs w:val="24"/>
                <w:lang w:eastAsia="lt-LT"/>
              </w:rPr>
              <w:t xml:space="preserve"> naudojantis Single Sign-on funkcionalumu (leidžiančiu priimti duomenis iš PO Active Directory resursų valdymo sistemos).</w:t>
            </w:r>
          </w:p>
        </w:tc>
      </w:tr>
      <w:tr w:rsidR="002D4C34" w:rsidRPr="006A5857" w14:paraId="6A272779" w14:textId="77777777" w:rsidTr="60D9E2EF">
        <w:trPr>
          <w:trHeight w:val="585"/>
        </w:trPr>
        <w:tc>
          <w:tcPr>
            <w:tcW w:w="10065" w:type="dxa"/>
            <w:vAlign w:val="center"/>
          </w:tcPr>
          <w:p w14:paraId="09AA6D13" w14:textId="77777777" w:rsidR="002D4C34" w:rsidRPr="006A5857" w:rsidRDefault="00325C26" w:rsidP="00783E6F">
            <w:pPr>
              <w:tabs>
                <w:tab w:val="left" w:pos="456"/>
              </w:tabs>
              <w:spacing w:after="0" w:line="360" w:lineRule="auto"/>
              <w:contextualSpacing/>
              <w:jc w:val="both"/>
              <w:rPr>
                <w:rFonts w:eastAsia="Times New Roman" w:cstheme="minorHAnsi"/>
                <w:sz w:val="24"/>
                <w:szCs w:val="24"/>
                <w:lang w:eastAsia="lt-LT"/>
              </w:rPr>
            </w:pPr>
            <w:r w:rsidRPr="006A5857">
              <w:rPr>
                <w:rFonts w:eastAsia="Times New Roman" w:cstheme="minorHAnsi"/>
                <w:sz w:val="24"/>
                <w:szCs w:val="24"/>
                <w:lang w:eastAsia="lt-LT"/>
              </w:rPr>
              <w:t xml:space="preserve">5. </w:t>
            </w:r>
            <w:r w:rsidR="008A01CE" w:rsidRPr="006A5857">
              <w:rPr>
                <w:rFonts w:eastAsia="Times New Roman" w:cstheme="minorHAnsi"/>
                <w:sz w:val="24"/>
                <w:szCs w:val="24"/>
                <w:lang w:eastAsia="lt-LT"/>
              </w:rPr>
              <w:t>Vartotojai turi turėti galimybę naudotis procesų ir dokumentų įkėlimo bei patvirtinimo funkcionalumu bei procesų variacijų valdymo funkcionalumu.</w:t>
            </w:r>
          </w:p>
        </w:tc>
      </w:tr>
      <w:tr w:rsidR="002D4C34" w:rsidRPr="006A5857" w14:paraId="6D3C17F8" w14:textId="77777777" w:rsidTr="60D9E2EF">
        <w:trPr>
          <w:trHeight w:val="585"/>
        </w:trPr>
        <w:tc>
          <w:tcPr>
            <w:tcW w:w="10065" w:type="dxa"/>
            <w:vAlign w:val="center"/>
          </w:tcPr>
          <w:p w14:paraId="7B224849" w14:textId="13C51EA9" w:rsidR="002D4C34" w:rsidRPr="006A5857" w:rsidRDefault="00325C26" w:rsidP="00325C26">
            <w:pPr>
              <w:tabs>
                <w:tab w:val="left" w:pos="321"/>
              </w:tabs>
              <w:spacing w:after="0" w:line="360" w:lineRule="auto"/>
              <w:contextualSpacing/>
              <w:jc w:val="both"/>
              <w:rPr>
                <w:rFonts w:eastAsia="Times New Roman" w:cstheme="minorHAnsi"/>
                <w:sz w:val="24"/>
                <w:szCs w:val="24"/>
                <w:lang w:eastAsia="lt-LT"/>
              </w:rPr>
            </w:pPr>
            <w:r w:rsidRPr="006A5857">
              <w:rPr>
                <w:rFonts w:eastAsia="Times New Roman" w:cstheme="minorHAnsi"/>
                <w:sz w:val="24"/>
                <w:szCs w:val="24"/>
                <w:lang w:eastAsia="lt-LT"/>
              </w:rPr>
              <w:t xml:space="preserve">6. </w:t>
            </w:r>
            <w:r w:rsidR="008A01CE" w:rsidRPr="006A5857">
              <w:rPr>
                <w:rFonts w:eastAsia="Times New Roman" w:cstheme="minorHAnsi"/>
                <w:sz w:val="24"/>
                <w:szCs w:val="24"/>
                <w:lang w:eastAsia="lt-LT"/>
              </w:rPr>
              <w:t xml:space="preserve">Turi būti galimybė ne vėliau nei per vieną darbo dieną nuo kreipimosi į tiekėją dienos gauti Nintex </w:t>
            </w:r>
            <w:r w:rsidR="00A4500A" w:rsidRPr="006A5857">
              <w:rPr>
                <w:rFonts w:eastAsia="Times New Roman" w:cstheme="minorHAnsi"/>
                <w:sz w:val="24"/>
                <w:szCs w:val="24"/>
                <w:lang w:eastAsia="lt-LT"/>
              </w:rPr>
              <w:t>Process Manager</w:t>
            </w:r>
            <w:r w:rsidR="008A01CE" w:rsidRPr="006A5857">
              <w:rPr>
                <w:rFonts w:eastAsia="Times New Roman" w:cstheme="minorHAnsi"/>
                <w:sz w:val="24"/>
                <w:szCs w:val="24"/>
                <w:lang w:eastAsia="lt-LT"/>
              </w:rPr>
              <w:t xml:space="preserve"> naudojimo pagalbą ir konsultacijas el. paštu ir telefonu ar kitomis elektroninėmis priemonėmis, esant poreikiui, užtikrinant ir bendravimą realaus laiko (online) režimu. </w:t>
            </w:r>
            <w:r w:rsidR="004C322E" w:rsidRPr="006A5857">
              <w:rPr>
                <w:rFonts w:eastAsia="Times New Roman" w:cstheme="minorHAnsi"/>
                <w:sz w:val="24"/>
                <w:szCs w:val="24"/>
                <w:lang w:eastAsia="lt-LT"/>
              </w:rPr>
              <w:t>Tiekėjas turi užtikrinti licencijų palaikymo teikiamą</w:t>
            </w:r>
            <w:r w:rsidR="008A01CE" w:rsidRPr="006A5857">
              <w:rPr>
                <w:rFonts w:eastAsia="Times New Roman" w:cstheme="minorHAnsi"/>
                <w:sz w:val="24"/>
                <w:szCs w:val="24"/>
                <w:lang w:eastAsia="lt-LT"/>
              </w:rPr>
              <w:t xml:space="preserve"> 24 x 5 rėžimu.</w:t>
            </w:r>
          </w:p>
        </w:tc>
      </w:tr>
      <w:tr w:rsidR="002D4C34" w:rsidRPr="006A5857" w14:paraId="388E482B" w14:textId="77777777" w:rsidTr="60D9E2EF">
        <w:trPr>
          <w:trHeight w:val="585"/>
        </w:trPr>
        <w:tc>
          <w:tcPr>
            <w:tcW w:w="10065" w:type="dxa"/>
            <w:vAlign w:val="center"/>
          </w:tcPr>
          <w:p w14:paraId="3570843F" w14:textId="77777777" w:rsidR="002D4C34" w:rsidRPr="006A5857" w:rsidRDefault="00325C26" w:rsidP="00325C26">
            <w:pPr>
              <w:tabs>
                <w:tab w:val="left" w:pos="321"/>
              </w:tabs>
              <w:spacing w:after="0" w:line="360" w:lineRule="auto"/>
              <w:contextualSpacing/>
              <w:jc w:val="both"/>
              <w:rPr>
                <w:rFonts w:eastAsia="Times New Roman" w:cstheme="minorHAnsi"/>
                <w:sz w:val="24"/>
                <w:szCs w:val="24"/>
                <w:lang w:eastAsia="lt-LT"/>
              </w:rPr>
            </w:pPr>
            <w:r w:rsidRPr="006A5857">
              <w:rPr>
                <w:rFonts w:eastAsia="Times New Roman" w:cstheme="minorHAnsi"/>
                <w:sz w:val="24"/>
                <w:szCs w:val="24"/>
                <w:lang w:eastAsia="lt-LT"/>
              </w:rPr>
              <w:t xml:space="preserve">7. </w:t>
            </w:r>
            <w:r w:rsidR="008A01CE" w:rsidRPr="006A5857">
              <w:rPr>
                <w:rFonts w:eastAsia="Times New Roman" w:cstheme="minorHAnsi"/>
                <w:sz w:val="24"/>
                <w:szCs w:val="24"/>
                <w:lang w:eastAsia="lt-LT"/>
              </w:rPr>
              <w:t>Programinės įrangos tiekėjas turi užtikrinti konfidencialios informacijos, įskaitant ir asmens duomenis, saugumui taikomus reikalavimus (serveriai turi būti ES šalyse; tiekėjas prisiima visą atsakomybę dėl galimo informacijos praradimo ir pan.).</w:t>
            </w:r>
          </w:p>
        </w:tc>
      </w:tr>
      <w:tr w:rsidR="002D4C34" w:rsidRPr="006A5857" w14:paraId="77413D22" w14:textId="77777777" w:rsidTr="60D9E2EF">
        <w:trPr>
          <w:trHeight w:val="585"/>
        </w:trPr>
        <w:tc>
          <w:tcPr>
            <w:tcW w:w="10065" w:type="dxa"/>
            <w:vAlign w:val="center"/>
          </w:tcPr>
          <w:p w14:paraId="457366F2" w14:textId="47FBA90C" w:rsidR="00574A88" w:rsidRPr="006A5857" w:rsidRDefault="00325C26" w:rsidP="006A5857">
            <w:pPr>
              <w:tabs>
                <w:tab w:val="left" w:pos="0"/>
                <w:tab w:val="left" w:pos="321"/>
              </w:tabs>
              <w:spacing w:after="0" w:line="360" w:lineRule="auto"/>
              <w:contextualSpacing/>
              <w:jc w:val="both"/>
              <w:rPr>
                <w:rFonts w:cstheme="minorHAnsi"/>
                <w:color w:val="000000" w:themeColor="text1"/>
                <w:sz w:val="24"/>
                <w:szCs w:val="24"/>
              </w:rPr>
            </w:pPr>
            <w:r w:rsidRPr="006A5857">
              <w:rPr>
                <w:rFonts w:eastAsia="Times New Roman" w:cstheme="minorHAnsi"/>
                <w:sz w:val="24"/>
                <w:szCs w:val="24"/>
                <w:lang w:eastAsia="lt-LT"/>
              </w:rPr>
              <w:t xml:space="preserve">8. </w:t>
            </w:r>
            <w:r w:rsidR="00AC4281" w:rsidRPr="006A5857">
              <w:rPr>
                <w:rFonts w:cstheme="minorHAnsi"/>
                <w:color w:val="000000" w:themeColor="text1"/>
                <w:sz w:val="24"/>
                <w:szCs w:val="24"/>
              </w:rPr>
              <w:t>Siūlomas pirkimo objektas nekelia grėsmės nacionaliniam saugumui</w:t>
            </w:r>
            <w:r w:rsidR="004C322E" w:rsidRPr="006A5857">
              <w:rPr>
                <w:rFonts w:eastAsia="Times New Roman" w:cstheme="minorHAnsi"/>
                <w:sz w:val="24"/>
                <w:szCs w:val="24"/>
                <w:lang w:eastAsia="lt-LT"/>
              </w:rPr>
              <w:t>.</w:t>
            </w:r>
            <w:r w:rsidR="006A5857">
              <w:rPr>
                <w:rFonts w:eastAsia="Times New Roman" w:cstheme="minorHAnsi"/>
                <w:sz w:val="24"/>
                <w:szCs w:val="24"/>
                <w:lang w:eastAsia="lt-LT"/>
              </w:rPr>
              <w:t xml:space="preserve"> </w:t>
            </w:r>
            <w:r w:rsidR="001F4F5F" w:rsidRPr="006A5857">
              <w:rPr>
                <w:rFonts w:eastAsia="Times New Roman" w:cstheme="minorHAnsi"/>
                <w:sz w:val="24"/>
                <w:szCs w:val="24"/>
                <w:lang w:eastAsia="lt-LT"/>
              </w:rPr>
              <w:t>Tiekėjo siūlomos prekės</w:t>
            </w:r>
            <w:r w:rsidR="009763B1" w:rsidRPr="006A5857">
              <w:rPr>
                <w:rStyle w:val="FootnoteReference"/>
                <w:rFonts w:eastAsia="Times New Roman" w:cstheme="minorHAnsi"/>
                <w:sz w:val="24"/>
                <w:szCs w:val="24"/>
                <w:lang w:eastAsia="lt-LT"/>
              </w:rPr>
              <w:footnoteReference w:id="1"/>
            </w:r>
            <w:r w:rsidR="001F4F5F" w:rsidRPr="006A5857">
              <w:rPr>
                <w:rFonts w:eastAsia="Times New Roman" w:cstheme="minorHAnsi"/>
                <w:sz w:val="24"/>
                <w:szCs w:val="24"/>
                <w:lang w:eastAsia="lt-LT"/>
              </w:rPr>
              <w:t xml:space="preserve"> (įskaitant jų gamintojus), paslaugos</w:t>
            </w:r>
            <w:r w:rsidR="006A2FA5" w:rsidRPr="006A5857">
              <w:rPr>
                <w:rStyle w:val="FootnoteReference"/>
                <w:rFonts w:eastAsia="Times New Roman" w:cstheme="minorHAnsi"/>
                <w:sz w:val="24"/>
                <w:szCs w:val="24"/>
                <w:lang w:eastAsia="lt-LT"/>
              </w:rPr>
              <w:footnoteReference w:id="2"/>
            </w:r>
            <w:r w:rsidR="001F4F5F" w:rsidRPr="006A5857">
              <w:rPr>
                <w:rFonts w:eastAsia="Times New Roman" w:cstheme="minorHAnsi"/>
                <w:sz w:val="24"/>
                <w:szCs w:val="24"/>
                <w:lang w:eastAsia="lt-LT"/>
              </w:rPr>
              <w:t xml:space="preserve"> ar darbai</w:t>
            </w:r>
            <w:r w:rsidR="00641FF9" w:rsidRPr="006A5857">
              <w:rPr>
                <w:rStyle w:val="FootnoteReference"/>
                <w:rFonts w:eastAsia="Times New Roman" w:cstheme="minorHAnsi"/>
                <w:sz w:val="24"/>
                <w:szCs w:val="24"/>
                <w:lang w:eastAsia="lt-LT"/>
              </w:rPr>
              <w:footnoteReference w:id="3"/>
            </w:r>
            <w:r w:rsidR="001F4F5F" w:rsidRPr="006A5857">
              <w:rPr>
                <w:rFonts w:eastAsia="Times New Roman" w:cstheme="minorHAnsi"/>
                <w:sz w:val="24"/>
                <w:szCs w:val="24"/>
                <w:lang w:eastAsia="lt-LT"/>
              </w:rPr>
              <w:t xml:space="preserve"> </w:t>
            </w:r>
            <w:r w:rsidR="00651682" w:rsidRPr="006A5857">
              <w:rPr>
                <w:rFonts w:eastAsia="Times New Roman" w:cstheme="minorHAnsi"/>
                <w:sz w:val="24"/>
                <w:szCs w:val="24"/>
                <w:lang w:eastAsia="lt-LT"/>
              </w:rPr>
              <w:t>privalo ne</w:t>
            </w:r>
            <w:r w:rsidR="001F4F5F" w:rsidRPr="006A5857">
              <w:rPr>
                <w:rFonts w:eastAsia="Times New Roman" w:cstheme="minorHAnsi"/>
                <w:sz w:val="24"/>
                <w:szCs w:val="24"/>
                <w:lang w:eastAsia="lt-LT"/>
              </w:rPr>
              <w:t>kelti grėsmės nacionaliniam saugumui. Pateikdamas ir pasirašydamas pasiūlymą, Tiekėjas patvirtina, kad jo siūlomos prekės</w:t>
            </w:r>
            <w:r w:rsidR="00954775" w:rsidRPr="006A5857">
              <w:rPr>
                <w:rStyle w:val="FootnoteReference"/>
                <w:rFonts w:eastAsia="Times New Roman" w:cstheme="minorHAnsi"/>
                <w:sz w:val="24"/>
                <w:szCs w:val="24"/>
                <w:lang w:eastAsia="lt-LT"/>
              </w:rPr>
              <w:footnoteReference w:id="4"/>
            </w:r>
            <w:r w:rsidR="001F4F5F" w:rsidRPr="006A5857">
              <w:rPr>
                <w:rFonts w:eastAsia="Times New Roman" w:cstheme="minorHAnsi"/>
                <w:sz w:val="24"/>
                <w:szCs w:val="24"/>
                <w:lang w:eastAsia="lt-LT"/>
              </w:rPr>
              <w:t xml:space="preserve"> (įskaitant jų gamintojus), paslaugos</w:t>
            </w:r>
            <w:r w:rsidR="00954775" w:rsidRPr="006A5857">
              <w:rPr>
                <w:rStyle w:val="FootnoteReference"/>
                <w:rFonts w:eastAsia="Times New Roman" w:cstheme="minorHAnsi"/>
                <w:sz w:val="24"/>
                <w:szCs w:val="24"/>
                <w:lang w:eastAsia="lt-LT"/>
              </w:rPr>
              <w:footnoteReference w:id="5"/>
            </w:r>
            <w:r w:rsidR="001F4F5F" w:rsidRPr="006A5857">
              <w:rPr>
                <w:rFonts w:eastAsia="Times New Roman" w:cstheme="minorHAnsi"/>
                <w:sz w:val="24"/>
                <w:szCs w:val="24"/>
                <w:lang w:eastAsia="lt-LT"/>
              </w:rPr>
              <w:t xml:space="preserve"> ir (ar) darbai</w:t>
            </w:r>
            <w:r w:rsidR="00954775" w:rsidRPr="006A5857">
              <w:rPr>
                <w:rStyle w:val="FootnoteReference"/>
                <w:rFonts w:eastAsia="Times New Roman" w:cstheme="minorHAnsi"/>
                <w:sz w:val="24"/>
                <w:szCs w:val="24"/>
                <w:lang w:eastAsia="lt-LT"/>
              </w:rPr>
              <w:footnoteReference w:id="6"/>
            </w:r>
            <w:r w:rsidR="001F4F5F" w:rsidRPr="006A5857">
              <w:rPr>
                <w:rFonts w:eastAsia="Times New Roman" w:cstheme="minorHAnsi"/>
                <w:sz w:val="24"/>
                <w:szCs w:val="24"/>
                <w:lang w:eastAsia="lt-LT"/>
              </w:rPr>
              <w:t xml:space="preserve"> nekelia grėsmės nacionaliniam saugumui.</w:t>
            </w:r>
          </w:p>
        </w:tc>
      </w:tr>
      <w:tr w:rsidR="00A65BEA" w:rsidRPr="006A5857" w14:paraId="58D83CB0" w14:textId="77777777" w:rsidTr="60D9E2EF">
        <w:trPr>
          <w:trHeight w:val="585"/>
        </w:trPr>
        <w:tc>
          <w:tcPr>
            <w:tcW w:w="10065" w:type="dxa"/>
            <w:vAlign w:val="center"/>
          </w:tcPr>
          <w:p w14:paraId="16AF2983" w14:textId="44579E54" w:rsidR="00A65BEA" w:rsidRPr="006A5857" w:rsidRDefault="00A65BEA" w:rsidP="00325C26">
            <w:pPr>
              <w:tabs>
                <w:tab w:val="left" w:pos="0"/>
                <w:tab w:val="left" w:pos="321"/>
              </w:tabs>
              <w:spacing w:after="0" w:line="360" w:lineRule="auto"/>
              <w:contextualSpacing/>
              <w:jc w:val="both"/>
              <w:rPr>
                <w:rFonts w:eastAsia="Times New Roman" w:cstheme="minorHAnsi"/>
                <w:sz w:val="24"/>
                <w:szCs w:val="24"/>
                <w:lang w:eastAsia="lt-LT"/>
              </w:rPr>
            </w:pPr>
            <w:r w:rsidRPr="006A5857">
              <w:rPr>
                <w:rFonts w:cstheme="minorHAnsi"/>
                <w:color w:val="000000" w:themeColor="text1"/>
                <w:sz w:val="24"/>
                <w:szCs w:val="24"/>
              </w:rPr>
              <w:lastRenderedPageBreak/>
              <w:t xml:space="preserve">9. </w:t>
            </w:r>
            <w:r w:rsidR="00530CE7" w:rsidRPr="006A5857">
              <w:rPr>
                <w:rFonts w:eastAsia="Calibri" w:cstheme="minorHAnsi"/>
                <w:sz w:val="24"/>
                <w:szCs w:val="24"/>
              </w:rPr>
              <w:t xml:space="preserve">Programinės įrangos gamintojas ar jį kontroliuojantis asmuo nėra registruotas (jeigu gamintojas ar jį kontroliuojantis asmuo yra fizinis asmuo – nuolat gyvenantis ar turintis pilietybę) Lietuvos Respublikos viešųjų pirkimų įstatymo 92 straipsnio 14 dalyje numatytame sąraše nurodytose valstybėse ar teritorijose </w:t>
            </w:r>
            <w:r w:rsidR="00530CE7" w:rsidRPr="006A5857">
              <w:rPr>
                <w:rFonts w:eastAsia="Calibri" w:cstheme="minorHAnsi"/>
                <w:color w:val="4472C4" w:themeColor="accent5"/>
                <w:sz w:val="24"/>
                <w:szCs w:val="24"/>
              </w:rPr>
              <w:t>(</w:t>
            </w:r>
            <w:hyperlink r:id="rId11">
              <w:r w:rsidR="00530CE7" w:rsidRPr="006A5857">
                <w:rPr>
                  <w:rFonts w:cstheme="minorHAnsi"/>
                  <w:color w:val="4472C4" w:themeColor="accent5"/>
                  <w:sz w:val="24"/>
                  <w:szCs w:val="24"/>
                  <w:u w:val="single"/>
                </w:rPr>
                <w:t>https://e-seimas.lrs.lt/portal/legalAct/lt/TAP/16f99e01af6811ecaf79c2120caf5094</w:t>
              </w:r>
            </w:hyperlink>
            <w:hyperlink r:id="rId12">
              <w:r w:rsidR="00530CE7" w:rsidRPr="006A5857">
                <w:rPr>
                  <w:rStyle w:val="Hyperlink"/>
                  <w:rFonts w:cstheme="minorHAnsi"/>
                  <w:color w:val="4472C4" w:themeColor="accent5"/>
                  <w:sz w:val="24"/>
                  <w:szCs w:val="24"/>
                </w:rPr>
                <w:t>https://e-seimas.lrs.lt/portal/legalAct/lt/TAP/cb3ab4d2ae7d11ecaf79c2120caf5094?jfwid=q1nivj4n4</w:t>
              </w:r>
            </w:hyperlink>
            <w:r w:rsidR="00530CE7" w:rsidRPr="006A5857">
              <w:rPr>
                <w:rFonts w:eastAsia="Calibri" w:cstheme="minorHAnsi"/>
                <w:color w:val="4472C4" w:themeColor="accent5"/>
                <w:sz w:val="24"/>
                <w:szCs w:val="24"/>
              </w:rPr>
              <w:t>).</w:t>
            </w:r>
          </w:p>
        </w:tc>
      </w:tr>
      <w:tr w:rsidR="00A65BEA" w:rsidRPr="006A5857" w14:paraId="7B77C4EB" w14:textId="77777777" w:rsidTr="60D9E2EF">
        <w:trPr>
          <w:trHeight w:val="585"/>
        </w:trPr>
        <w:tc>
          <w:tcPr>
            <w:tcW w:w="10065" w:type="dxa"/>
            <w:vAlign w:val="center"/>
          </w:tcPr>
          <w:p w14:paraId="139CA522" w14:textId="1991A62C" w:rsidR="00A65BEA" w:rsidRPr="006A5857" w:rsidRDefault="00A65BEA" w:rsidP="00A65BEA">
            <w:pPr>
              <w:tabs>
                <w:tab w:val="left" w:pos="284"/>
              </w:tabs>
              <w:spacing w:after="0" w:line="360" w:lineRule="auto"/>
              <w:ind w:left="37"/>
              <w:contextualSpacing/>
              <w:jc w:val="both"/>
              <w:rPr>
                <w:rFonts w:cstheme="minorHAnsi"/>
                <w:color w:val="000000" w:themeColor="text1"/>
                <w:sz w:val="24"/>
                <w:szCs w:val="24"/>
              </w:rPr>
            </w:pPr>
            <w:r w:rsidRPr="006A5857">
              <w:rPr>
                <w:rFonts w:eastAsia="Calibri" w:cstheme="minorHAnsi"/>
                <w:sz w:val="24"/>
                <w:szCs w:val="24"/>
              </w:rPr>
              <w:t xml:space="preserve">10. </w:t>
            </w:r>
            <w:r w:rsidR="00211B56" w:rsidRPr="006A5857">
              <w:rPr>
                <w:rFonts w:eastAsia="Calibri" w:cstheme="minorHAnsi"/>
                <w:sz w:val="24"/>
                <w:szCs w:val="24"/>
              </w:rPr>
              <w:t xml:space="preserve">Programinės įrangos priežiūra ar palaikymas nebus vykdomas iš šio Lietuvos Respublikos viešųjų pirkimų įstatymo 92 straipsnio 14 dalyje numatytame sąraše nurodytų valstybių ar teritorijų </w:t>
            </w:r>
            <w:r w:rsidR="00211B56" w:rsidRPr="006A5857">
              <w:rPr>
                <w:rFonts w:eastAsia="Calibri" w:cstheme="minorHAnsi"/>
                <w:color w:val="4472C4" w:themeColor="accent5"/>
                <w:sz w:val="24"/>
                <w:szCs w:val="24"/>
              </w:rPr>
              <w:t>(</w:t>
            </w:r>
            <w:hyperlink r:id="rId13">
              <w:r w:rsidR="00211B56" w:rsidRPr="006A5857">
                <w:rPr>
                  <w:rStyle w:val="Hyperlink"/>
                  <w:rFonts w:cstheme="minorHAnsi"/>
                  <w:color w:val="4472C4" w:themeColor="accent5"/>
                  <w:sz w:val="24"/>
                  <w:szCs w:val="24"/>
                </w:rPr>
                <w:t>https://e-seimas.lrs.lt/portal/legalAct/lt/TAP/16f99e01af6811ecaf79c2120caf5094</w:t>
              </w:r>
            </w:hyperlink>
            <w:hyperlink r:id="rId14">
              <w:r w:rsidR="00211B56" w:rsidRPr="006A5857">
                <w:rPr>
                  <w:rStyle w:val="Hyperlink"/>
                  <w:rFonts w:cstheme="minorHAnsi"/>
                  <w:color w:val="4472C4" w:themeColor="accent5"/>
                  <w:sz w:val="24"/>
                  <w:szCs w:val="24"/>
                </w:rPr>
                <w:t>https://e-seimas.lrs.lt/portal/legalAct/lt/TAP/cb3ab4d2ae7d11ecaf79c2120caf5094?jfwid=q1nivj4n4</w:t>
              </w:r>
            </w:hyperlink>
            <w:r w:rsidR="00211B56" w:rsidRPr="006A5857">
              <w:rPr>
                <w:rFonts w:eastAsia="Calibri" w:cstheme="minorHAnsi"/>
                <w:color w:val="4472C4" w:themeColor="accent5"/>
                <w:sz w:val="24"/>
                <w:szCs w:val="24"/>
              </w:rPr>
              <w:t>).</w:t>
            </w:r>
          </w:p>
        </w:tc>
      </w:tr>
      <w:tr w:rsidR="00A65BEA" w:rsidRPr="006A5857" w14:paraId="28F08AAC" w14:textId="77777777" w:rsidTr="60D9E2EF">
        <w:trPr>
          <w:trHeight w:val="585"/>
        </w:trPr>
        <w:tc>
          <w:tcPr>
            <w:tcW w:w="10065" w:type="dxa"/>
            <w:vAlign w:val="center"/>
          </w:tcPr>
          <w:p w14:paraId="53B02E64" w14:textId="05C2AB25" w:rsidR="00A65BEA" w:rsidRPr="006A5857" w:rsidRDefault="00A65BEA" w:rsidP="00EA265A">
            <w:pPr>
              <w:tabs>
                <w:tab w:val="left" w:pos="284"/>
              </w:tabs>
              <w:spacing w:after="0" w:line="360" w:lineRule="auto"/>
              <w:ind w:left="37"/>
              <w:contextualSpacing/>
              <w:jc w:val="both"/>
              <w:rPr>
                <w:rFonts w:eastAsia="Calibri" w:cstheme="minorHAnsi"/>
                <w:sz w:val="24"/>
                <w:szCs w:val="24"/>
                <w:highlight w:val="yellow"/>
              </w:rPr>
            </w:pPr>
            <w:r w:rsidRPr="006A5857">
              <w:rPr>
                <w:rFonts w:eastAsia="Calibri" w:cstheme="minorHAnsi"/>
                <w:sz w:val="24"/>
                <w:szCs w:val="24"/>
              </w:rPr>
              <w:t xml:space="preserve">11. </w:t>
            </w:r>
            <w:r w:rsidR="00EA265A" w:rsidRPr="006A5857">
              <w:rPr>
                <w:rFonts w:eastAsia="Calibri" w:cstheme="minorHAnsi"/>
                <w:sz w:val="24"/>
                <w:szCs w:val="24"/>
              </w:rPr>
              <w:t>Jeigu prekių gamintojas ar paslaugų teikėjas, arba jį kontroliuojantis asmuo yra įmonė, valstybės įmonė, savivaldybės įmonė, taip pat valstybės valdoma bendrovė ir jų dukterinės įmonės, įtrauktos į Nacionaliniam saugumui užtikrinti svarbių objektų apsaugos įstatyme numatytą sąrašą kaip svarbios nacionaliniam saugumui užtikrinti, tokiems subjektams Lietuvos Respublikos viešųjų pirkimų įstatymo 37 straipsnio 9 dalis netaikoma.</w:t>
            </w:r>
          </w:p>
        </w:tc>
      </w:tr>
      <w:tr w:rsidR="00AC4281" w:rsidRPr="006A5857" w14:paraId="1953626B" w14:textId="77777777" w:rsidTr="60D9E2EF">
        <w:trPr>
          <w:trHeight w:val="585"/>
        </w:trPr>
        <w:tc>
          <w:tcPr>
            <w:tcW w:w="10065" w:type="dxa"/>
            <w:vAlign w:val="center"/>
          </w:tcPr>
          <w:p w14:paraId="0B716C46" w14:textId="06F65F1D" w:rsidR="00AC4281" w:rsidRPr="006A5857" w:rsidRDefault="00AB6AAD" w:rsidP="00EA43D8">
            <w:pPr>
              <w:tabs>
                <w:tab w:val="left" w:pos="284"/>
              </w:tabs>
              <w:spacing w:after="0" w:line="360" w:lineRule="auto"/>
              <w:ind w:left="37"/>
              <w:contextualSpacing/>
              <w:jc w:val="both"/>
              <w:rPr>
                <w:rFonts w:eastAsia="Calibri" w:cstheme="minorHAnsi"/>
                <w:sz w:val="24"/>
                <w:szCs w:val="24"/>
                <w:highlight w:val="yellow"/>
              </w:rPr>
            </w:pPr>
            <w:r w:rsidRPr="006A5857">
              <w:rPr>
                <w:rFonts w:eastAsia="Calibri" w:cstheme="minorHAnsi"/>
                <w:sz w:val="24"/>
                <w:szCs w:val="24"/>
              </w:rPr>
              <w:t>12.</w:t>
            </w:r>
            <w:r w:rsidR="00EA43D8" w:rsidRPr="006A5857">
              <w:rPr>
                <w:rFonts w:eastAsia="Times New Roman" w:cstheme="minorHAnsi"/>
                <w:sz w:val="24"/>
                <w:szCs w:val="24"/>
                <w:lang w:eastAsia="lt-LT"/>
              </w:rPr>
              <w:t xml:space="preserve"> </w:t>
            </w:r>
            <w:r w:rsidR="00EA43D8" w:rsidRPr="006A5857">
              <w:rPr>
                <w:rFonts w:eastAsia="Calibri" w:cstheme="minorHAnsi"/>
                <w:sz w:val="24"/>
                <w:szCs w:val="24"/>
              </w:rPr>
              <w:t>Aplinkos apsaugos kriterijai. Vadovaujantis Lietuvos Respublikos aplinkos ministro 2011 m. birželio 28 d. įsakymu Nr. D1</w:t>
            </w:r>
            <w:r w:rsidR="00EA43D8" w:rsidRPr="006A5857">
              <w:rPr>
                <w:rFonts w:eastAsia="Calibri" w:cstheme="minorHAnsi"/>
                <w:sz w:val="24"/>
                <w:szCs w:val="24"/>
              </w:rPr>
              <w:noBreakHyphen/>
              <w:t>508 „Dėl produktų, kurių viešiesiems pirkimams taikomi aplinkos apsaugos kriterijai, sąrašo, aplinkos apsaugos kriterijų ir aplinkos apsaugos kriterijų taikymo, perkant prekes, paslaugas ar darbus, tvarkos aprašo patvirtinimo“ (redakcija, patvirtinta 2022 m. gruodžio 13 d. įsakymu Nr. D1</w:t>
            </w:r>
            <w:r w:rsidR="00EA43D8" w:rsidRPr="006A5857">
              <w:rPr>
                <w:rFonts w:eastAsia="Calibri" w:cstheme="minorHAnsi"/>
                <w:sz w:val="24"/>
                <w:szCs w:val="24"/>
              </w:rPr>
              <w:noBreakHyphen/>
              <w:t>41), perkama programinė įranga turi būti tiekiama be fizinių laikmenų, palaikoma ir atnaujinama elektroniniu būdu, taip pat visa dokumentacija turi būti pateikiama elektronine forma.</w:t>
            </w:r>
          </w:p>
        </w:tc>
      </w:tr>
    </w:tbl>
    <w:p w14:paraId="1CD33EC9" w14:textId="30A1A8D8" w:rsidR="002832F8" w:rsidRPr="006A5857" w:rsidRDefault="002832F8" w:rsidP="002832F8">
      <w:pPr>
        <w:tabs>
          <w:tab w:val="left" w:pos="284"/>
        </w:tabs>
        <w:spacing w:after="0" w:line="360" w:lineRule="auto"/>
        <w:ind w:left="-567"/>
        <w:contextualSpacing/>
        <w:jc w:val="both"/>
        <w:rPr>
          <w:rFonts w:cstheme="minorHAnsi"/>
          <w:color w:val="000000" w:themeColor="text1"/>
          <w:sz w:val="24"/>
          <w:szCs w:val="24"/>
        </w:rPr>
      </w:pPr>
      <w:r w:rsidRPr="006A5857">
        <w:rPr>
          <w:rFonts w:cstheme="minorHAnsi"/>
          <w:color w:val="000000" w:themeColor="text1"/>
          <w:sz w:val="24"/>
          <w:szCs w:val="24"/>
        </w:rPr>
        <w:tab/>
      </w:r>
    </w:p>
    <w:p w14:paraId="0413AFCE" w14:textId="0552BB01" w:rsidR="002D4C34" w:rsidRPr="006A5857" w:rsidRDefault="002D4C34" w:rsidP="001C456D">
      <w:pPr>
        <w:tabs>
          <w:tab w:val="left" w:pos="284"/>
        </w:tabs>
        <w:spacing w:after="0" w:line="360" w:lineRule="auto"/>
        <w:ind w:left="-567"/>
        <w:contextualSpacing/>
        <w:jc w:val="both"/>
        <w:rPr>
          <w:rFonts w:cstheme="minorHAnsi"/>
          <w:sz w:val="24"/>
          <w:szCs w:val="24"/>
        </w:rPr>
      </w:pPr>
    </w:p>
    <w:sectPr w:rsidR="002D4C34" w:rsidRPr="006A5857" w:rsidSect="00F350A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B06A" w14:textId="77777777" w:rsidR="00D04A03" w:rsidRDefault="00D04A03" w:rsidP="00DD3A79">
      <w:pPr>
        <w:spacing w:line="240" w:lineRule="auto"/>
      </w:pPr>
      <w:r>
        <w:separator/>
      </w:r>
    </w:p>
  </w:endnote>
  <w:endnote w:type="continuationSeparator" w:id="0">
    <w:p w14:paraId="201E32F4" w14:textId="77777777" w:rsidR="00D04A03" w:rsidRDefault="00D04A0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73CE" w14:textId="77777777" w:rsidR="00D04A03" w:rsidRDefault="00D04A03" w:rsidP="00DD3A79">
      <w:pPr>
        <w:spacing w:line="240" w:lineRule="auto"/>
      </w:pPr>
      <w:r>
        <w:separator/>
      </w:r>
    </w:p>
  </w:footnote>
  <w:footnote w:type="continuationSeparator" w:id="0">
    <w:p w14:paraId="5BF61428" w14:textId="77777777" w:rsidR="00D04A03" w:rsidRDefault="00D04A03" w:rsidP="00DD3A79">
      <w:pPr>
        <w:spacing w:line="240" w:lineRule="auto"/>
      </w:pPr>
      <w:r>
        <w:continuationSeparator/>
      </w:r>
    </w:p>
  </w:footnote>
  <w:footnote w:id="1">
    <w:p w14:paraId="0CE7939B" w14:textId="009C2A7C" w:rsidR="009763B1" w:rsidRDefault="009763B1">
      <w:pPr>
        <w:pStyle w:val="FootnoteText"/>
      </w:pPr>
      <w:r>
        <w:rPr>
          <w:rStyle w:val="FootnoteReference"/>
        </w:rPr>
        <w:footnoteRef/>
      </w:r>
      <w:r>
        <w:t xml:space="preserve"> </w:t>
      </w:r>
      <w:r w:rsidR="006A2FA5" w:rsidRPr="006A2FA5">
        <w:t>Taikoma, kai perkamos prekės.</w:t>
      </w:r>
    </w:p>
  </w:footnote>
  <w:footnote w:id="2">
    <w:p w14:paraId="32D17B4E" w14:textId="31DC1FC3" w:rsidR="006A2FA5" w:rsidRDefault="006A2FA5">
      <w:pPr>
        <w:pStyle w:val="FootnoteText"/>
      </w:pPr>
      <w:r>
        <w:rPr>
          <w:rStyle w:val="FootnoteReference"/>
        </w:rPr>
        <w:footnoteRef/>
      </w:r>
      <w:r>
        <w:t xml:space="preserve"> </w:t>
      </w:r>
      <w:r w:rsidR="00641FF9" w:rsidRPr="00641FF9">
        <w:t>Taikoma, kai perkamos paslaugos.</w:t>
      </w:r>
    </w:p>
  </w:footnote>
  <w:footnote w:id="3">
    <w:p w14:paraId="628FB065" w14:textId="4AD84F0E" w:rsidR="00641FF9" w:rsidRDefault="00641FF9">
      <w:pPr>
        <w:pStyle w:val="FootnoteText"/>
      </w:pPr>
      <w:r>
        <w:rPr>
          <w:rStyle w:val="FootnoteReference"/>
        </w:rPr>
        <w:footnoteRef/>
      </w:r>
      <w:r>
        <w:t xml:space="preserve"> </w:t>
      </w:r>
      <w:r w:rsidRPr="00641FF9">
        <w:t>Taikoma, kai perkami darbai.</w:t>
      </w:r>
    </w:p>
  </w:footnote>
  <w:footnote w:id="4">
    <w:p w14:paraId="1FE3134F" w14:textId="6B70DFE6" w:rsidR="00954775" w:rsidRDefault="00954775">
      <w:pPr>
        <w:pStyle w:val="FootnoteText"/>
      </w:pPr>
      <w:r>
        <w:rPr>
          <w:rStyle w:val="FootnoteReference"/>
        </w:rPr>
        <w:footnoteRef/>
      </w:r>
      <w:r>
        <w:t xml:space="preserve"> </w:t>
      </w:r>
      <w:r w:rsidRPr="00954775">
        <w:t>Taikoma, kai perkamos prekės.</w:t>
      </w:r>
    </w:p>
  </w:footnote>
  <w:footnote w:id="5">
    <w:p w14:paraId="1125EA94" w14:textId="7A30066B" w:rsidR="00954775" w:rsidRDefault="00954775">
      <w:pPr>
        <w:pStyle w:val="FootnoteText"/>
      </w:pPr>
      <w:r>
        <w:rPr>
          <w:rStyle w:val="FootnoteReference"/>
        </w:rPr>
        <w:footnoteRef/>
      </w:r>
      <w:r>
        <w:t xml:space="preserve"> </w:t>
      </w:r>
      <w:r w:rsidRPr="00954775">
        <w:t>Taikoma, kai perkamos paslaugos.</w:t>
      </w:r>
    </w:p>
  </w:footnote>
  <w:footnote w:id="6">
    <w:p w14:paraId="7D3AD3C3" w14:textId="77777777" w:rsidR="00501ADB" w:rsidRPr="00501ADB" w:rsidRDefault="00954775" w:rsidP="00501ADB">
      <w:pPr>
        <w:pStyle w:val="FootnoteText"/>
      </w:pPr>
      <w:r>
        <w:rPr>
          <w:rStyle w:val="FootnoteReference"/>
        </w:rPr>
        <w:footnoteRef/>
      </w:r>
      <w:r>
        <w:t xml:space="preserve"> </w:t>
      </w:r>
      <w:r w:rsidR="00501ADB" w:rsidRPr="00501ADB">
        <w:t>Taikoma, kai perkami darbai.</w:t>
      </w:r>
    </w:p>
    <w:p w14:paraId="12D23A07" w14:textId="54DACECF" w:rsidR="00954775" w:rsidRDefault="0095477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1A3"/>
    <w:multiLevelType w:val="hybridMultilevel"/>
    <w:tmpl w:val="C1ECFF24"/>
    <w:lvl w:ilvl="0" w:tplc="C6788AC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572188"/>
    <w:multiLevelType w:val="hybridMultilevel"/>
    <w:tmpl w:val="B23AF2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4673008">
    <w:abstractNumId w:val="0"/>
  </w:num>
  <w:num w:numId="2" w16cid:durableId="757679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BF"/>
    <w:rsid w:val="00086A7E"/>
    <w:rsid w:val="000B5754"/>
    <w:rsid w:val="0011468A"/>
    <w:rsid w:val="001B7643"/>
    <w:rsid w:val="001C2857"/>
    <w:rsid w:val="001C456D"/>
    <w:rsid w:val="001F4F5F"/>
    <w:rsid w:val="00211B56"/>
    <w:rsid w:val="00215BF1"/>
    <w:rsid w:val="00277545"/>
    <w:rsid w:val="002832F8"/>
    <w:rsid w:val="00287939"/>
    <w:rsid w:val="002A7375"/>
    <w:rsid w:val="002D4C34"/>
    <w:rsid w:val="00325C26"/>
    <w:rsid w:val="00352DAA"/>
    <w:rsid w:val="003E0DDB"/>
    <w:rsid w:val="003E48E6"/>
    <w:rsid w:val="00415430"/>
    <w:rsid w:val="00436487"/>
    <w:rsid w:val="0047233F"/>
    <w:rsid w:val="004C322E"/>
    <w:rsid w:val="004D034A"/>
    <w:rsid w:val="004E1E4C"/>
    <w:rsid w:val="004E6357"/>
    <w:rsid w:val="00501ADB"/>
    <w:rsid w:val="00530CE7"/>
    <w:rsid w:val="00566588"/>
    <w:rsid w:val="00574A88"/>
    <w:rsid w:val="00584621"/>
    <w:rsid w:val="005A1D36"/>
    <w:rsid w:val="005D03E9"/>
    <w:rsid w:val="006004C3"/>
    <w:rsid w:val="006373A7"/>
    <w:rsid w:val="006377CC"/>
    <w:rsid w:val="00641FF9"/>
    <w:rsid w:val="00651682"/>
    <w:rsid w:val="00652356"/>
    <w:rsid w:val="00672D56"/>
    <w:rsid w:val="00676FF5"/>
    <w:rsid w:val="006A2FA5"/>
    <w:rsid w:val="006A5857"/>
    <w:rsid w:val="006D3E83"/>
    <w:rsid w:val="00706D78"/>
    <w:rsid w:val="007138E0"/>
    <w:rsid w:val="00726303"/>
    <w:rsid w:val="00783E6F"/>
    <w:rsid w:val="007B390D"/>
    <w:rsid w:val="007F4788"/>
    <w:rsid w:val="008134FC"/>
    <w:rsid w:val="00823EE7"/>
    <w:rsid w:val="00840733"/>
    <w:rsid w:val="008435F7"/>
    <w:rsid w:val="008A01CE"/>
    <w:rsid w:val="009001A8"/>
    <w:rsid w:val="00902EF9"/>
    <w:rsid w:val="009362DE"/>
    <w:rsid w:val="00954775"/>
    <w:rsid w:val="009763B1"/>
    <w:rsid w:val="009A6935"/>
    <w:rsid w:val="00A26A00"/>
    <w:rsid w:val="00A4500A"/>
    <w:rsid w:val="00A65BEA"/>
    <w:rsid w:val="00A82E97"/>
    <w:rsid w:val="00AB23B4"/>
    <w:rsid w:val="00AB3A67"/>
    <w:rsid w:val="00AB57A3"/>
    <w:rsid w:val="00AB6AAD"/>
    <w:rsid w:val="00AC4281"/>
    <w:rsid w:val="00B3295D"/>
    <w:rsid w:val="00B700B5"/>
    <w:rsid w:val="00B76466"/>
    <w:rsid w:val="00BA566F"/>
    <w:rsid w:val="00C4724F"/>
    <w:rsid w:val="00D04A03"/>
    <w:rsid w:val="00D8120A"/>
    <w:rsid w:val="00DD3A79"/>
    <w:rsid w:val="00DE675C"/>
    <w:rsid w:val="00DF2764"/>
    <w:rsid w:val="00E83A4B"/>
    <w:rsid w:val="00EA265A"/>
    <w:rsid w:val="00EA43D8"/>
    <w:rsid w:val="00F17ED9"/>
    <w:rsid w:val="00F271BF"/>
    <w:rsid w:val="00F350AC"/>
    <w:rsid w:val="60D9E2EF"/>
    <w:rsid w:val="64F44CA0"/>
    <w:rsid w:val="7F0B83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18FA"/>
  <w15:chartTrackingRefBased/>
  <w15:docId w15:val="{DCC35D7F-10BB-408B-B364-CFFD30FE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34"/>
    <w:pPr>
      <w:spacing w:after="200" w:line="276" w:lineRule="auto"/>
      <w:ind w:firstLine="0"/>
    </w:pPr>
    <w:rPr>
      <w:rFonts w:asciiTheme="minorHAnsi" w:eastAsiaTheme="minorEastAsia" w:hAnsiTheme="minorHAnsi"/>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styleId="CommentReference">
    <w:name w:val="annotation reference"/>
    <w:basedOn w:val="DefaultParagraphFont"/>
    <w:uiPriority w:val="99"/>
    <w:semiHidden/>
    <w:unhideWhenUsed/>
    <w:rsid w:val="00215BF1"/>
    <w:rPr>
      <w:sz w:val="16"/>
      <w:szCs w:val="16"/>
    </w:rPr>
  </w:style>
  <w:style w:type="paragraph" w:styleId="CommentText">
    <w:name w:val="annotation text"/>
    <w:basedOn w:val="Normal"/>
    <w:link w:val="CommentTextChar"/>
    <w:uiPriority w:val="99"/>
    <w:unhideWhenUsed/>
    <w:rsid w:val="00215BF1"/>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215BF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5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BF1"/>
    <w:rPr>
      <w:rFonts w:ascii="Segoe UI" w:eastAsiaTheme="minorEastAsia" w:hAnsi="Segoe UI" w:cs="Segoe UI"/>
      <w:sz w:val="18"/>
      <w:szCs w:val="18"/>
      <w:lang w:eastAsia="zh-CN"/>
    </w:rPr>
  </w:style>
  <w:style w:type="paragraph" w:styleId="ListParagraph">
    <w:name w:val="List Paragraph"/>
    <w:basedOn w:val="Normal"/>
    <w:uiPriority w:val="34"/>
    <w:qFormat/>
    <w:rsid w:val="00783E6F"/>
    <w:pPr>
      <w:ind w:left="720"/>
      <w:contextualSpacing/>
    </w:pPr>
  </w:style>
  <w:style w:type="character" w:styleId="Hyperlink">
    <w:name w:val="Hyperlink"/>
    <w:basedOn w:val="DefaultParagraphFont"/>
    <w:uiPriority w:val="99"/>
    <w:unhideWhenUsed/>
    <w:rsid w:val="002832F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F2764"/>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DF2764"/>
    <w:rPr>
      <w:rFonts w:asciiTheme="minorHAnsi" w:eastAsiaTheme="minorEastAsia" w:hAnsiTheme="minorHAnsi" w:cs="Times New Roman"/>
      <w:b/>
      <w:bCs/>
      <w:sz w:val="20"/>
      <w:szCs w:val="20"/>
      <w:lang w:eastAsia="zh-CN"/>
    </w:rPr>
  </w:style>
  <w:style w:type="paragraph" w:styleId="FootnoteText">
    <w:name w:val="footnote text"/>
    <w:basedOn w:val="Normal"/>
    <w:link w:val="FootnoteTextChar"/>
    <w:uiPriority w:val="99"/>
    <w:semiHidden/>
    <w:unhideWhenUsed/>
    <w:rsid w:val="009763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3B1"/>
    <w:rPr>
      <w:rFonts w:asciiTheme="minorHAnsi" w:eastAsiaTheme="minorEastAsia" w:hAnsiTheme="minorHAnsi"/>
      <w:sz w:val="20"/>
      <w:szCs w:val="20"/>
      <w:lang w:eastAsia="zh-CN"/>
    </w:rPr>
  </w:style>
  <w:style w:type="character" w:styleId="FootnoteReference">
    <w:name w:val="footnote reference"/>
    <w:basedOn w:val="DefaultParagraphFont"/>
    <w:uiPriority w:val="99"/>
    <w:semiHidden/>
    <w:unhideWhenUsed/>
    <w:rsid w:val="009763B1"/>
    <w:rPr>
      <w:vertAlign w:val="superscript"/>
    </w:rPr>
  </w:style>
  <w:style w:type="paragraph" w:styleId="NormalWeb">
    <w:name w:val="Normal (Web)"/>
    <w:basedOn w:val="Normal"/>
    <w:uiPriority w:val="99"/>
    <w:semiHidden/>
    <w:unhideWhenUsed/>
    <w:rsid w:val="00501A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24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P/16f99e01af6811ecaf79c2120caf509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P/cb3ab4d2ae7d11ecaf79c2120caf5094?jfwid=q1nivj4n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P/16f99e01af6811ecaf79c2120caf509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P/cb3ab4d2ae7d11ecaf79c2120caf5094?jfwid=q1nivj4n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9" ma:contentTypeDescription="Create a new document." ma:contentTypeScope="" ma:versionID="51a1238641d8ec3639f586458ba2d9c7">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d968a30e493d76c26c29f67008f09952"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ea7db2-d6d3-43a4-a670-095cb0bce423}"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764BF-8667-4350-8060-681E4F0FD91C}">
  <ds:schemaRefs>
    <ds:schemaRef ds:uri="http://schemas.openxmlformats.org/officeDocument/2006/bibliography"/>
  </ds:schemaRefs>
</ds:datastoreItem>
</file>

<file path=customXml/itemProps2.xml><?xml version="1.0" encoding="utf-8"?>
<ds:datastoreItem xmlns:ds="http://schemas.openxmlformats.org/officeDocument/2006/customXml" ds:itemID="{A62AA833-0C36-4E12-B189-EF2AD5D991D6}">
  <ds:schemaRefs>
    <ds:schemaRef ds:uri="http://schemas.microsoft.com/sharepoint/v3/contenttype/forms"/>
  </ds:schemaRefs>
</ds:datastoreItem>
</file>

<file path=customXml/itemProps3.xml><?xml version="1.0" encoding="utf-8"?>
<ds:datastoreItem xmlns:ds="http://schemas.openxmlformats.org/officeDocument/2006/customXml" ds:itemID="{5701054C-0B7C-4B0B-BDB5-6699433CEC3F}">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AA34F8AD-4550-4441-B9A6-313D23910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615</Words>
  <Characters>3725</Characters>
  <Application>Microsoft Office Word</Application>
  <DocSecurity>0</DocSecurity>
  <Lines>53</Lines>
  <Paragraphs>17</Paragraphs>
  <ScaleCrop>false</ScaleCrop>
  <Company>VĮ Registrų centras</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Mickūnė</dc:creator>
  <cp:keywords/>
  <dc:description/>
  <cp:lastModifiedBy>Kristina Vaznelytė</cp:lastModifiedBy>
  <cp:revision>61</cp:revision>
  <dcterms:created xsi:type="dcterms:W3CDTF">2026-06-23T12:48:00Z</dcterms:created>
  <dcterms:modified xsi:type="dcterms:W3CDTF">2026-06-26T12:48:00Z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2026-06-23T12:48:51Z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05dfe631-4f70-4e0c-9649-28bdbb541c63</vt:lpwstr>
  </property>
  <property fmtid="{D5CDD505-2E9C-101B-9397-08002B2CF9AE}" pid="10" name="MSIP_Label_179ca552-b207-4d72-8d58-818aee87ca18_ContentBits">
    <vt:lpwstr>0</vt:lpwstr>
  </property>
  <property fmtid="{D5CDD505-2E9C-101B-9397-08002B2CF9AE}" pid="11" name="MSIP_Label_179ca552-b207-4d72-8d58-818aee87ca18_Tag">
    <vt:lpwstr>10, 3, 0, 2</vt:lpwstr>
  </property>
</Properties>
</file>