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30176754"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E13F75">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514B52">
            <w:rPr>
              <w:rFonts w:ascii="Times New Roman" w:eastAsia="Times New Roman" w:hAnsi="Times New Roman" w:cs="Times New Roman"/>
              <w:noProof/>
              <w:sz w:val="20"/>
              <w:szCs w:val="20"/>
            </w:rPr>
            <w:t>17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4B5D0F03"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514B52" w:rsidRPr="00514B52">
            <w:rPr>
              <w:rFonts w:ascii="Times New Roman" w:eastAsia="Calibri" w:hAnsi="Times New Roman" w:cs="Times New Roman"/>
              <w:b/>
              <w:bCs/>
              <w:color w:val="000000" w:themeColor="text1"/>
              <w:sz w:val="24"/>
              <w:szCs w:val="24"/>
            </w:rPr>
            <w:t>KONTO IR BONUS PROGRAMŲ VYSTYMAS IR PRIEŽIŪROS PASLAUGOS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5B0E6588" w14:textId="2541A538" w:rsidR="00514B52" w:rsidRDefault="00514B52" w:rsidP="00514B52">
              <w:pPr>
                <w:pStyle w:val="Turinys2"/>
              </w:pPr>
              <w:hyperlink w:anchor="_Toc159231068" w:history="1">
                <w:r w:rsidRPr="008A5BA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514B52">
                  <w:rPr>
                    <w:rFonts w:ascii="Times New Roman" w:eastAsia="Times New Roman" w:hAnsi="Times New Roman" w:cs="Times New Roman"/>
                    <w:lang w:eastAsia="en-US"/>
                  </w:rPr>
                  <w:t>Nacionalinio saugumo reikalavimų atitikties deklaracija</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6ED39734" w:rsidR="00A13651" w:rsidRPr="00514B52"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514B52">
        <w:rPr>
          <w:rFonts w:ascii="Times New Roman" w:hAnsi="Times New Roman" w:cs="Times New Roman"/>
          <w:sz w:val="22"/>
          <w:szCs w:val="22"/>
        </w:rPr>
        <w:t>Pirkimo objekto klausimais –</w:t>
      </w:r>
      <w:r w:rsidR="00B0133D" w:rsidRPr="00514B52">
        <w:rPr>
          <w:rFonts w:ascii="Times New Roman" w:hAnsi="Times New Roman" w:cs="Times New Roman"/>
          <w:sz w:val="22"/>
          <w:szCs w:val="22"/>
        </w:rPr>
        <w:t xml:space="preserve"> </w:t>
      </w:r>
      <w:r w:rsidR="00514B52" w:rsidRPr="00514B52">
        <w:rPr>
          <w:rFonts w:ascii="Times New Roman" w:hAnsi="Times New Roman" w:cs="Times New Roman"/>
          <w:sz w:val="22"/>
          <w:szCs w:val="22"/>
        </w:rPr>
        <w:t xml:space="preserve">Informacinių technologijų ir plėtros tarnybos vyresnioji specialistė Sigita Riepšaitė, el. paštas </w:t>
      </w:r>
      <w:hyperlink r:id="rId15" w:history="1">
        <w:r w:rsidR="00514B52" w:rsidRPr="00514B52">
          <w:rPr>
            <w:rStyle w:val="Hipersaitas"/>
            <w:rFonts w:ascii="Times New Roman" w:hAnsi="Times New Roman" w:cs="Times New Roman"/>
            <w:color w:val="0070C0"/>
            <w:sz w:val="22"/>
            <w:szCs w:val="22"/>
            <w:u w:val="single"/>
          </w:rPr>
          <w:t>sigita. riepsaite@kul.lt</w:t>
        </w:r>
      </w:hyperlink>
      <w:r w:rsidR="00514B52">
        <w:rPr>
          <w:rFonts w:ascii="Times New Roman" w:hAnsi="Times New Roman" w:cs="Times New Roman"/>
          <w:sz w:val="22"/>
          <w:szCs w:val="22"/>
        </w:rPr>
        <w:t xml:space="preserve"> </w:t>
      </w:r>
      <w:r w:rsidR="00514B52" w:rsidRPr="00514B52">
        <w:rPr>
          <w:rFonts w:ascii="Times New Roman" w:hAnsi="Times New Roman" w:cs="Times New Roman"/>
          <w:sz w:val="22"/>
          <w:szCs w:val="22"/>
        </w:rPr>
        <w:t>, tel. Nr. (0 46) 394589</w:t>
      </w:r>
      <w:r w:rsidR="00B0133D" w:rsidRPr="00514B52">
        <w:rPr>
          <w:rStyle w:val="Hipersaitas"/>
          <w:rFonts w:ascii="Times New Roman" w:hAnsi="Times New Roman" w:cs="Times New Roman"/>
          <w:color w:val="0070C0"/>
          <w:sz w:val="22"/>
          <w:szCs w:val="22"/>
          <w:u w:val="single"/>
        </w:rPr>
        <w:t xml:space="preserve"> </w:t>
      </w:r>
      <w:r w:rsidR="00EF0267" w:rsidRPr="00514B52">
        <w:rPr>
          <w:rFonts w:ascii="Times New Roman" w:eastAsia="Calibri" w:hAnsi="Times New Roman" w:cs="Times New Roman"/>
          <w:sz w:val="22"/>
          <w:szCs w:val="22"/>
          <w14:ligatures w14:val="standardContextual"/>
        </w:rPr>
        <w:t xml:space="preserve"> </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B0133D">
        <w:rPr>
          <w:rFonts w:ascii="Times New Roman" w:hAnsi="Times New Roman" w:cs="Times New Roman"/>
          <w:b/>
          <w:bCs/>
          <w:sz w:val="22"/>
          <w:szCs w:val="22"/>
        </w:rPr>
        <w:t>Pirkimo objektas</w:t>
      </w:r>
      <w:bookmarkEnd w:id="4"/>
      <w:bookmarkEnd w:id="5"/>
      <w:bookmarkEnd w:id="6"/>
    </w:p>
    <w:p w14:paraId="0B7B0A50" w14:textId="3BEF4CEA" w:rsidR="00B41C66" w:rsidRPr="00B0133D" w:rsidRDefault="00B41C66"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514B52" w:rsidRPr="00514B52">
        <w:rPr>
          <w:rFonts w:ascii="Times New Roman" w:eastAsia="Calibri" w:hAnsi="Times New Roman" w:cs="Times New Roman"/>
          <w:color w:val="000000" w:themeColor="text1"/>
          <w:sz w:val="22"/>
          <w:szCs w:val="22"/>
        </w:rPr>
        <w:t>KONTO ir BONUS programų vystym</w:t>
      </w:r>
      <w:r w:rsidR="00514B52">
        <w:rPr>
          <w:rFonts w:ascii="Times New Roman" w:eastAsia="Calibri" w:hAnsi="Times New Roman" w:cs="Times New Roman"/>
          <w:color w:val="000000" w:themeColor="text1"/>
          <w:sz w:val="22"/>
          <w:szCs w:val="22"/>
        </w:rPr>
        <w:t>o</w:t>
      </w:r>
      <w:r w:rsidR="00514B52" w:rsidRPr="00514B52">
        <w:rPr>
          <w:rFonts w:ascii="Times New Roman" w:eastAsia="Calibri" w:hAnsi="Times New Roman" w:cs="Times New Roman"/>
          <w:color w:val="000000" w:themeColor="text1"/>
          <w:sz w:val="22"/>
          <w:szCs w:val="22"/>
        </w:rPr>
        <w:t xml:space="preserve"> ir priežiūros paslaug</w:t>
      </w:r>
      <w:r w:rsidR="00514B52">
        <w:rPr>
          <w:rFonts w:ascii="Times New Roman" w:eastAsia="Calibri" w:hAnsi="Times New Roman" w:cs="Times New Roman"/>
          <w:color w:val="000000" w:themeColor="text1"/>
          <w:sz w:val="22"/>
          <w:szCs w:val="22"/>
        </w:rPr>
        <w:t>a</w:t>
      </w:r>
      <w:r w:rsidR="00514B52" w:rsidRPr="00514B52">
        <w:rPr>
          <w:rFonts w:ascii="Times New Roman" w:eastAsia="Calibri" w:hAnsi="Times New Roman" w:cs="Times New Roman"/>
          <w:color w:val="000000" w:themeColor="text1"/>
          <w:sz w:val="22"/>
          <w:szCs w:val="22"/>
        </w:rPr>
        <w:t xml:space="preserve">s </w:t>
      </w:r>
      <w:r w:rsidR="00853456" w:rsidRPr="00B0133D">
        <w:rPr>
          <w:rFonts w:ascii="Times New Roman" w:eastAsia="Calibri" w:hAnsi="Times New Roman" w:cs="Times New Roman"/>
          <w:color w:val="000000" w:themeColor="text1"/>
          <w:sz w:val="22"/>
          <w:szCs w:val="22"/>
        </w:rPr>
        <w:t>(toliau – P</w:t>
      </w:r>
      <w:r w:rsidR="00514B52">
        <w:rPr>
          <w:rFonts w:ascii="Times New Roman" w:eastAsia="Calibri" w:hAnsi="Times New Roman" w:cs="Times New Roman"/>
          <w:color w:val="000000" w:themeColor="text1"/>
          <w:sz w:val="22"/>
          <w:szCs w:val="22"/>
        </w:rPr>
        <w:t>aslaugos</w:t>
      </w:r>
      <w:r w:rsidR="00853456" w:rsidRPr="00B0133D">
        <w:rPr>
          <w:rFonts w:ascii="Times New Roman" w:eastAsia="Calibri" w:hAnsi="Times New Roman" w:cs="Times New Roman"/>
          <w:color w:val="000000" w:themeColor="text1"/>
          <w:sz w:val="22"/>
          <w:szCs w:val="22"/>
        </w:rPr>
        <w:t>)</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dalyje</w:t>
      </w:r>
      <w:r w:rsidR="00514B52">
        <w:rPr>
          <w:rFonts w:ascii="Times New Roman" w:hAnsi="Times New Roman" w:cs="Times New Roman"/>
          <w:sz w:val="22"/>
          <w:szCs w:val="22"/>
        </w:rPr>
        <w:t xml:space="preserve"> ir 6 priede</w:t>
      </w:r>
      <w:r w:rsidR="008E3474" w:rsidRPr="00B0133D">
        <w:rPr>
          <w:rFonts w:ascii="Times New Roman" w:hAnsi="Times New Roman" w:cs="Times New Roman"/>
          <w:sz w:val="22"/>
          <w:szCs w:val="22"/>
        </w:rPr>
        <w:t xml:space="preserve"> </w:t>
      </w:r>
      <w:r w:rsidR="000D5661" w:rsidRPr="00B0133D">
        <w:rPr>
          <w:rFonts w:ascii="Times New Roman" w:hAnsi="Times New Roman" w:cs="Times New Roman"/>
          <w:sz w:val="22"/>
          <w:szCs w:val="22"/>
        </w:rPr>
        <w:t>– Techninėje specifikacijoje</w:t>
      </w:r>
      <w:r w:rsidRPr="00B0133D">
        <w:rPr>
          <w:rFonts w:ascii="Times New Roman" w:hAnsi="Times New Roman" w:cs="Times New Roman"/>
          <w:sz w:val="22"/>
          <w:szCs w:val="22"/>
        </w:rPr>
        <w:t>.</w:t>
      </w:r>
    </w:p>
    <w:p w14:paraId="56DC82B4" w14:textId="0F0331CD" w:rsidR="00151333" w:rsidRPr="00B645A2" w:rsidRDefault="00E4309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645A2">
        <w:rPr>
          <w:rFonts w:ascii="Times New Roman" w:hAnsi="Times New Roman" w:cs="Times New Roman"/>
          <w:sz w:val="22"/>
          <w:szCs w:val="22"/>
        </w:rPr>
        <w:t xml:space="preserve">Pirkimo objektas </w:t>
      </w:r>
      <w:r w:rsidR="00B0133D" w:rsidRPr="00B645A2">
        <w:rPr>
          <w:rFonts w:ascii="Times New Roman" w:hAnsi="Times New Roman" w:cs="Times New Roman"/>
          <w:sz w:val="22"/>
          <w:szCs w:val="22"/>
        </w:rPr>
        <w:t>į smulkesnes dalis ne</w:t>
      </w:r>
      <w:r w:rsidRPr="00B645A2">
        <w:rPr>
          <w:rFonts w:ascii="Times New Roman" w:hAnsi="Times New Roman" w:cs="Times New Roman"/>
          <w:sz w:val="22"/>
          <w:szCs w:val="22"/>
        </w:rPr>
        <w:t>skaidomas</w:t>
      </w:r>
      <w:r w:rsidR="00A13651" w:rsidRPr="00B645A2">
        <w:rPr>
          <w:rFonts w:ascii="Times New Roman" w:hAnsi="Times New Roman" w:cs="Times New Roman"/>
          <w:sz w:val="22"/>
          <w:szCs w:val="22"/>
        </w:rPr>
        <w:t xml:space="preserve"> </w:t>
      </w:r>
      <w:r w:rsidR="00B0133D" w:rsidRPr="00B645A2">
        <w:rPr>
          <w:rFonts w:ascii="Times New Roman" w:hAnsi="Times New Roman" w:cs="Times New Roman"/>
          <w:sz w:val="22"/>
          <w:szCs w:val="22"/>
        </w:rPr>
        <w:t>– perkam</w:t>
      </w:r>
      <w:r w:rsidR="00514B52" w:rsidRPr="00B645A2">
        <w:rPr>
          <w:rFonts w:ascii="Times New Roman" w:hAnsi="Times New Roman" w:cs="Times New Roman"/>
          <w:sz w:val="22"/>
          <w:szCs w:val="22"/>
        </w:rPr>
        <w:t>os Paslaugos ligoninės turimos apskaitos programos personalo valdymo moduliui, darbo laiko apskaitos moduliui, darbo užmokesčio skaičiavimo moduliui, darbuotojų ir vadovų savitarnai</w:t>
      </w:r>
      <w:r w:rsidR="00E13F75" w:rsidRPr="00B645A2">
        <w:rPr>
          <w:rFonts w:ascii="Times New Roman" w:hAnsi="Times New Roman" w:cs="Times New Roman"/>
          <w:sz w:val="22"/>
          <w:szCs w:val="22"/>
        </w:rPr>
        <w:t xml:space="preserve">, </w:t>
      </w:r>
      <w:r w:rsidR="00514B52" w:rsidRPr="00B645A2">
        <w:rPr>
          <w:rFonts w:ascii="Times New Roman" w:hAnsi="Times New Roman" w:cs="Times New Roman"/>
          <w:sz w:val="22"/>
          <w:szCs w:val="22"/>
        </w:rPr>
        <w:t xml:space="preserve">Didžiajai knygai, Kasai/Bankui, Atsiskaitymams; Pirkimams; Pardavimams; </w:t>
      </w:r>
      <w:proofErr w:type="spellStart"/>
      <w:r w:rsidR="00514B52" w:rsidRPr="00B645A2">
        <w:rPr>
          <w:rFonts w:ascii="Times New Roman" w:hAnsi="Times New Roman" w:cs="Times New Roman"/>
          <w:sz w:val="22"/>
          <w:szCs w:val="22"/>
        </w:rPr>
        <w:t>Ilgalaikiui</w:t>
      </w:r>
      <w:proofErr w:type="spellEnd"/>
      <w:r w:rsidR="00514B52" w:rsidRPr="00B645A2">
        <w:rPr>
          <w:rFonts w:ascii="Times New Roman" w:hAnsi="Times New Roman" w:cs="Times New Roman"/>
          <w:sz w:val="22"/>
          <w:szCs w:val="22"/>
        </w:rPr>
        <w:t xml:space="preserve"> turtui, Atsargoms. Skaidymas </w:t>
      </w:r>
      <w:r w:rsidR="00E13F75" w:rsidRPr="00B645A2">
        <w:rPr>
          <w:rFonts w:ascii="Times New Roman" w:hAnsi="Times New Roman" w:cs="Times New Roman"/>
          <w:sz w:val="22"/>
          <w:szCs w:val="22"/>
        </w:rPr>
        <w:t>į sudedamąsias dalis neturi jokios prasmės</w:t>
      </w:r>
      <w:r w:rsidR="00B0133D" w:rsidRPr="00B645A2">
        <w:rPr>
          <w:rFonts w:ascii="Times New Roman" w:hAnsi="Times New Roman" w:cs="Times New Roman"/>
          <w:sz w:val="22"/>
          <w:szCs w:val="22"/>
        </w:rPr>
        <w:t>.</w:t>
      </w:r>
    </w:p>
    <w:p w14:paraId="1F1387BE" w14:textId="15D15ED8" w:rsidR="007A0322" w:rsidRPr="00B0133D" w:rsidRDefault="00B645A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2C3E28">
        <w:rPr>
          <w:rFonts w:ascii="Times New Roman" w:hAnsi="Times New Roman" w:cs="Times New Roman"/>
          <w:sz w:val="22"/>
          <w:szCs w:val="22"/>
        </w:rPr>
        <w:t xml:space="preserve">Tiekėjo sutartiniai įsipareigojimai nuo prekių viešojo pirkimo – pardavimo sutarties įsigaliojimo dienos vykdomi </w:t>
      </w:r>
      <w:r>
        <w:rPr>
          <w:rFonts w:ascii="Times New Roman" w:hAnsi="Times New Roman" w:cs="Times New Roman"/>
          <w:sz w:val="22"/>
          <w:szCs w:val="22"/>
        </w:rPr>
        <w:t>12</w:t>
      </w:r>
      <w:r w:rsidRPr="002C3E28">
        <w:rPr>
          <w:rFonts w:ascii="Times New Roman" w:hAnsi="Times New Roman" w:cs="Times New Roman"/>
          <w:sz w:val="22"/>
          <w:szCs w:val="22"/>
        </w:rPr>
        <w:t xml:space="preserve"> mėnesi</w:t>
      </w:r>
      <w:r>
        <w:rPr>
          <w:rFonts w:ascii="Times New Roman" w:hAnsi="Times New Roman" w:cs="Times New Roman"/>
          <w:sz w:val="22"/>
          <w:szCs w:val="22"/>
        </w:rPr>
        <w:t>ų</w:t>
      </w:r>
      <w:r w:rsidR="00B0133D" w:rsidRPr="00B0133D">
        <w:rPr>
          <w:rFonts w:ascii="Times New Roman" w:hAnsi="Times New Roman" w:cs="Times New Roman"/>
          <w:sz w:val="22"/>
          <w:szCs w:val="22"/>
        </w:rPr>
        <w:t>.</w:t>
      </w:r>
    </w:p>
    <w:p w14:paraId="3EA5E3A6" w14:textId="13AE3AB1" w:rsidR="00FA4D72" w:rsidRPr="00B645A2" w:rsidRDefault="00B645A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645A2">
        <w:rPr>
          <w:rFonts w:ascii="Times New Roman" w:hAnsi="Times New Roman" w:cs="Times New Roman"/>
          <w:sz w:val="22"/>
          <w:szCs w:val="22"/>
        </w:rPr>
        <w:t>Paslaugų teikimo laikotarpiu nenupirkus 100 (šimto) procentų numatyto Paslaugų kiekio, Pirkimo sutartis abipusiu Šalių sutarimu gali būti pratęsiama ne ilgesniam kaip 6 (šešių) mėnesių laikotarpiui. Bendra Paslaugų teikimo trukmė, įskaitant pratęsimus, negali būti ilgesnė nei 18 mėnesių, skaičiuojant nuo Pirkimo sutarties įsigaliojimo datos</w:t>
      </w:r>
    </w:p>
    <w:p w14:paraId="0CA81FB8" w14:textId="4EA8D951" w:rsidR="00325243" w:rsidRPr="00B0133D" w:rsidRDefault="00E53E1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lastRenderedPageBreak/>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7178717" w14:textId="77777777" w:rsidR="00B645A2" w:rsidRPr="002868AD" w:rsidRDefault="00B645A2" w:rsidP="00B645A2">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2868A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CA65B51" w14:textId="08ECA973" w:rsidR="00B645A2" w:rsidRPr="00581CAC" w:rsidRDefault="00B645A2" w:rsidP="00B645A2">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 xml:space="preserve">Perkančioji organizacija laiko, kad pirkimo objektas (programinė įranga) kelia grėsmę nacionaliniam saugumui, jei ji atitinka VPĮ 37 straipsnio 9 dalies 1 ir (ar) 2 punkte numatytas sąlygas. Tiekėjai kartu su pasiūlymu turi pateikti Viešųjų pirkimų tarnybos nustatytos formos atitikties deklaraciją Specialiųjų sąlygų </w:t>
      </w:r>
      <w:r>
        <w:rPr>
          <w:rFonts w:ascii="Times New Roman" w:eastAsia="Times New Roman" w:hAnsi="Times New Roman" w:cs="Times New Roman"/>
          <w:b/>
          <w:bCs/>
          <w:sz w:val="22"/>
          <w:szCs w:val="22"/>
          <w:lang w:eastAsia="en-US"/>
        </w:rPr>
        <w:t>9</w:t>
      </w:r>
      <w:r w:rsidRPr="00C870BA">
        <w:rPr>
          <w:rFonts w:ascii="Times New Roman" w:eastAsia="Times New Roman" w:hAnsi="Times New Roman" w:cs="Times New Roman"/>
          <w:b/>
          <w:bCs/>
          <w:sz w:val="22"/>
          <w:szCs w:val="22"/>
          <w:lang w:eastAsia="en-US"/>
        </w:rPr>
        <w:t xml:space="preserve"> priedas „Nacionalinio saugumo reikalavimų atitikties deklaracija“</w:t>
      </w:r>
      <w:r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DF76C2F" w14:textId="3756BB2D" w:rsidR="00B645A2" w:rsidRPr="00B645A2" w:rsidRDefault="00B645A2" w:rsidP="00B645A2">
      <w:pPr>
        <w:pStyle w:val="Sraopastraipa"/>
        <w:numPr>
          <w:ilvl w:val="1"/>
          <w:numId w:val="1"/>
        </w:numPr>
        <w:spacing w:after="0" w:line="240" w:lineRule="auto"/>
        <w:ind w:left="0" w:firstLine="567"/>
        <w:jc w:val="both"/>
        <w:rPr>
          <w:rFonts w:ascii="Times New Roman" w:hAnsi="Times New Roman" w:cs="Times New Roman"/>
          <w:sz w:val="24"/>
          <w:szCs w:val="24"/>
        </w:rPr>
      </w:pPr>
      <w:r w:rsidRPr="00581CAC">
        <w:rPr>
          <w:rFonts w:ascii="Times New Roman" w:eastAsia="Times New Roman" w:hAnsi="Times New Roman" w:cs="Times New Roman"/>
          <w:sz w:val="22"/>
          <w:szCs w:val="22"/>
          <w:lang w:eastAsia="en-US"/>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w:t>
      </w:r>
      <w:r>
        <w:rPr>
          <w:rFonts w:ascii="Times New Roman" w:eastAsia="Times New Roman" w:hAnsi="Times New Roman" w:cs="Times New Roman"/>
          <w:b/>
          <w:bCs/>
          <w:sz w:val="22"/>
          <w:szCs w:val="22"/>
          <w:lang w:eastAsia="en-US"/>
        </w:rPr>
        <w:t>9</w:t>
      </w:r>
      <w:r w:rsidRPr="00C870BA">
        <w:rPr>
          <w:rFonts w:ascii="Times New Roman" w:eastAsia="Times New Roman" w:hAnsi="Times New Roman" w:cs="Times New Roman"/>
          <w:b/>
          <w:bCs/>
          <w:sz w:val="22"/>
          <w:szCs w:val="22"/>
          <w:lang w:eastAsia="en-US"/>
        </w:rPr>
        <w:t xml:space="preserve"> priedas „Nacionalinio saugumo reikalavimų atitikties deklaracija“</w:t>
      </w:r>
      <w:r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51 straipsnio 12 dalyje numatytą dokumentą.</w:t>
      </w:r>
      <w:r w:rsidRPr="00B645A2">
        <w:rPr>
          <w:rFonts w:ascii="Times New Roman" w:hAnsi="Times New Roman" w:cs="Times New Roman"/>
          <w:sz w:val="24"/>
          <w:szCs w:val="24"/>
        </w:rPr>
        <w:t xml:space="preserve"> </w:t>
      </w:r>
    </w:p>
    <w:p w14:paraId="16DBA43F" w14:textId="5EDB4DBA" w:rsidR="008416A0" w:rsidRPr="00B0133D" w:rsidRDefault="008416A0"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E54DEB">
      <w:pPr>
        <w:pStyle w:val="Sraopastraipa"/>
        <w:numPr>
          <w:ilvl w:val="2"/>
          <w:numId w:val="7"/>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E54DEB">
      <w:pPr>
        <w:pStyle w:val="Sraopastraipa"/>
        <w:numPr>
          <w:ilvl w:val="2"/>
          <w:numId w:val="8"/>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645A2"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580CF1D6" w14:textId="4BB02F16" w:rsidR="00B645A2" w:rsidRPr="00B0133D" w:rsidRDefault="00B645A2"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C870BA">
        <w:rPr>
          <w:rFonts w:ascii="Times New Roman" w:eastAsia="Times New Roman" w:hAnsi="Times New Roman" w:cs="Times New Roman"/>
          <w:b/>
          <w:bCs/>
          <w:sz w:val="22"/>
          <w:szCs w:val="22"/>
          <w:lang w:eastAsia="en-US"/>
        </w:rPr>
        <w:t>„Nacionalinio saugumo reikalavimų atitikties deklaracija“</w:t>
      </w:r>
      <w:r>
        <w:rPr>
          <w:rFonts w:ascii="Times New Roman" w:eastAsia="Times New Roman" w:hAnsi="Times New Roman" w:cs="Times New Roman"/>
          <w:b/>
          <w:bCs/>
          <w:sz w:val="22"/>
          <w:szCs w:val="22"/>
          <w:lang w:eastAsia="en-US"/>
        </w:rPr>
        <w:t xml:space="preserve">, </w:t>
      </w:r>
      <w:r>
        <w:rPr>
          <w:rFonts w:ascii="Times New Roman" w:hAnsi="Times New Roman" w:cs="Times New Roman"/>
          <w:sz w:val="22"/>
          <w:szCs w:val="22"/>
        </w:rPr>
        <w:t>parengta pagal</w:t>
      </w:r>
      <w:r w:rsidRPr="0045656C">
        <w:rPr>
          <w:rFonts w:ascii="Times New Roman" w:hAnsi="Times New Roman" w:cs="Times New Roman"/>
          <w:sz w:val="22"/>
          <w:szCs w:val="22"/>
        </w:rPr>
        <w:t xml:space="preserve"> </w:t>
      </w:r>
      <w:r>
        <w:rPr>
          <w:rFonts w:ascii="Times New Roman" w:hAnsi="Times New Roman" w:cs="Times New Roman"/>
          <w:sz w:val="22"/>
          <w:szCs w:val="22"/>
        </w:rPr>
        <w:t>9</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p>
    <w:p w14:paraId="7272F068" w14:textId="492D89DB" w:rsidR="00CA7345" w:rsidRPr="00B0133D" w:rsidRDefault="00CA7345" w:rsidP="00E54DEB">
      <w:pPr>
        <w:pStyle w:val="Sraopastraipa"/>
        <w:numPr>
          <w:ilvl w:val="2"/>
          <w:numId w:val="8"/>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r w:rsidRPr="00B0133D">
        <w:rPr>
          <w:rFonts w:ascii="Times New Roman" w:hAnsi="Times New Roman" w:cs="Times New Roman"/>
          <w:sz w:val="22"/>
          <w:szCs w:val="22"/>
        </w:rPr>
        <w:lastRenderedPageBreak/>
        <w:t>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770AAA">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770AAA">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770AAA">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3" w:name="_Toc159231059"/>
      <w:bookmarkEnd w:id="3"/>
      <w:r w:rsidRPr="00B0133D">
        <w:rPr>
          <w:rFonts w:ascii="Times New Roman" w:hAnsi="Times New Roman" w:cs="Times New Roman"/>
          <w:b/>
          <w:bCs/>
          <w:sz w:val="22"/>
          <w:szCs w:val="22"/>
        </w:rPr>
        <w:t>Kitos sąlygos</w:t>
      </w:r>
      <w:bookmarkEnd w:id="43"/>
    </w:p>
    <w:p w14:paraId="1FAFC44D"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6D41B3DA"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16004531"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7881FCAE" w14:textId="0C9D9F98" w:rsidR="00C87AB8" w:rsidRPr="00B0133D" w:rsidRDefault="008D704D" w:rsidP="00E13F75">
      <w:pPr>
        <w:shd w:val="clear" w:color="auto" w:fill="FFFFFF"/>
        <w:spacing w:after="0" w:line="233" w:lineRule="auto"/>
        <w:jc w:val="center"/>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E54DEB">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E54DEB">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BB639A" w:rsidRDefault="00FA78CB" w:rsidP="00BB639A">
      <w:pPr>
        <w:spacing w:after="0" w:line="240" w:lineRule="auto"/>
        <w:rPr>
          <w:rFonts w:ascii="Times New Roman" w:hAnsi="Times New Roman" w:cs="Times New Roman"/>
          <w:sz w:val="16"/>
          <w:szCs w:val="16"/>
        </w:rPr>
      </w:pPr>
    </w:p>
    <w:p w14:paraId="261C208C" w14:textId="77777777" w:rsidR="00770AAA" w:rsidRPr="00596FC9" w:rsidRDefault="00770AAA" w:rsidP="00B645A2">
      <w:pPr>
        <w:spacing w:after="120" w:line="240" w:lineRule="auto"/>
        <w:jc w:val="center"/>
        <w:rPr>
          <w:rFonts w:ascii="Times New Roman" w:eastAsia="Times New Roman" w:hAnsi="Times New Roman" w:cs="Times New Roman"/>
          <w:b/>
          <w:bCs/>
          <w:sz w:val="22"/>
          <w:szCs w:val="22"/>
        </w:rPr>
      </w:pPr>
      <w:bookmarkStart w:id="67" w:name="_Ref39586171"/>
      <w:bookmarkStart w:id="68" w:name="_Ref39673580"/>
      <w:bookmarkStart w:id="69" w:name="_Ref39674283"/>
      <w:r w:rsidRPr="00596FC9">
        <w:rPr>
          <w:rFonts w:ascii="Times New Roman" w:eastAsia="Times New Roman" w:hAnsi="Times New Roman" w:cs="Times New Roman"/>
          <w:b/>
          <w:bCs/>
          <w:sz w:val="22"/>
          <w:szCs w:val="22"/>
        </w:rPr>
        <w:t>TECHNINĖ SPECIFIKACIJA</w:t>
      </w:r>
    </w:p>
    <w:p w14:paraId="137CF241"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w:t>
      </w:r>
      <w:r w:rsidRPr="00B645A2">
        <w:rPr>
          <w:rFonts w:ascii="Times New Roman" w:hAnsi="Times New Roman" w:cs="Times New Roman"/>
          <w:sz w:val="22"/>
          <w:szCs w:val="22"/>
        </w:rPr>
        <w:tab/>
        <w:t>BONUS programos palaikymo ir aptarnavimo paslaugos teikiamos personalo valdymo moduliui, darbo laiko apskaitos moduliui, darbo užmokesčio skaičiavimo moduliui, darbuotojų ir vadovų savitarnai.</w:t>
      </w:r>
    </w:p>
    <w:p w14:paraId="3B667551"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2.</w:t>
      </w:r>
      <w:r w:rsidRPr="00B645A2">
        <w:rPr>
          <w:rFonts w:ascii="Times New Roman" w:hAnsi="Times New Roman" w:cs="Times New Roman"/>
          <w:sz w:val="22"/>
          <w:szCs w:val="22"/>
        </w:rPr>
        <w:tab/>
        <w:t>KONTO programų vystymas ir priežiūros paslaugos teikiamos moduliams: Didžioji knyga, Kasa/Bankas, Atsiskaitymai; Pirkimai; Pardavimai; Ilgalaikis turtas, Atsargos.</w:t>
      </w:r>
    </w:p>
    <w:p w14:paraId="64AF65C3"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3.</w:t>
      </w:r>
      <w:r w:rsidRPr="00B645A2">
        <w:rPr>
          <w:rFonts w:ascii="Times New Roman" w:hAnsi="Times New Roman" w:cs="Times New Roman"/>
          <w:sz w:val="22"/>
          <w:szCs w:val="22"/>
        </w:rPr>
        <w:tab/>
        <w:t>Palaikymo paslauga apima naujausias sistemos patobulinimo versijas.</w:t>
      </w:r>
    </w:p>
    <w:p w14:paraId="37DFD2AA" w14:textId="5F96F9F3" w:rsidR="00B645A2" w:rsidRPr="004B60DE" w:rsidRDefault="00B645A2" w:rsidP="00B645A2">
      <w:pPr>
        <w:tabs>
          <w:tab w:val="left" w:pos="567"/>
          <w:tab w:val="left" w:pos="851"/>
          <w:tab w:val="left" w:pos="1288"/>
        </w:tabs>
        <w:spacing w:after="0" w:line="233" w:lineRule="auto"/>
        <w:jc w:val="both"/>
        <w:rPr>
          <w:rFonts w:ascii="Times New Roman" w:hAnsi="Times New Roman" w:cs="Times New Roman"/>
          <w:color w:val="000000"/>
          <w:sz w:val="22"/>
          <w:szCs w:val="22"/>
        </w:rPr>
      </w:pPr>
      <w:r w:rsidRPr="00B645A2">
        <w:rPr>
          <w:rFonts w:ascii="Times New Roman" w:hAnsi="Times New Roman" w:cs="Times New Roman"/>
          <w:sz w:val="22"/>
          <w:szCs w:val="22"/>
        </w:rPr>
        <w:t>4.</w:t>
      </w:r>
      <w:r w:rsidRPr="00B645A2">
        <w:rPr>
          <w:rFonts w:ascii="Times New Roman" w:hAnsi="Times New Roman" w:cs="Times New Roman"/>
          <w:sz w:val="22"/>
          <w:szCs w:val="22"/>
        </w:rPr>
        <w:tab/>
      </w:r>
      <w:r w:rsidRPr="00B645A2">
        <w:rPr>
          <w:rFonts w:ascii="Times New Roman" w:hAnsi="Times New Roman" w:cs="Times New Roman"/>
          <w:color w:val="000000"/>
          <w:sz w:val="22"/>
          <w:szCs w:val="22"/>
        </w:rPr>
        <w:t xml:space="preserve">Paslaugos prieinamumas (angl. </w:t>
      </w:r>
      <w:proofErr w:type="spellStart"/>
      <w:r w:rsidRPr="00B645A2">
        <w:rPr>
          <w:rFonts w:ascii="Times New Roman" w:hAnsi="Times New Roman" w:cs="Times New Roman"/>
          <w:i/>
          <w:iCs/>
          <w:color w:val="000000"/>
          <w:sz w:val="22"/>
          <w:szCs w:val="22"/>
        </w:rPr>
        <w:t>Availability</w:t>
      </w:r>
      <w:proofErr w:type="spellEnd"/>
      <w:r w:rsidRPr="00B645A2">
        <w:rPr>
          <w:rFonts w:ascii="Times New Roman" w:hAnsi="Times New Roman" w:cs="Times New Roman"/>
          <w:color w:val="000000"/>
          <w:sz w:val="22"/>
          <w:szCs w:val="22"/>
        </w:rPr>
        <w:t xml:space="preserve">) - ne mažiau </w:t>
      </w:r>
      <w:r w:rsidRPr="004B60DE">
        <w:rPr>
          <w:rFonts w:ascii="Times New Roman" w:hAnsi="Times New Roman" w:cs="Times New Roman"/>
          <w:color w:val="000000"/>
          <w:sz w:val="22"/>
          <w:szCs w:val="22"/>
        </w:rPr>
        <w:t xml:space="preserve">kaip </w:t>
      </w:r>
      <w:r w:rsidR="004B60DE" w:rsidRPr="004B60DE">
        <w:rPr>
          <w:rFonts w:ascii="Times New Roman" w:hAnsi="Times New Roman" w:cs="Times New Roman"/>
          <w:sz w:val="22"/>
          <w:szCs w:val="22"/>
        </w:rPr>
        <w:t>99 proc. prieinamumo reikalavimas taikomas tai paslaugos daliai, kuri yra Tiekėjo kontrolėje“</w:t>
      </w:r>
      <w:r w:rsidRPr="004B60DE">
        <w:rPr>
          <w:rFonts w:ascii="Times New Roman" w:hAnsi="Times New Roman" w:cs="Times New Roman"/>
          <w:color w:val="000000"/>
          <w:sz w:val="22"/>
          <w:szCs w:val="22"/>
        </w:rPr>
        <w:t>.</w:t>
      </w:r>
    </w:p>
    <w:p w14:paraId="20A1A205"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5.</w:t>
      </w:r>
      <w:r w:rsidRPr="00B645A2">
        <w:rPr>
          <w:rFonts w:ascii="Times New Roman" w:hAnsi="Times New Roman" w:cs="Times New Roman"/>
          <w:sz w:val="22"/>
          <w:szCs w:val="22"/>
        </w:rPr>
        <w:tab/>
        <w:t>Palaikymo paslauga apima atnaujintų sistemos versijų, susijusių su klaidų taisymu (angl. „</w:t>
      </w:r>
      <w:proofErr w:type="spellStart"/>
      <w:r w:rsidRPr="00B645A2">
        <w:rPr>
          <w:rFonts w:ascii="Times New Roman" w:hAnsi="Times New Roman" w:cs="Times New Roman"/>
          <w:sz w:val="22"/>
          <w:szCs w:val="22"/>
        </w:rPr>
        <w:t>bug</w:t>
      </w:r>
      <w:proofErr w:type="spellEnd"/>
      <w:r w:rsidRPr="00B645A2">
        <w:rPr>
          <w:rFonts w:ascii="Times New Roman" w:hAnsi="Times New Roman" w:cs="Times New Roman"/>
          <w:sz w:val="22"/>
          <w:szCs w:val="22"/>
        </w:rPr>
        <w:t xml:space="preserve"> </w:t>
      </w:r>
      <w:proofErr w:type="spellStart"/>
      <w:r w:rsidRPr="00B645A2">
        <w:rPr>
          <w:rFonts w:ascii="Times New Roman" w:hAnsi="Times New Roman" w:cs="Times New Roman"/>
          <w:sz w:val="22"/>
          <w:szCs w:val="22"/>
        </w:rPr>
        <w:t>fix</w:t>
      </w:r>
      <w:proofErr w:type="spellEnd"/>
      <w:r w:rsidRPr="00B645A2">
        <w:rPr>
          <w:rFonts w:ascii="Times New Roman" w:hAnsi="Times New Roman" w:cs="Times New Roman"/>
          <w:sz w:val="22"/>
          <w:szCs w:val="22"/>
        </w:rPr>
        <w:t>“), išleidimo.</w:t>
      </w:r>
    </w:p>
    <w:p w14:paraId="73D1609F"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6.</w:t>
      </w:r>
      <w:r w:rsidRPr="00B645A2">
        <w:rPr>
          <w:rFonts w:ascii="Times New Roman" w:hAnsi="Times New Roman" w:cs="Times New Roman"/>
          <w:sz w:val="22"/>
          <w:szCs w:val="22"/>
        </w:rPr>
        <w:tab/>
        <w:t>Palaikymo paslauga apima sistemos suderinamumo užtikrinimo su aplinka, kurioje veikia sistema, kai sistema laikoma sistemos gamintojo rekomenduojamoje aplinkoje.</w:t>
      </w:r>
    </w:p>
    <w:p w14:paraId="4274A68D"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7.</w:t>
      </w:r>
      <w:r w:rsidRPr="00B645A2">
        <w:rPr>
          <w:rFonts w:ascii="Times New Roman" w:hAnsi="Times New Roman" w:cs="Times New Roman"/>
          <w:sz w:val="22"/>
          <w:szCs w:val="22"/>
        </w:rPr>
        <w:tab/>
        <w:t>Palaikymo paslauga apima sistemos klaidų, apimančių kodo, dizaino ir verslo logikos klaidas, taisymas (angl. „</w:t>
      </w:r>
      <w:proofErr w:type="spellStart"/>
      <w:r w:rsidRPr="00B645A2">
        <w:rPr>
          <w:rFonts w:ascii="Times New Roman" w:hAnsi="Times New Roman" w:cs="Times New Roman"/>
          <w:sz w:val="22"/>
          <w:szCs w:val="22"/>
        </w:rPr>
        <w:t>bug</w:t>
      </w:r>
      <w:proofErr w:type="spellEnd"/>
      <w:r w:rsidRPr="00B645A2">
        <w:rPr>
          <w:rFonts w:ascii="Times New Roman" w:hAnsi="Times New Roman" w:cs="Times New Roman"/>
          <w:sz w:val="22"/>
          <w:szCs w:val="22"/>
        </w:rPr>
        <w:t xml:space="preserve"> </w:t>
      </w:r>
      <w:proofErr w:type="spellStart"/>
      <w:r w:rsidRPr="00B645A2">
        <w:rPr>
          <w:rFonts w:ascii="Times New Roman" w:hAnsi="Times New Roman" w:cs="Times New Roman"/>
          <w:sz w:val="22"/>
          <w:szCs w:val="22"/>
        </w:rPr>
        <w:t>fix</w:t>
      </w:r>
      <w:proofErr w:type="spellEnd"/>
      <w:r w:rsidRPr="00B645A2">
        <w:rPr>
          <w:rFonts w:ascii="Times New Roman" w:hAnsi="Times New Roman" w:cs="Times New Roman"/>
          <w:sz w:val="22"/>
          <w:szCs w:val="22"/>
        </w:rPr>
        <w:t>“), kai šios klaidos yra taisomos ne naujos versijos išleidimo būdu.</w:t>
      </w:r>
    </w:p>
    <w:p w14:paraId="1026538E" w14:textId="2C940F8A"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8.</w:t>
      </w:r>
      <w:r w:rsidRPr="00B645A2">
        <w:rPr>
          <w:rFonts w:ascii="Times New Roman" w:hAnsi="Times New Roman" w:cs="Times New Roman"/>
          <w:sz w:val="22"/>
          <w:szCs w:val="22"/>
        </w:rPr>
        <w:tab/>
        <w:t>Palaikymo paslauga apima: Tiekėjo pagalbos tarnybos darbo laikas, darbo dienomis nuo 8:00 iki 1</w:t>
      </w:r>
      <w:r w:rsidR="004B60DE">
        <w:rPr>
          <w:rFonts w:ascii="Times New Roman" w:hAnsi="Times New Roman" w:cs="Times New Roman"/>
          <w:sz w:val="22"/>
          <w:szCs w:val="22"/>
        </w:rPr>
        <w:t>7</w:t>
      </w:r>
      <w:r w:rsidRPr="00B645A2">
        <w:rPr>
          <w:rFonts w:ascii="Times New Roman" w:hAnsi="Times New Roman" w:cs="Times New Roman"/>
          <w:sz w:val="22"/>
          <w:szCs w:val="22"/>
        </w:rPr>
        <w:t>:00,  galimybė registruoti pranešimus klientų aptarnavimo sistemoje visą parą 24x7x365.</w:t>
      </w:r>
    </w:p>
    <w:p w14:paraId="29602A61" w14:textId="635054AE"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9.</w:t>
      </w:r>
      <w:r w:rsidRPr="00B645A2">
        <w:rPr>
          <w:rFonts w:ascii="Times New Roman" w:hAnsi="Times New Roman" w:cs="Times New Roman"/>
          <w:sz w:val="22"/>
          <w:szCs w:val="22"/>
        </w:rPr>
        <w:tab/>
        <w:t>Programinės įrangos aptarnavimo ir priežiūros paslaugos turi būti teikiamos laikantis tokių reikalavimų pagal prioritetus ( 1.1.9- 1.1.12): Kritiniu atveju - programa neveikia (angl. „</w:t>
      </w:r>
      <w:proofErr w:type="spellStart"/>
      <w:r w:rsidRPr="00B645A2">
        <w:rPr>
          <w:rFonts w:ascii="Times New Roman" w:hAnsi="Times New Roman" w:cs="Times New Roman"/>
          <w:sz w:val="22"/>
          <w:szCs w:val="22"/>
        </w:rPr>
        <w:t>crash</w:t>
      </w:r>
      <w:proofErr w:type="spellEnd"/>
      <w:r w:rsidRPr="00B645A2">
        <w:rPr>
          <w:rFonts w:ascii="Times New Roman" w:hAnsi="Times New Roman" w:cs="Times New Roman"/>
          <w:sz w:val="22"/>
          <w:szCs w:val="22"/>
        </w:rPr>
        <w:t>“) arba neveikia programos funkcionalumas ir įstaiga dėl to negali tęsti savo veiklos, ir nėra alternatyvaus funkcionalumo (kelio) apėjimui arba duomenų praradimas ar duomenų sugadinimas ir įstaiga dėl to negali tęsti savo veiklos arba Atminties nutekėjimas (angl. „</w:t>
      </w:r>
      <w:proofErr w:type="spellStart"/>
      <w:r w:rsidRPr="00B645A2">
        <w:rPr>
          <w:rFonts w:ascii="Times New Roman" w:hAnsi="Times New Roman" w:cs="Times New Roman"/>
          <w:sz w:val="22"/>
          <w:szCs w:val="22"/>
        </w:rPr>
        <w:t>Memory</w:t>
      </w:r>
      <w:proofErr w:type="spellEnd"/>
      <w:r w:rsidRPr="00B645A2">
        <w:rPr>
          <w:rFonts w:ascii="Times New Roman" w:hAnsi="Times New Roman" w:cs="Times New Roman"/>
          <w:sz w:val="22"/>
          <w:szCs w:val="22"/>
        </w:rPr>
        <w:t xml:space="preserve"> </w:t>
      </w:r>
      <w:proofErr w:type="spellStart"/>
      <w:r w:rsidRPr="00B645A2">
        <w:rPr>
          <w:rFonts w:ascii="Times New Roman" w:hAnsi="Times New Roman" w:cs="Times New Roman"/>
          <w:sz w:val="22"/>
          <w:szCs w:val="22"/>
        </w:rPr>
        <w:t>leak</w:t>
      </w:r>
      <w:proofErr w:type="spellEnd"/>
      <w:r w:rsidRPr="00B645A2">
        <w:rPr>
          <w:rFonts w:ascii="Times New Roman" w:hAnsi="Times New Roman" w:cs="Times New Roman"/>
          <w:sz w:val="22"/>
          <w:szCs w:val="22"/>
        </w:rPr>
        <w:t>“)  - reakcijos laikas ne daugiau 2 val., sprendimo laikas ne daugiau 4 val.</w:t>
      </w:r>
    </w:p>
    <w:p w14:paraId="6946A321"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color w:val="000000"/>
          <w:sz w:val="22"/>
          <w:szCs w:val="22"/>
        </w:rPr>
      </w:pPr>
      <w:r w:rsidRPr="00B645A2">
        <w:rPr>
          <w:rFonts w:ascii="Times New Roman" w:hAnsi="Times New Roman" w:cs="Times New Roman"/>
          <w:sz w:val="22"/>
          <w:szCs w:val="22"/>
        </w:rPr>
        <w:t>10.</w:t>
      </w:r>
      <w:r w:rsidRPr="00B645A2">
        <w:rPr>
          <w:rFonts w:ascii="Times New Roman" w:hAnsi="Times New Roman" w:cs="Times New Roman"/>
          <w:sz w:val="22"/>
          <w:szCs w:val="22"/>
        </w:rPr>
        <w:tab/>
      </w:r>
      <w:r w:rsidRPr="00B645A2">
        <w:rPr>
          <w:rFonts w:ascii="Times New Roman" w:hAnsi="Times New Roman" w:cs="Times New Roman"/>
          <w:color w:val="000000"/>
          <w:sz w:val="22"/>
          <w:szCs w:val="22"/>
        </w:rPr>
        <w:t>Svarbiu atveju - dalis programos funkcionalumo neveikia arba duoda klaidingą rezultatą ir įstaiga gali tęsti savo veiklą, tačiau po 3 (trijų) ar mažiau darbo dienų negalės tęsti savo veiklos, ir nėra alternatyvaus funkcionalumo (kelio) apėjimui arba neveikia programos funkcionalumas, neveikiantis (netinkamai veikiantis) funkcionalumas yra skirtas įgyvendinti esminį Kliento veiklos procesą ir nėra alternatyvaus funkcionalumo (kelio) apėjimui. Duomenų praradimas ar duomenų sugadinimas nors įstaiga dėl to gali tęsti savo veiklą - reakcijos laikas ne daugiau kaip 4 val., sprendimo laikas ne daugiau 8 val.</w:t>
      </w:r>
    </w:p>
    <w:p w14:paraId="00F12C6D" w14:textId="13A46402"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color w:val="000000"/>
          <w:sz w:val="22"/>
          <w:szCs w:val="22"/>
        </w:rPr>
      </w:pPr>
      <w:r w:rsidRPr="00B645A2">
        <w:rPr>
          <w:rFonts w:ascii="Times New Roman" w:hAnsi="Times New Roman" w:cs="Times New Roman"/>
          <w:sz w:val="22"/>
          <w:szCs w:val="22"/>
        </w:rPr>
        <w:t>11.</w:t>
      </w:r>
      <w:r w:rsidRPr="00B645A2">
        <w:rPr>
          <w:rFonts w:ascii="Times New Roman" w:hAnsi="Times New Roman" w:cs="Times New Roman"/>
          <w:sz w:val="22"/>
          <w:szCs w:val="22"/>
        </w:rPr>
        <w:tab/>
      </w:r>
      <w:r w:rsidRPr="00B645A2">
        <w:rPr>
          <w:rFonts w:ascii="Times New Roman" w:hAnsi="Times New Roman" w:cs="Times New Roman"/>
          <w:color w:val="000000"/>
          <w:sz w:val="22"/>
          <w:szCs w:val="22"/>
        </w:rPr>
        <w:t>Vidutinio prioriteto atveju - dalis programos funkcionalumo neveikia arba duoda klaidingą rezultatą, įstaiga gali vykdyti savo veiklą ir neveikiantis (netinkamai veikiantis) funkcionalumas nėra skirtas įgyvendinti esminį Kliento veiklos procesą  arba dalis programos funkcionalumo neveikia arba duoda klaidingą rezultatą, tačiau yra alternatyvus funkcionalumas (kelias) apėjimui arba</w:t>
      </w:r>
    </w:p>
    <w:p w14:paraId="3F41EFB8"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color w:val="000000"/>
          <w:sz w:val="22"/>
          <w:szCs w:val="22"/>
        </w:rPr>
      </w:pPr>
      <w:r w:rsidRPr="00B645A2">
        <w:rPr>
          <w:rFonts w:ascii="Times New Roman" w:hAnsi="Times New Roman" w:cs="Times New Roman"/>
          <w:color w:val="000000"/>
          <w:sz w:val="22"/>
          <w:szCs w:val="22"/>
        </w:rPr>
        <w:t>Neteisingas PROGRAMOS „elgesys“ neįtakojantis rezultatų teisingumo - reakcijos laikas ne daugiau kaip 6 val., sprendimo laikas ne daugiau 16 val.</w:t>
      </w:r>
    </w:p>
    <w:p w14:paraId="5F96406E"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color w:val="000000"/>
          <w:sz w:val="22"/>
          <w:szCs w:val="22"/>
        </w:rPr>
      </w:pPr>
      <w:r w:rsidRPr="00B645A2">
        <w:rPr>
          <w:rFonts w:ascii="Times New Roman" w:hAnsi="Times New Roman" w:cs="Times New Roman"/>
          <w:sz w:val="22"/>
          <w:szCs w:val="22"/>
        </w:rPr>
        <w:t>12.</w:t>
      </w:r>
      <w:r w:rsidRPr="00B645A2">
        <w:rPr>
          <w:rFonts w:ascii="Times New Roman" w:hAnsi="Times New Roman" w:cs="Times New Roman"/>
          <w:sz w:val="22"/>
          <w:szCs w:val="22"/>
        </w:rPr>
        <w:tab/>
      </w:r>
      <w:r w:rsidRPr="00B645A2">
        <w:rPr>
          <w:rFonts w:ascii="Times New Roman" w:hAnsi="Times New Roman" w:cs="Times New Roman"/>
          <w:color w:val="000000"/>
          <w:sz w:val="22"/>
          <w:szCs w:val="22"/>
        </w:rPr>
        <w:t>Mažo prioriteto atveju - nereikalaujantys skubaus sprendimo ir (arba) nesudėtingi laikini programinės įrangos sutrikimai - reakcijos laikas ne daugiau kaip 8 val., sprendimo laikas ne daugiau 32 val.</w:t>
      </w:r>
    </w:p>
    <w:p w14:paraId="2232B86B"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13.</w:t>
      </w:r>
      <w:r w:rsidRPr="00B645A2">
        <w:rPr>
          <w:rFonts w:ascii="Times New Roman" w:hAnsi="Times New Roman" w:cs="Times New Roman"/>
          <w:sz w:val="22"/>
          <w:szCs w:val="22"/>
        </w:rPr>
        <w:tab/>
        <w:t>Aptarnavimo paslauga apima sistemos naudotojų konsultavimą, duomenų tikrinimą, atnaujinimą.</w:t>
      </w:r>
    </w:p>
    <w:p w14:paraId="0ED9AF66"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14.</w:t>
      </w:r>
      <w:r w:rsidRPr="00B645A2">
        <w:rPr>
          <w:rFonts w:ascii="Times New Roman" w:hAnsi="Times New Roman" w:cs="Times New Roman"/>
          <w:sz w:val="22"/>
          <w:szCs w:val="22"/>
        </w:rPr>
        <w:tab/>
        <w:t>Aptarnavimo paslauga apima klientų aptarnavimo sistemoje  talpinamas naujienas, susijusias su sistemos naudojimu.</w:t>
      </w:r>
    </w:p>
    <w:p w14:paraId="502A9D51"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15.</w:t>
      </w:r>
      <w:r w:rsidRPr="00B645A2">
        <w:rPr>
          <w:rFonts w:ascii="Times New Roman" w:hAnsi="Times New Roman" w:cs="Times New Roman"/>
          <w:sz w:val="22"/>
          <w:szCs w:val="22"/>
        </w:rPr>
        <w:tab/>
        <w:t xml:space="preserve">Aptarnavimo paslauga apima: klientui suteikiama konsultacija per </w:t>
      </w:r>
      <w:proofErr w:type="spellStart"/>
      <w:r w:rsidRPr="00B645A2">
        <w:rPr>
          <w:rFonts w:ascii="Times New Roman" w:hAnsi="Times New Roman" w:cs="Times New Roman"/>
          <w:sz w:val="22"/>
          <w:szCs w:val="22"/>
        </w:rPr>
        <w:t>HelpDesk</w:t>
      </w:r>
      <w:proofErr w:type="spellEnd"/>
      <w:r w:rsidRPr="00B645A2">
        <w:rPr>
          <w:rFonts w:ascii="Times New Roman" w:hAnsi="Times New Roman" w:cs="Times New Roman"/>
          <w:sz w:val="22"/>
          <w:szCs w:val="22"/>
        </w:rPr>
        <w:t xml:space="preserve"> sistemą arba prisijungus prie kliento sistemos ar kliento darbo vietos.</w:t>
      </w:r>
    </w:p>
    <w:p w14:paraId="0DE20E49"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16.</w:t>
      </w:r>
      <w:r w:rsidRPr="00B645A2">
        <w:rPr>
          <w:rFonts w:ascii="Times New Roman" w:hAnsi="Times New Roman" w:cs="Times New Roman"/>
          <w:sz w:val="22"/>
          <w:szCs w:val="22"/>
        </w:rPr>
        <w:tab/>
        <w:t>Aptarnavimo paslauga apima: klientui suteikiama konsultacija telefonu (nesijungiant prie kliento darbo vietos ar sistemos).</w:t>
      </w:r>
    </w:p>
    <w:p w14:paraId="344AC28A"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17.</w:t>
      </w:r>
      <w:r w:rsidRPr="00B645A2">
        <w:rPr>
          <w:rFonts w:ascii="Times New Roman" w:hAnsi="Times New Roman" w:cs="Times New Roman"/>
          <w:sz w:val="22"/>
          <w:szCs w:val="22"/>
        </w:rPr>
        <w:tab/>
        <w:t>Aptarnavimo paslauga apima: klientui atnaujinama sistema (instaliuojama nauja sistemos versija). Į paslaugos apimtį įeina ir paslaugų teikėjo atliekamas sistemos pasileidimo testavimas po atnaujinimo.</w:t>
      </w:r>
    </w:p>
    <w:p w14:paraId="3315EE91" w14:textId="77777777" w:rsidR="00B645A2" w:rsidRPr="00B645A2"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18</w:t>
      </w:r>
      <w:r w:rsidRPr="00B645A2">
        <w:rPr>
          <w:rFonts w:ascii="Times New Roman" w:hAnsi="Times New Roman" w:cs="Times New Roman"/>
          <w:sz w:val="22"/>
          <w:szCs w:val="22"/>
        </w:rPr>
        <w:tab/>
      </w:r>
      <w:r w:rsidRPr="00B645A2">
        <w:rPr>
          <w:rFonts w:ascii="Times New Roman" w:hAnsi="Times New Roman" w:cs="Times New Roman"/>
          <w:sz w:val="22"/>
          <w:szCs w:val="22"/>
        </w:rPr>
        <w:tab/>
        <w:t>Aptarnavimo paslauga apima: tikrinami duomenys ieškant juose netikslumų, koreguojami netikslūs duomenys ir panašiai. Jeigu tikrinimo metu paaiškėja, kad duomenys nekorektiški dėl sistemos klaidų, tai vertinama kaip palaikymo paslaugų dalis, tad nėra apmokestinama papildomai.</w:t>
      </w:r>
    </w:p>
    <w:p w14:paraId="761ACCB1" w14:textId="6C072CD6" w:rsidR="00B645A2" w:rsidRPr="004B60DE" w:rsidRDefault="00B645A2" w:rsidP="00B645A2">
      <w:pPr>
        <w:tabs>
          <w:tab w:val="left" w:pos="567"/>
          <w:tab w:val="left" w:pos="851"/>
          <w:tab w:val="left" w:pos="1288"/>
        </w:tabs>
        <w:spacing w:after="0" w:line="233" w:lineRule="auto"/>
        <w:jc w:val="both"/>
        <w:rPr>
          <w:rFonts w:ascii="Times New Roman" w:hAnsi="Times New Roman" w:cs="Times New Roman"/>
          <w:sz w:val="22"/>
          <w:szCs w:val="22"/>
        </w:rPr>
      </w:pPr>
      <w:r w:rsidRPr="00B645A2">
        <w:rPr>
          <w:rFonts w:ascii="Times New Roman" w:hAnsi="Times New Roman" w:cs="Times New Roman"/>
          <w:sz w:val="22"/>
          <w:szCs w:val="22"/>
        </w:rPr>
        <w:t>19.</w:t>
      </w:r>
      <w:r w:rsidRPr="00B645A2">
        <w:rPr>
          <w:rFonts w:ascii="Times New Roman" w:hAnsi="Times New Roman" w:cs="Times New Roman"/>
          <w:sz w:val="22"/>
          <w:szCs w:val="22"/>
        </w:rPr>
        <w:tab/>
        <w:t>Aptarnavimo paslauga apima: kliento naudojamų parametrų konfigūravimas, reikalingas dėl LR įstatymų pasikeitimo. Koreguojant esamus šablonus, koreguojamos formulės, keičiami esami sistemos nustatymai, keičiami sistemos parametrai. Konfigūravimo paslaugos apima tik tas paslaugas, kurias galima atlikti Sistemos priemonėmis be programavimo.</w:t>
      </w:r>
    </w:p>
    <w:p w14:paraId="459DA53B" w14:textId="69D7B76B" w:rsidR="00311EC3" w:rsidRDefault="00B645A2"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r w:rsidRPr="00B645A2">
        <w:rPr>
          <w:rFonts w:ascii="Times New Roman" w:hAnsi="Times New Roman" w:cs="Times New Roman"/>
          <w:sz w:val="22"/>
          <w:szCs w:val="22"/>
        </w:rPr>
        <w:t>21.</w:t>
      </w:r>
      <w:r w:rsidRPr="00B645A2">
        <w:rPr>
          <w:rFonts w:ascii="Times New Roman" w:hAnsi="Times New Roman" w:cs="Times New Roman"/>
          <w:sz w:val="22"/>
          <w:szCs w:val="22"/>
        </w:rPr>
        <w:tab/>
      </w:r>
      <w:r w:rsidRPr="00B645A2">
        <w:rPr>
          <w:rFonts w:ascii="Times New Roman" w:hAnsi="Times New Roman" w:cs="Times New Roman"/>
          <w:color w:val="000000"/>
          <w:sz w:val="22"/>
          <w:szCs w:val="22"/>
        </w:rPr>
        <w:t>Ataskaitų teikimo dažnumas: kas mėnesį teikiamos ataskaitos apie paslaugos veikimą, incidentus ir SLA laikymąsi.</w:t>
      </w:r>
      <w:r w:rsidR="00311EC3">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7BA5912F" w:rsidR="00BB639A"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19BFB548" w14:textId="77777777" w:rsidR="00BB639A" w:rsidRDefault="00BB639A">
      <w:pPr>
        <w:rPr>
          <w:rFonts w:ascii="Times New Roman" w:hAnsi="Times New Roman" w:cs="Times New Roman"/>
          <w:sz w:val="24"/>
          <w:szCs w:val="24"/>
        </w:rPr>
      </w:pPr>
      <w:r>
        <w:rPr>
          <w:rFonts w:ascii="Times New Roman" w:hAnsi="Times New Roman" w:cs="Times New Roman"/>
          <w:sz w:val="24"/>
          <w:szCs w:val="24"/>
        </w:rPr>
        <w:br w:type="page"/>
      </w:r>
    </w:p>
    <w:p w14:paraId="5061F6EA" w14:textId="77777777" w:rsidR="00BB639A" w:rsidRPr="00BB639A" w:rsidRDefault="00BB639A" w:rsidP="00BB639A">
      <w:pPr>
        <w:pStyle w:val="Antrat1"/>
        <w:spacing w:before="240"/>
        <w:jc w:val="right"/>
        <w:rPr>
          <w:rFonts w:ascii="Times New Roman" w:eastAsia="Calibri" w:hAnsi="Times New Roman" w:cs="Times New Roman"/>
          <w:b/>
          <w:bCs/>
          <w:color w:val="auto"/>
          <w:sz w:val="22"/>
          <w:szCs w:val="22"/>
        </w:rPr>
      </w:pPr>
      <w:bookmarkStart w:id="73" w:name="_Toc161925474"/>
      <w:r w:rsidRPr="00BB639A">
        <w:rPr>
          <w:rFonts w:ascii="Times New Roman" w:eastAsia="Calibri" w:hAnsi="Times New Roman" w:cs="Times New Roman"/>
          <w:b/>
          <w:bCs/>
          <w:color w:val="auto"/>
          <w:sz w:val="22"/>
          <w:szCs w:val="22"/>
        </w:rPr>
        <w:lastRenderedPageBreak/>
        <w:t>3 priedas „Nacionalinio saugumo reikalavimų atitikties deklaracija“</w:t>
      </w:r>
      <w:bookmarkEnd w:id="73"/>
    </w:p>
    <w:p w14:paraId="594A57D5"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p>
    <w:p w14:paraId="141864A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Nacionalinio saugumo reikalavimų atitikties </w:t>
      </w:r>
    </w:p>
    <w:p w14:paraId="06D9AE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deklaracijos tipinė forma, patvirtinta Viešųjų </w:t>
      </w:r>
    </w:p>
    <w:p w14:paraId="6803D8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pirkimų tarnybos direktoriaus 2022 m. </w:t>
      </w:r>
    </w:p>
    <w:p w14:paraId="769158A7"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gruodžio 29 d. įsakymu Nr. 1S-233</w:t>
      </w:r>
    </w:p>
    <w:p w14:paraId="41030730"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20"/>
        </w:rPr>
      </w:pPr>
    </w:p>
    <w:p w14:paraId="2C37947B"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18"/>
          <w:szCs w:val="18"/>
        </w:rPr>
      </w:pPr>
      <w:r w:rsidRPr="00BB639A">
        <w:rPr>
          <w:rFonts w:ascii="Times New Roman" w:hAnsi="Times New Roman" w:cs="Times New Roman"/>
          <w:b/>
          <w:sz w:val="18"/>
          <w:szCs w:val="18"/>
        </w:rPr>
        <w:t>(Nacionalinio saugumo reikalavimų atitikties deklaracijos tipinė forma)</w:t>
      </w:r>
    </w:p>
    <w:p w14:paraId="6B47F691"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hAnsi="Times New Roman" w:cs="Times New Roman"/>
        </w:rPr>
      </w:pPr>
      <w:r w:rsidRPr="00BB639A">
        <w:rPr>
          <w:rFonts w:ascii="Times New Roman" w:eastAsia="Calibri" w:hAnsi="Times New Roman" w:cs="Times New Roman"/>
        </w:rPr>
        <w:tab/>
      </w:r>
    </w:p>
    <w:p w14:paraId="42CB083F" w14:textId="77777777" w:rsidR="00BB639A" w:rsidRPr="00BB639A" w:rsidRDefault="00BB639A" w:rsidP="00BB639A">
      <w:pPr>
        <w:shd w:val="clear" w:color="auto" w:fill="FFFFFF"/>
        <w:suppressAutoHyphens/>
        <w:spacing w:after="0" w:line="240" w:lineRule="auto"/>
        <w:ind w:right="-178"/>
        <w:jc w:val="center"/>
        <w:rPr>
          <w:rFonts w:ascii="Times New Roman" w:hAnsi="Times New Roman" w:cs="Times New Roman"/>
          <w:sz w:val="20"/>
        </w:rPr>
      </w:pPr>
      <w:r w:rsidRPr="00BB639A">
        <w:rPr>
          <w:rFonts w:ascii="Times New Roman" w:hAnsi="Times New Roman" w:cs="Times New Roman"/>
          <w:sz w:val="20"/>
        </w:rPr>
        <w:t>(</w:t>
      </w:r>
      <w:r w:rsidRPr="00BB639A">
        <w:rPr>
          <w:rFonts w:ascii="Times New Roman" w:hAnsi="Times New Roman" w:cs="Times New Roman"/>
          <w:i/>
          <w:iCs/>
          <w:sz w:val="20"/>
        </w:rPr>
        <w:t>tiekėjo pavadinimas</w:t>
      </w:r>
      <w:r w:rsidRPr="00BB639A">
        <w:rPr>
          <w:rFonts w:ascii="Times New Roman" w:hAnsi="Times New Roman" w:cs="Times New Roman"/>
          <w:sz w:val="20"/>
        </w:rPr>
        <w:t>)</w:t>
      </w:r>
    </w:p>
    <w:p w14:paraId="02081E33"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BB639A">
        <w:rPr>
          <w:rFonts w:ascii="Times New Roman" w:eastAsia="Calibri" w:hAnsi="Times New Roman" w:cs="Times New Roman"/>
        </w:rPr>
        <w:tab/>
      </w:r>
    </w:p>
    <w:p w14:paraId="0C7B3EAE" w14:textId="77777777" w:rsidR="00BB639A" w:rsidRPr="00BB639A" w:rsidRDefault="00BB639A" w:rsidP="00BB639A">
      <w:pPr>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iCs/>
          <w:sz w:val="20"/>
        </w:rPr>
        <w:t>(</w:t>
      </w:r>
      <w:r w:rsidRPr="00BB639A">
        <w:rPr>
          <w:rFonts w:ascii="Times New Roman" w:eastAsia="Calibri" w:hAnsi="Times New Roman" w:cs="Times New Roman"/>
          <w:i/>
          <w:sz w:val="20"/>
        </w:rPr>
        <w:t>adresatas (perkančiosios organizacijos / perkančiojo subjekto pavadinimas</w:t>
      </w:r>
      <w:r w:rsidRPr="00BB639A">
        <w:rPr>
          <w:rFonts w:ascii="Times New Roman" w:eastAsia="Calibri" w:hAnsi="Times New Roman" w:cs="Times New Roman"/>
          <w:iCs/>
          <w:sz w:val="20"/>
        </w:rPr>
        <w:t>)</w:t>
      </w:r>
    </w:p>
    <w:p w14:paraId="6F205CDF"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rPr>
      </w:pPr>
    </w:p>
    <w:p w14:paraId="4797C8AB"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b/>
          <w:bCs/>
        </w:rPr>
        <w:t>NACIONALINIO SAUGUMO REIKALAVIMŲ ATITIKTIES DEKLARACIJA</w:t>
      </w:r>
    </w:p>
    <w:p w14:paraId="24FA27C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2BD5E1F4"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20__ m._____________ d. Nr. ______</w:t>
      </w:r>
    </w:p>
    <w:p w14:paraId="474A187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__________________________</w:t>
      </w:r>
    </w:p>
    <w:p w14:paraId="009A853A"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sz w:val="18"/>
          <w:szCs w:val="18"/>
        </w:rPr>
      </w:pPr>
      <w:r w:rsidRPr="00BB639A">
        <w:rPr>
          <w:rFonts w:ascii="Times New Roman" w:eastAsia="Calibri" w:hAnsi="Times New Roman" w:cs="Times New Roman"/>
          <w:i/>
          <w:iCs/>
          <w:sz w:val="18"/>
          <w:szCs w:val="18"/>
        </w:rPr>
        <w:t>(Sudarymo vieta)</w:t>
      </w:r>
    </w:p>
    <w:p w14:paraId="42F5A151" w14:textId="77777777" w:rsidR="00BB639A" w:rsidRPr="00BB639A" w:rsidRDefault="00BB639A" w:rsidP="00BB639A">
      <w:pPr>
        <w:spacing w:after="0" w:line="240" w:lineRule="auto"/>
        <w:ind w:firstLine="567"/>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Aš, _____________________________________________________________________________ ,</w:t>
      </w:r>
    </w:p>
    <w:p w14:paraId="643A7073" w14:textId="77777777" w:rsidR="00BB639A" w:rsidRPr="00BB639A" w:rsidRDefault="00BB639A" w:rsidP="00BB639A">
      <w:pPr>
        <w:spacing w:after="0" w:line="240" w:lineRule="auto"/>
        <w:ind w:left="958" w:firstLine="318"/>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(tiekėjo vadovo ar jo įgalioto asmens pareigų pavadinimas, vardas ir pavardė)</w:t>
      </w:r>
    </w:p>
    <w:p w14:paraId="30F8D0C8"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patvirtinu, kad mano vadovaujamas (-a) (atstovaujamas (-a))_____________________________________ ,</w:t>
      </w:r>
    </w:p>
    <w:p w14:paraId="546E5CCD" w14:textId="77777777" w:rsidR="00BB639A" w:rsidRPr="00BB639A" w:rsidRDefault="00BB639A" w:rsidP="00BB639A">
      <w:pPr>
        <w:spacing w:after="0" w:line="240" w:lineRule="auto"/>
        <w:ind w:left="5642" w:firstLine="743"/>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 xml:space="preserve">(tiekėjo pavadinimas)    </w:t>
      </w:r>
    </w:p>
    <w:p w14:paraId="28EAFDA4" w14:textId="1C0E4889"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dalyvaujantis (-i)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t>Viešosios įstaigos Klaipėdos universiteto ligoninės</w:t>
      </w:r>
      <w:r w:rsidRPr="00BB639A">
        <w:rPr>
          <w:rFonts w:ascii="Times New Roman" w:hAnsi="Times New Roman" w:cs="Times New Roman"/>
          <w:color w:val="000000"/>
          <w:sz w:val="22"/>
          <w:szCs w:val="22"/>
          <w:u w:val="single"/>
        </w:rPr>
        <w:tab/>
      </w:r>
    </w:p>
    <w:p w14:paraId="5A1135E6" w14:textId="77777777" w:rsidR="00BB639A" w:rsidRPr="00BB639A" w:rsidRDefault="00BB639A" w:rsidP="00BB639A">
      <w:pPr>
        <w:spacing w:after="0" w:line="240" w:lineRule="auto"/>
        <w:ind w:left="2041" w:firstLine="369"/>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(perkančiosios organizacijos / perkančiojo subjekto pavadinimas)</w:t>
      </w:r>
    </w:p>
    <w:p w14:paraId="614D90AB" w14:textId="036C6EB6"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vykdomame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 xml:space="preserve"> </w:t>
      </w:r>
    </w:p>
    <w:p w14:paraId="77B3E156" w14:textId="77777777" w:rsidR="00BB639A" w:rsidRPr="00BB639A" w:rsidRDefault="00BB639A" w:rsidP="00BB639A">
      <w:pPr>
        <w:spacing w:after="0" w:line="240" w:lineRule="auto"/>
        <w:jc w:val="center"/>
        <w:rPr>
          <w:rFonts w:ascii="Times New Roman" w:hAnsi="Times New Roman" w:cs="Times New Roman"/>
          <w:color w:val="000000"/>
          <w:sz w:val="18"/>
          <w:szCs w:val="18"/>
          <w:u w:val="single"/>
        </w:rPr>
      </w:pPr>
      <w:r w:rsidRPr="00BB639A">
        <w:rPr>
          <w:rFonts w:ascii="Times New Roman" w:hAnsi="Times New Roman" w:cs="Times New Roman"/>
          <w:i/>
          <w:iCs/>
          <w:color w:val="000000"/>
          <w:sz w:val="18"/>
          <w:szCs w:val="18"/>
        </w:rPr>
        <w:t>(pirkimo objekto pavadinimas, pirkimo numeris, pirkimo paskelbimo CVP IS data</w:t>
      </w:r>
      <w:r w:rsidRPr="00BB639A">
        <w:rPr>
          <w:rFonts w:ascii="Times New Roman" w:hAnsi="Times New Roman" w:cs="Times New Roman"/>
          <w:color w:val="000000"/>
          <w:sz w:val="18"/>
          <w:szCs w:val="18"/>
        </w:rPr>
        <w:t>)</w:t>
      </w:r>
    </w:p>
    <w:p w14:paraId="4AD88BB0"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atitinka toliau nurodomus reikalavimus:</w:t>
      </w:r>
    </w:p>
    <w:p w14:paraId="7073CB0E" w14:textId="77777777" w:rsidR="00BB639A" w:rsidRPr="00BB639A" w:rsidRDefault="00BB639A" w:rsidP="00BB639A">
      <w:pPr>
        <w:spacing w:after="0" w:line="240" w:lineRule="auto"/>
        <w:ind w:firstLine="636"/>
        <w:jc w:val="both"/>
        <w:rPr>
          <w:rFonts w:ascii="Times New Roman" w:hAnsi="Times New Roman" w:cs="Times New Roman"/>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506053FA" w14:textId="77777777" w:rsidTr="00B90CD7">
        <w:tc>
          <w:tcPr>
            <w:tcW w:w="352" w:type="dxa"/>
            <w:tcBorders>
              <w:top w:val="single" w:sz="4" w:space="0" w:color="auto"/>
              <w:left w:val="single" w:sz="4" w:space="0" w:color="auto"/>
              <w:bottom w:val="single" w:sz="4" w:space="0" w:color="auto"/>
              <w:right w:val="nil"/>
            </w:tcBorders>
            <w:hideMark/>
          </w:tcPr>
          <w:p w14:paraId="2541DC69"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6AB17997"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 xml:space="preserve">tiekėjo siūlomos prekės nekelia grėsmės nacionaliniam saugumui </w:t>
            </w:r>
            <w:r w:rsidRPr="00BB639A">
              <w:rPr>
                <w:rFonts w:ascii="Times New Roman" w:hAnsi="Times New Roman" w:cs="Times New Roman"/>
                <w:color w:val="000000"/>
                <w:sz w:val="22"/>
                <w:szCs w:val="22"/>
                <w:bdr w:val="none" w:sz="0" w:space="0" w:color="auto" w:frame="1"/>
              </w:rPr>
              <w:t>–</w:t>
            </w:r>
            <w:r w:rsidRPr="00BB639A">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BB639A">
              <w:rPr>
                <w:rFonts w:ascii="Times New Roman" w:hAnsi="Times New Roman" w:cs="Times New Roman"/>
                <w:color w:val="000000"/>
                <w:sz w:val="22"/>
                <w:szCs w:val="22"/>
              </w:rPr>
              <w:t xml:space="preserve"> </w:t>
            </w:r>
            <w:r w:rsidRPr="00BB639A">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u w:val="single"/>
              </w:rPr>
              <w:t>Specialiųjų sąlygų 5.2 p.</w:t>
            </w:r>
            <w:r w:rsidRPr="00BB639A">
              <w:rPr>
                <w:rFonts w:ascii="Times New Roman" w:hAnsi="Times New Roman" w:cs="Times New Roman"/>
                <w:sz w:val="22"/>
                <w:szCs w:val="22"/>
              </w:rPr>
              <w:t>)</w:t>
            </w:r>
          </w:p>
          <w:p w14:paraId="359280B4" w14:textId="77777777" w:rsidR="00BB639A" w:rsidRPr="00BB639A" w:rsidRDefault="00BB639A" w:rsidP="00BB639A">
            <w:pPr>
              <w:shd w:val="clear" w:color="auto" w:fill="FFFFFF"/>
              <w:spacing w:after="0" w:line="240" w:lineRule="auto"/>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tc>
      </w:tr>
      <w:tr w:rsidR="00BB639A" w:rsidRPr="00BB639A" w14:paraId="27B115C8" w14:textId="77777777" w:rsidTr="00B90CD7">
        <w:tc>
          <w:tcPr>
            <w:tcW w:w="352" w:type="dxa"/>
            <w:tcBorders>
              <w:top w:val="single" w:sz="4" w:space="0" w:color="auto"/>
              <w:left w:val="nil"/>
              <w:bottom w:val="nil"/>
              <w:right w:val="nil"/>
            </w:tcBorders>
          </w:tcPr>
          <w:p w14:paraId="1A828ED1"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1DAD981B"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59519A8D" w14:textId="77777777" w:rsidTr="00B90CD7">
        <w:tc>
          <w:tcPr>
            <w:tcW w:w="352" w:type="dxa"/>
            <w:tcBorders>
              <w:top w:val="nil"/>
              <w:left w:val="nil"/>
              <w:bottom w:val="nil"/>
              <w:right w:val="nil"/>
            </w:tcBorders>
          </w:tcPr>
          <w:p w14:paraId="4F9D688E"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64C0F3B0" w14:textId="77777777" w:rsidR="00BB639A" w:rsidRPr="00BB639A" w:rsidRDefault="00BB639A" w:rsidP="00BB639A">
            <w:pPr>
              <w:spacing w:after="0" w:line="240" w:lineRule="auto"/>
              <w:rPr>
                <w:rFonts w:ascii="Times New Roman" w:hAnsi="Times New Roman" w:cs="Times New Roman"/>
                <w:szCs w:val="24"/>
              </w:rPr>
            </w:pPr>
          </w:p>
        </w:tc>
      </w:tr>
    </w:tbl>
    <w:p w14:paraId="2AA2F77A" w14:textId="77777777" w:rsidR="00BB639A" w:rsidRPr="00BB639A" w:rsidRDefault="00BB639A" w:rsidP="00BB639A">
      <w:pPr>
        <w:shd w:val="clear" w:color="auto" w:fill="FFFFFF"/>
        <w:spacing w:after="0" w:line="240" w:lineRule="auto"/>
        <w:rPr>
          <w:rFonts w:ascii="Times New Roman" w:hAnsi="Times New Roman" w:cs="Times New Roman"/>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632FE918" w14:textId="77777777" w:rsidTr="00B90CD7">
        <w:tc>
          <w:tcPr>
            <w:tcW w:w="352" w:type="dxa"/>
            <w:tcBorders>
              <w:top w:val="single" w:sz="4" w:space="0" w:color="auto"/>
              <w:left w:val="single" w:sz="4" w:space="0" w:color="auto"/>
              <w:bottom w:val="single" w:sz="4" w:space="0" w:color="auto"/>
              <w:right w:val="nil"/>
            </w:tcBorders>
            <w:hideMark/>
          </w:tcPr>
          <w:p w14:paraId="48FCDE82"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27F0FD3E"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tiekėjas neturi interesų, galinčių kelti grėsmę nacionaliniam saugumui – vadovaujantis VPĮ 47 straipsnio 9 dalimi, jis pats,</w:t>
            </w:r>
            <w:r w:rsidRPr="00BB639A">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rPr>
              <w:t>(</w:t>
            </w:r>
            <w:r w:rsidRPr="00BB639A">
              <w:rPr>
                <w:rFonts w:ascii="Times New Roman" w:hAnsi="Times New Roman" w:cs="Times New Roman"/>
                <w:sz w:val="22"/>
                <w:szCs w:val="22"/>
                <w:u w:val="single"/>
              </w:rPr>
              <w:t>Specialiųjų sąlygų 5.1 p.</w:t>
            </w:r>
            <w:r w:rsidRPr="00BB639A">
              <w:rPr>
                <w:rFonts w:ascii="Times New Roman" w:hAnsi="Times New Roman" w:cs="Times New Roman"/>
                <w:sz w:val="22"/>
                <w:szCs w:val="22"/>
              </w:rPr>
              <w:t>)</w:t>
            </w:r>
          </w:p>
        </w:tc>
      </w:tr>
      <w:tr w:rsidR="00BB639A" w:rsidRPr="00BB639A" w14:paraId="73ED8446" w14:textId="77777777" w:rsidTr="00B90CD7">
        <w:tc>
          <w:tcPr>
            <w:tcW w:w="352" w:type="dxa"/>
            <w:tcBorders>
              <w:top w:val="single" w:sz="4" w:space="0" w:color="auto"/>
              <w:left w:val="nil"/>
              <w:bottom w:val="nil"/>
              <w:right w:val="nil"/>
            </w:tcBorders>
          </w:tcPr>
          <w:p w14:paraId="400E390D"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7CAF80CF"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40787B84" w14:textId="77777777" w:rsidTr="00B90CD7">
        <w:tc>
          <w:tcPr>
            <w:tcW w:w="352" w:type="dxa"/>
            <w:tcBorders>
              <w:top w:val="nil"/>
              <w:left w:val="nil"/>
              <w:bottom w:val="nil"/>
              <w:right w:val="nil"/>
            </w:tcBorders>
          </w:tcPr>
          <w:p w14:paraId="79F87407"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4B882176" w14:textId="77777777" w:rsidR="00BB639A" w:rsidRPr="00BB639A" w:rsidRDefault="00BB639A" w:rsidP="00BB639A">
            <w:pPr>
              <w:spacing w:after="0" w:line="240" w:lineRule="auto"/>
              <w:rPr>
                <w:rFonts w:ascii="Times New Roman" w:hAnsi="Times New Roman" w:cs="Times New Roman"/>
                <w:szCs w:val="24"/>
              </w:rPr>
            </w:pPr>
          </w:p>
        </w:tc>
      </w:tr>
    </w:tbl>
    <w:p w14:paraId="69275403" w14:textId="77777777" w:rsidR="00BB639A" w:rsidRPr="00BB639A" w:rsidRDefault="00BB639A" w:rsidP="00BB639A">
      <w:pPr>
        <w:shd w:val="clear" w:color="auto" w:fill="FFFFFF"/>
        <w:spacing w:after="0" w:line="240" w:lineRule="auto"/>
        <w:ind w:firstLine="4395"/>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p w14:paraId="24CEE7DC" w14:textId="77777777" w:rsidR="00BB639A" w:rsidRPr="00BB639A" w:rsidRDefault="00BB639A" w:rsidP="00BB639A">
      <w:pPr>
        <w:widowControl w:val="0"/>
        <w:shd w:val="clear" w:color="auto" w:fill="FFFFFF"/>
        <w:suppressAutoHyphens/>
        <w:spacing w:after="0" w:line="240" w:lineRule="auto"/>
        <w:ind w:firstLine="567"/>
        <w:jc w:val="both"/>
        <w:textAlignment w:val="baseline"/>
        <w:rPr>
          <w:rFonts w:ascii="Times New Roman" w:hAnsi="Times New Roman" w:cs="Times New Roman"/>
          <w:sz w:val="20"/>
          <w:shd w:val="clear" w:color="auto" w:fill="008000"/>
        </w:rPr>
      </w:pPr>
    </w:p>
    <w:p w14:paraId="30A1A48F"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r w:rsidRPr="00BB639A">
        <w:rPr>
          <w:rFonts w:ascii="Times New Roman" w:hAnsi="Times New Roman" w:cs="Times New Roman"/>
          <w:sz w:val="22"/>
          <w:szCs w:val="22"/>
        </w:rPr>
        <w:t>Patvirtinu, kad šie duomenys yra teisingi ir aktualūs pasiūlymo pateikimo dieną.</w:t>
      </w:r>
    </w:p>
    <w:p w14:paraId="4432E049"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p>
    <w:p w14:paraId="6ED31E4B"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43E11EB" w14:textId="77777777" w:rsidR="00BB639A" w:rsidRPr="00BB639A" w:rsidRDefault="00BB639A" w:rsidP="00BB639A">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4C4222C9"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03D5EA0" w14:textId="77777777" w:rsidR="00BB639A" w:rsidRPr="00BB639A" w:rsidRDefault="00BB639A" w:rsidP="00BB639A">
      <w:pPr>
        <w:widowControl w:val="0"/>
        <w:suppressAutoHyphens/>
        <w:spacing w:after="0" w:line="240" w:lineRule="auto"/>
        <w:ind w:left="709"/>
        <w:jc w:val="both"/>
        <w:textAlignment w:val="baseline"/>
        <w:rPr>
          <w:rFonts w:ascii="Times New Roman" w:hAnsi="Times New Roman" w:cs="Times New Roman"/>
          <w:sz w:val="22"/>
          <w:szCs w:val="22"/>
        </w:rPr>
      </w:pPr>
    </w:p>
    <w:p w14:paraId="6D63DF49" w14:textId="77777777" w:rsidR="00BB639A" w:rsidRPr="00BB639A" w:rsidRDefault="00BB639A" w:rsidP="00BB639A">
      <w:pPr>
        <w:widowControl w:val="0"/>
        <w:suppressAutoHyphens/>
        <w:spacing w:after="0" w:line="240" w:lineRule="auto"/>
        <w:jc w:val="center"/>
        <w:textAlignment w:val="baseline"/>
        <w:rPr>
          <w:rFonts w:ascii="Times New Roman" w:hAnsi="Times New Roman" w:cs="Times New Roman"/>
          <w:sz w:val="22"/>
          <w:szCs w:val="22"/>
        </w:rPr>
      </w:pPr>
    </w:p>
    <w:p w14:paraId="2B79F872" w14:textId="77777777" w:rsidR="00BB639A" w:rsidRPr="00BB639A" w:rsidRDefault="00BB639A" w:rsidP="00BB639A">
      <w:pPr>
        <w:widowControl w:val="0"/>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i/>
          <w:iCs/>
          <w:sz w:val="22"/>
          <w:szCs w:val="22"/>
        </w:rPr>
        <w:t xml:space="preserve">                             </w:t>
      </w: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sz w:val="22"/>
          <w:szCs w:val="22"/>
        </w:rPr>
        <w:tab/>
        <w:t xml:space="preserve">                   ___________________</w:t>
      </w:r>
    </w:p>
    <w:p w14:paraId="42F63D97" w14:textId="0D7C114B" w:rsidR="006A7162" w:rsidRPr="00BB639A" w:rsidRDefault="00BB639A" w:rsidP="00BB639A">
      <w:pPr>
        <w:widowControl w:val="0"/>
        <w:suppressAutoHyphens/>
        <w:spacing w:after="0" w:line="240" w:lineRule="auto"/>
        <w:ind w:firstLine="471"/>
        <w:jc w:val="center"/>
        <w:textAlignment w:val="baseline"/>
        <w:rPr>
          <w:rFonts w:ascii="Times New Roman" w:hAnsi="Times New Roman" w:cs="Times New Roman"/>
        </w:rPr>
      </w:pPr>
      <w:r w:rsidRPr="00BB639A">
        <w:rPr>
          <w:rFonts w:ascii="Times New Roman" w:eastAsia="Calibri" w:hAnsi="Times New Roman" w:cs="Times New Roman"/>
          <w:i/>
          <w:iCs/>
          <w:sz w:val="18"/>
          <w:szCs w:val="18"/>
        </w:rPr>
        <w:t>(pareigos)                                                           (parašas)                                                 (vardas ir pavardė)</w:t>
      </w:r>
    </w:p>
    <w:sectPr w:rsidR="006A7162" w:rsidRPr="00BB639A"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7C00" w14:textId="77777777" w:rsidR="00EF4BF6" w:rsidRDefault="00EF4BF6" w:rsidP="00D05666">
      <w:r>
        <w:separator/>
      </w:r>
    </w:p>
  </w:endnote>
  <w:endnote w:type="continuationSeparator" w:id="0">
    <w:p w14:paraId="77636429" w14:textId="77777777" w:rsidR="00EF4BF6" w:rsidRDefault="00EF4BF6" w:rsidP="00D05666">
      <w:r>
        <w:continuationSeparator/>
      </w:r>
    </w:p>
  </w:endnote>
  <w:endnote w:type="continuationNotice" w:id="1">
    <w:p w14:paraId="7EB76FFC" w14:textId="77777777" w:rsidR="00EF4BF6" w:rsidRDefault="00EF4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3D27" w14:textId="77777777" w:rsidR="00EF4BF6" w:rsidRDefault="00EF4BF6" w:rsidP="00D05666">
      <w:r>
        <w:separator/>
      </w:r>
    </w:p>
  </w:footnote>
  <w:footnote w:type="continuationSeparator" w:id="0">
    <w:p w14:paraId="33091B5E" w14:textId="77777777" w:rsidR="00EF4BF6" w:rsidRDefault="00EF4BF6" w:rsidP="00D05666">
      <w:r>
        <w:continuationSeparator/>
      </w:r>
    </w:p>
  </w:footnote>
  <w:footnote w:type="continuationNotice" w:id="1">
    <w:p w14:paraId="644B58EA" w14:textId="77777777" w:rsidR="00EF4BF6" w:rsidRDefault="00EF4BF6">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4"/>
  </w:num>
  <w:num w:numId="2" w16cid:durableId="207184103">
    <w:abstractNumId w:val="1"/>
  </w:num>
  <w:num w:numId="3" w16cid:durableId="1484615006">
    <w:abstractNumId w:val="14"/>
  </w:num>
  <w:num w:numId="4" w16cid:durableId="607934237">
    <w:abstractNumId w:val="8"/>
  </w:num>
  <w:num w:numId="5" w16cid:durableId="1759206832">
    <w:abstractNumId w:val="10"/>
  </w:num>
  <w:num w:numId="6" w16cid:durableId="408162091">
    <w:abstractNumId w:val="17"/>
  </w:num>
  <w:num w:numId="7" w16cid:durableId="182548654">
    <w:abstractNumId w:val="7"/>
  </w:num>
  <w:num w:numId="8" w16cid:durableId="1573735120">
    <w:abstractNumId w:val="6"/>
  </w:num>
  <w:num w:numId="9" w16cid:durableId="1086878064">
    <w:abstractNumId w:val="11"/>
  </w:num>
  <w:num w:numId="10" w16cid:durableId="601766584">
    <w:abstractNumId w:val="13"/>
  </w:num>
  <w:num w:numId="11" w16cid:durableId="1876188991">
    <w:abstractNumId w:val="5"/>
  </w:num>
  <w:num w:numId="12" w16cid:durableId="1970622071">
    <w:abstractNumId w:val="18"/>
  </w:num>
  <w:num w:numId="13" w16cid:durableId="2062433539">
    <w:abstractNumId w:val="9"/>
  </w:num>
  <w:num w:numId="14" w16cid:durableId="1789858266">
    <w:abstractNumId w:val="16"/>
  </w:num>
  <w:num w:numId="15" w16cid:durableId="494614562">
    <w:abstractNumId w:val="12"/>
  </w:num>
  <w:num w:numId="16" w16cid:durableId="1473055655">
    <w:abstractNumId w:val="15"/>
  </w:num>
  <w:num w:numId="17" w16cid:durableId="510532351">
    <w:abstractNumId w:val="0"/>
  </w:num>
  <w:num w:numId="18" w16cid:durableId="1470317279">
    <w:abstractNumId w:val="3"/>
  </w:num>
  <w:num w:numId="19" w16cid:durableId="165225209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1A"/>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40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0D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4B52"/>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2057"/>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5A2"/>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39A"/>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5"/>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4D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A783E"/>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4BF6"/>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sigita.%20riepsai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31999</Words>
  <Characters>18240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2026-06-29T12:18:00Z</dcterms:created>
  <dcterms:modified xsi:type="dcterms:W3CDTF">2026-06-29T12:19:00Z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