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5DFDF" w14:textId="77777777" w:rsidR="00274069" w:rsidRPr="00852DCC" w:rsidRDefault="00274069" w:rsidP="00274069">
      <w:pPr>
        <w:tabs>
          <w:tab w:val="left" w:pos="851"/>
        </w:tabs>
        <w:suppressAutoHyphens w:val="0"/>
        <w:overflowPunct w:val="0"/>
        <w:autoSpaceDE w:val="0"/>
        <w:autoSpaceDN w:val="0"/>
        <w:adjustRightInd w:val="0"/>
        <w:spacing w:after="0" w:line="240" w:lineRule="auto"/>
        <w:jc w:val="right"/>
        <w:rPr>
          <w:rFonts w:ascii="Times New Roman" w:eastAsia="Times New Roman" w:hAnsi="Times New Roman"/>
          <w:iCs/>
          <w:lang w:val="en-US" w:eastAsia="en-US"/>
        </w:rPr>
      </w:pPr>
      <w:r w:rsidRPr="00852DCC">
        <w:rPr>
          <w:rFonts w:ascii="Times New Roman" w:eastAsia="Times New Roman" w:hAnsi="Times New Roman"/>
          <w:iCs/>
          <w:lang w:eastAsia="en-US"/>
        </w:rPr>
        <w:t xml:space="preserve">Priedas Nr. </w:t>
      </w:r>
      <w:r w:rsidRPr="00852DCC">
        <w:rPr>
          <w:rFonts w:ascii="Times New Roman" w:eastAsia="Times New Roman" w:hAnsi="Times New Roman"/>
          <w:iCs/>
          <w:lang w:val="en-US" w:eastAsia="en-US"/>
        </w:rPr>
        <w:t>1.</w:t>
      </w:r>
    </w:p>
    <w:p w14:paraId="645A4394" w14:textId="48712B67" w:rsidR="00274069" w:rsidRPr="00852DCC" w:rsidRDefault="00274069" w:rsidP="00274069">
      <w:pPr>
        <w:suppressAutoHyphens w:val="0"/>
        <w:overflowPunct w:val="0"/>
        <w:autoSpaceDE w:val="0"/>
        <w:autoSpaceDN w:val="0"/>
        <w:adjustRightInd w:val="0"/>
        <w:spacing w:after="0" w:line="240" w:lineRule="auto"/>
        <w:jc w:val="center"/>
        <w:rPr>
          <w:rFonts w:ascii="Times New Roman" w:eastAsia="Times New Roman" w:hAnsi="Times New Roman"/>
          <w:b/>
          <w:i/>
          <w:sz w:val="24"/>
          <w:szCs w:val="24"/>
          <w:lang w:eastAsia="en-US"/>
        </w:rPr>
      </w:pPr>
      <w:r w:rsidRPr="00852DCC">
        <w:rPr>
          <w:rFonts w:ascii="Times New Roman" w:eastAsia="Times New Roman" w:hAnsi="Times New Roman"/>
          <w:b/>
          <w:i/>
          <w:sz w:val="24"/>
          <w:szCs w:val="24"/>
          <w:lang w:eastAsia="en-US"/>
        </w:rPr>
        <w:t xml:space="preserve">KRAUJAS IR JO KOMPONENTAI </w:t>
      </w:r>
    </w:p>
    <w:p w14:paraId="75DF6F3C" w14:textId="77777777" w:rsidR="00274069" w:rsidRPr="00852DCC" w:rsidRDefault="00274069" w:rsidP="00274069">
      <w:pPr>
        <w:suppressAutoHyphens w:val="0"/>
        <w:overflowPunct w:val="0"/>
        <w:autoSpaceDE w:val="0"/>
        <w:autoSpaceDN w:val="0"/>
        <w:adjustRightInd w:val="0"/>
        <w:spacing w:after="0" w:line="240" w:lineRule="auto"/>
        <w:jc w:val="center"/>
        <w:rPr>
          <w:rFonts w:ascii="Times New Roman" w:eastAsia="Times New Roman" w:hAnsi="Times New Roman"/>
          <w:b/>
          <w:i/>
          <w:sz w:val="24"/>
          <w:szCs w:val="24"/>
          <w:lang w:eastAsia="en-US"/>
        </w:rPr>
      </w:pPr>
      <w:r w:rsidRPr="00852DCC">
        <w:rPr>
          <w:rFonts w:ascii="Times New Roman" w:eastAsia="Times New Roman" w:hAnsi="Times New Roman"/>
          <w:b/>
          <w:i/>
          <w:sz w:val="24"/>
          <w:szCs w:val="24"/>
          <w:lang w:eastAsia="en-US"/>
        </w:rPr>
        <w:t xml:space="preserve"> TECHNINĖ SPECIFIKACIJA</w:t>
      </w:r>
    </w:p>
    <w:p w14:paraId="17BB5546" w14:textId="77777777" w:rsidR="00274069" w:rsidRPr="00852DCC" w:rsidRDefault="00274069" w:rsidP="00274069">
      <w:pPr>
        <w:suppressAutoHyphens w:val="0"/>
        <w:overflowPunct w:val="0"/>
        <w:autoSpaceDE w:val="0"/>
        <w:autoSpaceDN w:val="0"/>
        <w:adjustRightInd w:val="0"/>
        <w:spacing w:after="0" w:line="240" w:lineRule="auto"/>
        <w:jc w:val="center"/>
        <w:rPr>
          <w:rFonts w:ascii="Times New Roman" w:eastAsia="Times New Roman" w:hAnsi="Times New Roman"/>
          <w:b/>
          <w:i/>
          <w:sz w:val="20"/>
          <w:szCs w:val="20"/>
          <w:lang w:eastAsia="en-US"/>
        </w:rPr>
      </w:pPr>
    </w:p>
    <w:p w14:paraId="08C3174E" w14:textId="77777777" w:rsidR="00274069" w:rsidRPr="00852DCC" w:rsidRDefault="00274069" w:rsidP="00274069">
      <w:pPr>
        <w:suppressAutoHyphens w:val="0"/>
        <w:overflowPunct w:val="0"/>
        <w:autoSpaceDE w:val="0"/>
        <w:autoSpaceDN w:val="0"/>
        <w:adjustRightInd w:val="0"/>
        <w:spacing w:after="0" w:line="240" w:lineRule="auto"/>
        <w:jc w:val="both"/>
        <w:rPr>
          <w:rFonts w:ascii="Times New Roman" w:eastAsia="Times New Roman" w:hAnsi="Times New Roman"/>
          <w:b/>
          <w:i/>
          <w:sz w:val="20"/>
          <w:szCs w:val="20"/>
          <w:lang w:eastAsia="en-US"/>
        </w:rPr>
      </w:pPr>
    </w:p>
    <w:p w14:paraId="3F61B9A4" w14:textId="77777777" w:rsidR="00274069" w:rsidRPr="00852DCC" w:rsidRDefault="00274069" w:rsidP="00274069">
      <w:pPr>
        <w:rPr>
          <w:rFonts w:ascii="Times New Roman" w:hAnsi="Times New Roman"/>
          <w:b/>
          <w:bCs/>
        </w:rPr>
      </w:pPr>
      <w:r w:rsidRPr="00852DCC">
        <w:rPr>
          <w:rFonts w:ascii="Times New Roman" w:eastAsia="Times New Roman" w:hAnsi="Times New Roman"/>
          <w:sz w:val="24"/>
          <w:szCs w:val="20"/>
          <w:lang w:eastAsia="en-US"/>
        </w:rPr>
        <w:t xml:space="preserve">        </w:t>
      </w:r>
      <w:r w:rsidRPr="00852DCC">
        <w:rPr>
          <w:rFonts w:ascii="Times New Roman" w:hAnsi="Times New Roman"/>
          <w:b/>
          <w:bCs/>
        </w:rPr>
        <w:t>BENDRIEJI REIKALAVIMAI:</w:t>
      </w:r>
    </w:p>
    <w:p w14:paraId="231BAC29" w14:textId="722DDABE" w:rsidR="00274069" w:rsidRPr="00852DCC" w:rsidRDefault="00274069" w:rsidP="00274069">
      <w:pPr>
        <w:jc w:val="both"/>
        <w:rPr>
          <w:rFonts w:ascii="Times New Roman" w:hAnsi="Times New Roman"/>
          <w:i/>
          <w:iCs/>
        </w:rPr>
      </w:pPr>
      <w:r w:rsidRPr="00852DCC">
        <w:rPr>
          <w:rFonts w:ascii="Times New Roman" w:hAnsi="Times New Roman"/>
          <w:i/>
          <w:iCs/>
        </w:rPr>
        <w:t>Tiekėjui nenustatomi kvalifikacijos reikalavimai ir nereikalaujama laikytis kokybės vadybos sistemos</w:t>
      </w:r>
      <w:r w:rsidR="007D3D8D">
        <w:rPr>
          <w:rFonts w:ascii="Times New Roman" w:hAnsi="Times New Roman"/>
          <w:i/>
          <w:iCs/>
        </w:rPr>
        <w:t xml:space="preserve">. </w:t>
      </w:r>
      <w:r w:rsidR="007D3D8D" w:rsidRPr="007D3D8D">
        <w:rPr>
          <w:rFonts w:ascii="Times New Roman" w:hAnsi="Times New Roman"/>
          <w:i/>
          <w:iCs/>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w:t>
      </w:r>
      <w:r w:rsidRPr="00852DCC">
        <w:rPr>
          <w:rFonts w:ascii="Times New Roman" w:hAnsi="Times New Roman"/>
          <w:i/>
          <w:iCs/>
        </w:rPr>
        <w:t xml:space="preserve"> Tiekėjas, teikdamas pasiūlymą, perkančiajai organizacijai įsipareigoja, kad sutartį vykdys tik teisę verstis atitinkama veikla turintys asmenys.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863BA" w14:textId="77777777" w:rsidR="00274069" w:rsidRPr="00852DCC" w:rsidRDefault="00274069" w:rsidP="00274069">
      <w:pPr>
        <w:spacing w:after="0"/>
        <w:jc w:val="both"/>
        <w:rPr>
          <w:rFonts w:ascii="Times New Roman" w:hAnsi="Times New Roman"/>
        </w:rPr>
      </w:pPr>
      <w:r w:rsidRPr="00852DCC">
        <w:rPr>
          <w:rFonts w:ascii="Times New Roman" w:hAnsi="Times New Roman"/>
        </w:rPr>
        <w:t>1. Tiekėjas turi teisę verstis asmens sveikatos priežiūros veikla ir teikti asmens sveikatos priežiūros paslaugas: kraujo donorystė. Tiekėjas pateikia Valstybinės akreditavimo sveikatos priežiūros veiklai tarnybos prie Sveikatos apsaugos ministerijos išduotą įstaigos asmens sveikatos priežiūros licenciją, suteikiančią teisę verstis asmens sveikatos priežiūros veikla ir teikti asmens sveikatos priežiūros paslaugas: kraujo donorystė.</w:t>
      </w:r>
    </w:p>
    <w:p w14:paraId="1206D7AD" w14:textId="77777777" w:rsidR="00274069" w:rsidRPr="00852DCC" w:rsidRDefault="00274069" w:rsidP="00274069">
      <w:pPr>
        <w:spacing w:after="0"/>
        <w:jc w:val="both"/>
        <w:rPr>
          <w:rFonts w:ascii="Times New Roman" w:hAnsi="Times New Roman"/>
        </w:rPr>
      </w:pPr>
      <w:r w:rsidRPr="00852DCC">
        <w:rPr>
          <w:rFonts w:ascii="Times New Roman" w:hAnsi="Times New Roman"/>
        </w:rPr>
        <w:t>2. Tiekėjas privalo turėti medicinos biologą.</w:t>
      </w:r>
    </w:p>
    <w:p w14:paraId="2B8CBA20" w14:textId="77777777" w:rsidR="00274069" w:rsidRPr="00852DCC" w:rsidRDefault="00274069" w:rsidP="00274069">
      <w:pPr>
        <w:spacing w:after="0"/>
        <w:jc w:val="both"/>
        <w:rPr>
          <w:rFonts w:ascii="Times New Roman" w:hAnsi="Times New Roman"/>
        </w:rPr>
      </w:pPr>
      <w:r w:rsidRPr="00852DCC">
        <w:rPr>
          <w:rFonts w:ascii="Times New Roman" w:hAnsi="Times New Roman"/>
        </w:rPr>
        <w:t>3. Perkančioji organizacija telefonu informuoja tiekėją apie reikalingą įsigyti prekę, t. y. apie kraujo ar komponentų užsakymą.</w:t>
      </w:r>
    </w:p>
    <w:p w14:paraId="50CD32E5" w14:textId="77777777" w:rsidR="00274069" w:rsidRPr="00852DCC" w:rsidRDefault="00274069" w:rsidP="00274069">
      <w:pPr>
        <w:spacing w:after="0"/>
        <w:jc w:val="both"/>
        <w:rPr>
          <w:rFonts w:ascii="Times New Roman" w:hAnsi="Times New Roman"/>
        </w:rPr>
      </w:pPr>
      <w:r w:rsidRPr="00852DCC">
        <w:rPr>
          <w:rFonts w:ascii="Times New Roman" w:hAnsi="Times New Roman"/>
        </w:rPr>
        <w:t>4. Tiekėjas privalo nurodyti telefono Nr., kuriuo būtu priimtas užsakymas iš Perkančiosios organizacijos.</w:t>
      </w:r>
    </w:p>
    <w:p w14:paraId="6B2649CA" w14:textId="77777777" w:rsidR="00274069" w:rsidRPr="00852DCC" w:rsidRDefault="00274069" w:rsidP="00274069">
      <w:pPr>
        <w:spacing w:after="0"/>
        <w:jc w:val="both"/>
        <w:rPr>
          <w:rFonts w:ascii="Times New Roman" w:hAnsi="Times New Roman"/>
        </w:rPr>
      </w:pPr>
      <w:r w:rsidRPr="00852DCC">
        <w:rPr>
          <w:rFonts w:ascii="Times New Roman" w:hAnsi="Times New Roman"/>
        </w:rPr>
        <w:t>5. Prekes Perkančioji organizacija planine tvarka užsako iki darbo dienos 11 val.</w:t>
      </w:r>
    </w:p>
    <w:p w14:paraId="36E9B8FA" w14:textId="77777777" w:rsidR="00274069" w:rsidRPr="00852DCC" w:rsidRDefault="00274069" w:rsidP="00274069">
      <w:pPr>
        <w:spacing w:after="0"/>
        <w:jc w:val="both"/>
        <w:rPr>
          <w:rFonts w:ascii="Times New Roman" w:hAnsi="Times New Roman"/>
        </w:rPr>
      </w:pPr>
      <w:r w:rsidRPr="00852DCC">
        <w:rPr>
          <w:rFonts w:ascii="Times New Roman" w:hAnsi="Times New Roman"/>
        </w:rPr>
        <w:t>6. Tiekėjas įsipareigoja įvykdyti užsakymus, kraujas ar jo komponentai turi būti tiekiami:</w:t>
      </w:r>
    </w:p>
    <w:p w14:paraId="3F6A2C8E" w14:textId="77777777" w:rsidR="00274069" w:rsidRPr="00852DCC" w:rsidRDefault="00274069" w:rsidP="00274069">
      <w:pPr>
        <w:spacing w:after="0"/>
        <w:jc w:val="both"/>
        <w:rPr>
          <w:rFonts w:ascii="Times New Roman" w:hAnsi="Times New Roman"/>
        </w:rPr>
      </w:pPr>
      <w:r w:rsidRPr="00852DCC">
        <w:rPr>
          <w:rFonts w:ascii="Times New Roman" w:hAnsi="Times New Roman"/>
        </w:rPr>
        <w:t>6.1. darbo dienomis, visą parą.</w:t>
      </w:r>
    </w:p>
    <w:p w14:paraId="673C2657" w14:textId="77777777" w:rsidR="00274069" w:rsidRPr="00852DCC" w:rsidRDefault="00274069" w:rsidP="00274069">
      <w:pPr>
        <w:spacing w:after="0"/>
        <w:jc w:val="both"/>
        <w:rPr>
          <w:rFonts w:ascii="Times New Roman" w:hAnsi="Times New Roman"/>
        </w:rPr>
      </w:pPr>
      <w:r w:rsidRPr="00852DCC">
        <w:rPr>
          <w:rFonts w:ascii="Times New Roman" w:hAnsi="Times New Roman"/>
        </w:rPr>
        <w:t>6.2. šeštadienį, sekmadienį visą parą.</w:t>
      </w:r>
    </w:p>
    <w:p w14:paraId="0997C0E2" w14:textId="77777777" w:rsidR="00274069" w:rsidRPr="00852DCC" w:rsidRDefault="00274069" w:rsidP="00274069">
      <w:pPr>
        <w:spacing w:after="0"/>
        <w:jc w:val="both"/>
        <w:rPr>
          <w:rFonts w:ascii="Times New Roman" w:hAnsi="Times New Roman"/>
        </w:rPr>
      </w:pPr>
      <w:r w:rsidRPr="00852DCC">
        <w:rPr>
          <w:rFonts w:ascii="Times New Roman" w:hAnsi="Times New Roman"/>
        </w:rPr>
        <w:t>6.3. švenčių dienomis visą parą.</w:t>
      </w:r>
    </w:p>
    <w:p w14:paraId="1DCF5972" w14:textId="77777777" w:rsidR="00274069" w:rsidRPr="00852DCC" w:rsidRDefault="00274069" w:rsidP="00274069">
      <w:pPr>
        <w:spacing w:after="0"/>
        <w:jc w:val="both"/>
        <w:rPr>
          <w:rFonts w:ascii="Times New Roman" w:hAnsi="Times New Roman"/>
        </w:rPr>
      </w:pPr>
      <w:r w:rsidRPr="00852DCC">
        <w:rPr>
          <w:rFonts w:ascii="Times New Roman" w:hAnsi="Times New Roman"/>
        </w:rPr>
        <w:t>7. Užsakytas prekes Pirkėjas atsiima savo transportu.</w:t>
      </w:r>
    </w:p>
    <w:p w14:paraId="36A73EDC" w14:textId="77777777" w:rsidR="00274069" w:rsidRPr="00852DCC" w:rsidRDefault="00274069" w:rsidP="00274069">
      <w:pPr>
        <w:spacing w:after="0"/>
        <w:jc w:val="both"/>
        <w:rPr>
          <w:rFonts w:ascii="Times New Roman" w:hAnsi="Times New Roman"/>
        </w:rPr>
      </w:pPr>
      <w:r w:rsidRPr="00852DCC">
        <w:rPr>
          <w:rFonts w:ascii="Times New Roman" w:hAnsi="Times New Roman"/>
        </w:rPr>
        <w:t>8.Kraujas ir jo komponentai turi būti pagaminti, ištirti, saugomi ir tinkami naudojimui pagal Lietuvoje galiojančius teisės aktus, įsakymus ir normas. Kraujas ir jo komponentai, turi atitikti kokybės ir saugos reikalavimus, nustatytus šiais dokumentais (aktualiomis jų redakcijomis):</w:t>
      </w:r>
    </w:p>
    <w:p w14:paraId="49234C99" w14:textId="77777777" w:rsidR="00274069" w:rsidRPr="00852DCC" w:rsidRDefault="00274069" w:rsidP="00274069">
      <w:pPr>
        <w:spacing w:after="0"/>
        <w:jc w:val="both"/>
        <w:rPr>
          <w:rFonts w:ascii="Times New Roman" w:hAnsi="Times New Roman"/>
        </w:rPr>
      </w:pPr>
      <w:r w:rsidRPr="00852DCC">
        <w:rPr>
          <w:rFonts w:ascii="Times New Roman" w:hAnsi="Times New Roman"/>
        </w:rPr>
        <w:t>- LR SAM 2012 m. gruodžio 19 d. įsakyme Nr. V-1186 „Dėl kraujo ir kraujo komponentų ruošimo ir kokybės kontrolės reikalavimų aprašo patvirtinimo“ ir jo pakeitimuose,</w:t>
      </w:r>
    </w:p>
    <w:p w14:paraId="6A3E58C7" w14:textId="77777777" w:rsidR="00274069" w:rsidRPr="00852DCC" w:rsidRDefault="00274069" w:rsidP="00274069">
      <w:pPr>
        <w:spacing w:after="0"/>
        <w:jc w:val="both"/>
        <w:rPr>
          <w:rFonts w:ascii="Times New Roman" w:hAnsi="Times New Roman"/>
        </w:rPr>
      </w:pPr>
      <w:r w:rsidRPr="00852DCC">
        <w:rPr>
          <w:rFonts w:ascii="Times New Roman" w:hAnsi="Times New Roman"/>
        </w:rPr>
        <w:t>- LR SAM 2005 m. vasario 4 d. įsakymas Nr. V – 84 „Dėl kraujo donorų sveikatos tikrinimo tvarkos aprašo, privalomųjų tyrimų sąrašo, reikiamų sveikatos rodiklių ir kraujo donorų apklausos anketos patvirtinimo“ ir jo pakeitimai;</w:t>
      </w:r>
    </w:p>
    <w:p w14:paraId="74E0CA45" w14:textId="77777777" w:rsidR="00274069" w:rsidRPr="00852DCC" w:rsidRDefault="00274069" w:rsidP="00274069">
      <w:pPr>
        <w:spacing w:after="0"/>
        <w:jc w:val="both"/>
        <w:rPr>
          <w:rFonts w:ascii="Times New Roman" w:hAnsi="Times New Roman"/>
        </w:rPr>
      </w:pPr>
      <w:r w:rsidRPr="00852DCC">
        <w:rPr>
          <w:rFonts w:ascii="Times New Roman" w:hAnsi="Times New Roman"/>
        </w:rPr>
        <w:t>- LR SAM 2000 m. balandžio 14 d. įsakymas Nr. 200 „Dėl konservuoto kraujo ir jo komponentų saugumo užtikrinimo“ ir jo pakeitimuose.;</w:t>
      </w:r>
    </w:p>
    <w:p w14:paraId="6EBC9C32" w14:textId="77777777" w:rsidR="00274069" w:rsidRPr="00852DCC" w:rsidRDefault="00274069" w:rsidP="00274069">
      <w:pPr>
        <w:spacing w:after="0"/>
        <w:jc w:val="both"/>
        <w:rPr>
          <w:rFonts w:ascii="Times New Roman" w:hAnsi="Times New Roman"/>
        </w:rPr>
      </w:pPr>
      <w:r w:rsidRPr="00852DCC">
        <w:rPr>
          <w:rFonts w:ascii="Times New Roman" w:hAnsi="Times New Roman"/>
        </w:rPr>
        <w:t>- kitų LR teisės aktų nurodytus reikalavimus.</w:t>
      </w:r>
    </w:p>
    <w:p w14:paraId="54C10FFE" w14:textId="77777777" w:rsidR="00274069" w:rsidRPr="00852DCC" w:rsidRDefault="00274069" w:rsidP="00274069">
      <w:pPr>
        <w:spacing w:after="0"/>
        <w:jc w:val="both"/>
        <w:rPr>
          <w:rFonts w:ascii="Times New Roman" w:hAnsi="Times New Roman"/>
        </w:rPr>
      </w:pPr>
      <w:r w:rsidRPr="00852DCC">
        <w:rPr>
          <w:rFonts w:ascii="Times New Roman" w:hAnsi="Times New Roman"/>
        </w:rPr>
        <w:t>9. Jeigu Tiekėjo kvalifikacija dėl teisės verstis atitinkama veikla nebuvo tikrinama arba tikrinama ne visa apimtimi, Pardavėjas Pirkėjui įsipareigoja, kad Sutartį vykdys tik tokią teisę turintys asmenys.</w:t>
      </w:r>
    </w:p>
    <w:p w14:paraId="4F197D09" w14:textId="24E57901" w:rsidR="00274069" w:rsidRPr="00852DCC" w:rsidRDefault="00274069" w:rsidP="00274069">
      <w:pPr>
        <w:spacing w:after="0"/>
        <w:jc w:val="both"/>
        <w:rPr>
          <w:rFonts w:ascii="Times New Roman" w:hAnsi="Times New Roman"/>
        </w:rPr>
      </w:pPr>
      <w:r w:rsidRPr="00852DCC">
        <w:rPr>
          <w:rFonts w:ascii="Times New Roman" w:hAnsi="Times New Roman"/>
        </w:rPr>
        <w:t>1</w:t>
      </w:r>
      <w:r>
        <w:rPr>
          <w:rFonts w:ascii="Times New Roman" w:hAnsi="Times New Roman"/>
        </w:rPr>
        <w:t>0</w:t>
      </w:r>
      <w:r w:rsidRPr="00852DCC">
        <w:rPr>
          <w:rFonts w:ascii="Times New Roman" w:hAnsi="Times New Roman"/>
        </w:rPr>
        <w:t>. Pardavėjas tais atvejais, kai negali pateikti užsakytų prekių apie tai informuoja Pirkėją raštu ir praneša per kokį laiko terminą prekės bus išduotos.</w:t>
      </w:r>
    </w:p>
    <w:p w14:paraId="1FDEA1F5" w14:textId="2392D890" w:rsidR="00274069" w:rsidRPr="00852DCC" w:rsidRDefault="00274069" w:rsidP="00274069">
      <w:pPr>
        <w:spacing w:after="0"/>
        <w:jc w:val="both"/>
        <w:rPr>
          <w:rFonts w:ascii="Times New Roman" w:hAnsi="Times New Roman"/>
        </w:rPr>
      </w:pPr>
      <w:r w:rsidRPr="00852DCC">
        <w:rPr>
          <w:rFonts w:ascii="Times New Roman" w:hAnsi="Times New Roman"/>
        </w:rPr>
        <w:t>1</w:t>
      </w:r>
      <w:r>
        <w:rPr>
          <w:rFonts w:ascii="Times New Roman" w:hAnsi="Times New Roman"/>
        </w:rPr>
        <w:t>11</w:t>
      </w:r>
      <w:r w:rsidRPr="00852DCC">
        <w:rPr>
          <w:rFonts w:ascii="Times New Roman" w:hAnsi="Times New Roman"/>
        </w:rPr>
        <w:t>. Šalys įsipareigoja prekių perdavimo priėmimo metu pasirašyti važtaraštį (reikalavimą), kurį pasirašo Pardavėjo ir Pirkėjo įgalioti asmenys. Važtaraštyje (reikalavime) šalys nurodo prekių perdavimo datą, pavadinimus, kiekius.</w:t>
      </w:r>
    </w:p>
    <w:p w14:paraId="3AF7E5C2" w14:textId="0E53D565" w:rsidR="00274069" w:rsidRPr="00852DCC" w:rsidRDefault="00274069" w:rsidP="00274069">
      <w:pPr>
        <w:spacing w:after="0"/>
        <w:jc w:val="both"/>
        <w:rPr>
          <w:rFonts w:ascii="Times New Roman" w:hAnsi="Times New Roman"/>
        </w:rPr>
      </w:pPr>
      <w:r w:rsidRPr="00852DCC">
        <w:rPr>
          <w:rFonts w:ascii="Times New Roman" w:hAnsi="Times New Roman"/>
        </w:rPr>
        <w:t>1</w:t>
      </w:r>
      <w:r>
        <w:rPr>
          <w:rFonts w:ascii="Times New Roman" w:hAnsi="Times New Roman"/>
        </w:rPr>
        <w:t>2</w:t>
      </w:r>
      <w:r w:rsidRPr="00852DCC">
        <w:rPr>
          <w:rFonts w:ascii="Times New Roman" w:hAnsi="Times New Roman"/>
        </w:rPr>
        <w:t>. Pardavėjas pristatęs prekes netinkamos kokybės ar pažeistoje pakuotėje, privalo savo sąnaudomis pakeisti prekes tinkamomis, per kaip įmanoma trumpesnį laiką suderintą su Pirkėju.</w:t>
      </w:r>
    </w:p>
    <w:p w14:paraId="53360E54" w14:textId="24B3E20C" w:rsidR="00274069" w:rsidRPr="00852DCC" w:rsidRDefault="00274069" w:rsidP="00274069">
      <w:pPr>
        <w:spacing w:after="0"/>
        <w:jc w:val="both"/>
        <w:rPr>
          <w:rFonts w:ascii="Times New Roman" w:hAnsi="Times New Roman"/>
        </w:rPr>
      </w:pPr>
      <w:r w:rsidRPr="00852DCC">
        <w:rPr>
          <w:rFonts w:ascii="Times New Roman" w:hAnsi="Times New Roman"/>
        </w:rPr>
        <w:t>1</w:t>
      </w:r>
      <w:r>
        <w:rPr>
          <w:rFonts w:ascii="Times New Roman" w:hAnsi="Times New Roman"/>
        </w:rPr>
        <w:t>3</w:t>
      </w:r>
      <w:r w:rsidRPr="00852DCC">
        <w:rPr>
          <w:rFonts w:ascii="Times New Roman" w:hAnsi="Times New Roman"/>
        </w:rPr>
        <w:t xml:space="preserve">. Pirkėjas įsipareigoja nedelsiant pranešti Pardavėjui apie komplikaciją, įvykusią po kraujo komponentų, kuriuos pagamino ir perdavė Pardavėjas, transfuzijos recipientui, ir organizuoti transfuzinės komplikacijos priežasčių tyrimą Lietuvos Respublikos sveikatos apsaugos ministro nustatyta tvarka (Lietuvos Respublikos Sveikatos apsaugos ministro 2006 m. rugpjūčio 11 d. įsakymu Nr. V-687 ,,Dėl susekamumo ir pranešimų </w:t>
      </w:r>
      <w:r w:rsidRPr="00852DCC">
        <w:rPr>
          <w:rFonts w:ascii="Times New Roman" w:hAnsi="Times New Roman"/>
        </w:rPr>
        <w:lastRenderedPageBreak/>
        <w:t>Sveikatos apsaugos ministerijai apie pavojingas nepageidaujamas reakcijas ir pavojingus nepageidaujamus reiškinius, susijusius su kraujo ir jo komponentų ruošimu ar transfuzija, tvarkos aprašo patvirtinimo“).</w:t>
      </w:r>
    </w:p>
    <w:p w14:paraId="5BD097F6" w14:textId="6F7F15B9" w:rsidR="00274069" w:rsidRPr="00852DCC" w:rsidRDefault="00274069" w:rsidP="00274069">
      <w:pPr>
        <w:spacing w:after="0"/>
        <w:jc w:val="both"/>
        <w:rPr>
          <w:rFonts w:ascii="Times New Roman" w:hAnsi="Times New Roman"/>
        </w:rPr>
      </w:pPr>
      <w:r w:rsidRPr="00852DCC">
        <w:rPr>
          <w:rFonts w:ascii="Times New Roman" w:hAnsi="Times New Roman"/>
        </w:rPr>
        <w:t>1</w:t>
      </w:r>
      <w:r>
        <w:rPr>
          <w:rFonts w:ascii="Times New Roman" w:hAnsi="Times New Roman"/>
        </w:rPr>
        <w:t>4</w:t>
      </w:r>
      <w:r w:rsidRPr="00852DCC">
        <w:rPr>
          <w:rFonts w:ascii="Times New Roman" w:hAnsi="Times New Roman"/>
        </w:rPr>
        <w:t xml:space="preserve">. Kiekvienos pozicijos, nurodytos Sutarties priede, pirkimo apimtį metų eigoje Pirkėjas turi teisę padidinti arba sumažinti, priklausomai nuo besikeičiančių </w:t>
      </w:r>
      <w:r w:rsidR="00BB07B4">
        <w:rPr>
          <w:rFonts w:ascii="Times New Roman" w:hAnsi="Times New Roman"/>
        </w:rPr>
        <w:t>sveikatos centro</w:t>
      </w:r>
      <w:r w:rsidRPr="00852DCC">
        <w:rPr>
          <w:rFonts w:ascii="Times New Roman" w:hAnsi="Times New Roman"/>
        </w:rPr>
        <w:t xml:space="preserve"> poreikių.</w:t>
      </w:r>
    </w:p>
    <w:p w14:paraId="6C62A456" w14:textId="5C4D0786" w:rsidR="00274069" w:rsidRPr="00852DCC" w:rsidRDefault="00274069" w:rsidP="00274069">
      <w:pPr>
        <w:spacing w:after="0"/>
        <w:jc w:val="both"/>
        <w:rPr>
          <w:rFonts w:ascii="Times New Roman" w:hAnsi="Times New Roman"/>
        </w:rPr>
      </w:pPr>
      <w:r w:rsidRPr="00852DCC">
        <w:rPr>
          <w:rFonts w:ascii="Times New Roman" w:hAnsi="Times New Roman"/>
        </w:rPr>
        <w:t>1</w:t>
      </w:r>
      <w:r>
        <w:rPr>
          <w:rFonts w:ascii="Times New Roman" w:hAnsi="Times New Roman"/>
        </w:rPr>
        <w:t>5</w:t>
      </w:r>
      <w:r w:rsidRPr="00852DCC">
        <w:rPr>
          <w:rFonts w:ascii="Times New Roman" w:hAnsi="Times New Roman"/>
        </w:rPr>
        <w:t>. Pirkėjas įsipareigoja telkti neatlygintinus kraujo donorus bei organizuoti neatlygintinos kraujo donorystės akcijas (bendradarbiaujant su Pardavėju) savo patalpose, o Pardavėjas įsipareigoja teikti informaciją Lietuvos Respublikos sveikatos apsaugos ministerijai apie Pirkėjo neatlygintinos kraujo donorystės propagavimo veiklos rezultatus.</w:t>
      </w:r>
    </w:p>
    <w:p w14:paraId="1F476DA2" w14:textId="6D7A6229" w:rsidR="00274069" w:rsidRPr="00852DCC" w:rsidRDefault="00274069" w:rsidP="00274069">
      <w:pPr>
        <w:spacing w:after="0"/>
        <w:jc w:val="both"/>
        <w:rPr>
          <w:rFonts w:ascii="Times New Roman" w:hAnsi="Times New Roman"/>
        </w:rPr>
      </w:pPr>
      <w:r w:rsidRPr="00852DCC">
        <w:rPr>
          <w:rFonts w:ascii="Times New Roman" w:hAnsi="Times New Roman"/>
        </w:rPr>
        <w:t>1</w:t>
      </w:r>
      <w:r>
        <w:rPr>
          <w:rFonts w:ascii="Times New Roman" w:hAnsi="Times New Roman"/>
        </w:rPr>
        <w:t>6</w:t>
      </w:r>
      <w:r w:rsidRPr="00852DCC">
        <w:rPr>
          <w:rFonts w:ascii="Times New Roman" w:hAnsi="Times New Roman"/>
        </w:rPr>
        <w:t>. Kraujo maišai pagaminti iš polivinilchlorido (PVC).</w:t>
      </w:r>
    </w:p>
    <w:p w14:paraId="12459308" w14:textId="77777777" w:rsidR="00274069" w:rsidRPr="00852DCC" w:rsidRDefault="00274069" w:rsidP="00274069">
      <w:pPr>
        <w:spacing w:after="0"/>
        <w:jc w:val="both"/>
        <w:rPr>
          <w:rFonts w:ascii="Times New Roman" w:hAnsi="Times New Roman"/>
        </w:rPr>
      </w:pPr>
    </w:p>
    <w:p w14:paraId="12264FB5" w14:textId="77777777" w:rsidR="00274069" w:rsidRPr="00852DCC" w:rsidRDefault="00274069" w:rsidP="00274069">
      <w:pPr>
        <w:jc w:val="both"/>
        <w:rPr>
          <w:rFonts w:ascii="Times New Roman" w:hAnsi="Times New Roman"/>
          <w:b/>
          <w:bCs/>
        </w:rPr>
      </w:pPr>
      <w:r w:rsidRPr="00852DCC">
        <w:rPr>
          <w:rFonts w:ascii="Times New Roman" w:hAnsi="Times New Roman"/>
          <w:b/>
          <w:bCs/>
        </w:rPr>
        <w:t>SPECIALIEJI REIKALAVIMAI:</w:t>
      </w:r>
    </w:p>
    <w:p w14:paraId="62CC9643" w14:textId="77777777" w:rsidR="00274069" w:rsidRPr="00852DCC" w:rsidRDefault="00274069" w:rsidP="00274069">
      <w:pPr>
        <w:jc w:val="both"/>
        <w:rPr>
          <w:rFonts w:ascii="Times New Roman" w:hAnsi="Times New Roman"/>
        </w:rPr>
      </w:pPr>
      <w:r w:rsidRPr="00852DCC">
        <w:rPr>
          <w:rFonts w:ascii="Times New Roman" w:hAnsi="Times New Roman"/>
        </w:rPr>
        <w:t>2.1. Nurodytas prekių kiekis yra orientacinis. Perkančioji organizacija neįsipareigoja nupirkti nurodyto prekių kiekio ir / ar jį gali viršyti priklausomai nuo poreikio, ir / ar nenumatytų aplinkybių (situacijos) sutarties laikotarpiu.</w:t>
      </w:r>
    </w:p>
    <w:p w14:paraId="5DAD7B6E" w14:textId="77777777" w:rsidR="00274069" w:rsidRPr="00852DCC" w:rsidRDefault="00274069" w:rsidP="00274069">
      <w:pPr>
        <w:suppressAutoHyphens w:val="0"/>
        <w:overflowPunct w:val="0"/>
        <w:autoSpaceDE w:val="0"/>
        <w:autoSpaceDN w:val="0"/>
        <w:adjustRightInd w:val="0"/>
        <w:spacing w:after="0" w:line="240" w:lineRule="auto"/>
        <w:jc w:val="both"/>
        <w:rPr>
          <w:rFonts w:ascii="Times New Roman" w:eastAsia="Times New Roman" w:hAnsi="Times New Roman"/>
          <w:b/>
          <w:i/>
          <w:sz w:val="20"/>
          <w:szCs w:val="20"/>
          <w:lang w:eastAsia="en-US"/>
        </w:rPr>
      </w:pPr>
    </w:p>
    <w:p w14:paraId="636504CC" w14:textId="77777777" w:rsidR="00274069" w:rsidRPr="00852DCC" w:rsidRDefault="00274069" w:rsidP="00274069">
      <w:pPr>
        <w:tabs>
          <w:tab w:val="left" w:pos="851"/>
        </w:tabs>
        <w:suppressAutoHyphens w:val="0"/>
        <w:overflowPunct w:val="0"/>
        <w:autoSpaceDE w:val="0"/>
        <w:autoSpaceDN w:val="0"/>
        <w:adjustRightInd w:val="0"/>
        <w:spacing w:after="0" w:line="240" w:lineRule="auto"/>
        <w:jc w:val="both"/>
        <w:rPr>
          <w:rFonts w:ascii="Times New Roman" w:eastAsia="Times New Roman" w:hAnsi="Times New Roman"/>
          <w:i/>
          <w:lang w:eastAsia="en-US"/>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96"/>
        <w:gridCol w:w="1559"/>
        <w:gridCol w:w="1672"/>
      </w:tblGrid>
      <w:tr w:rsidR="00274069" w:rsidRPr="00852DCC" w14:paraId="2AE4C15A" w14:textId="77777777" w:rsidTr="00220460">
        <w:tc>
          <w:tcPr>
            <w:tcW w:w="567" w:type="dxa"/>
            <w:tcBorders>
              <w:top w:val="single" w:sz="4" w:space="0" w:color="auto"/>
              <w:left w:val="single" w:sz="4" w:space="0" w:color="auto"/>
              <w:bottom w:val="single" w:sz="4" w:space="0" w:color="auto"/>
              <w:right w:val="single" w:sz="4" w:space="0" w:color="auto"/>
            </w:tcBorders>
            <w:shd w:val="clear" w:color="auto" w:fill="E7E6E6"/>
          </w:tcPr>
          <w:p w14:paraId="3575FE25"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Eil. Nr.</w:t>
            </w:r>
          </w:p>
        </w:tc>
        <w:tc>
          <w:tcPr>
            <w:tcW w:w="6096" w:type="dxa"/>
            <w:tcBorders>
              <w:top w:val="single" w:sz="4" w:space="0" w:color="auto"/>
              <w:left w:val="single" w:sz="4" w:space="0" w:color="auto"/>
              <w:bottom w:val="single" w:sz="4" w:space="0" w:color="auto"/>
              <w:right w:val="single" w:sz="4" w:space="0" w:color="auto"/>
            </w:tcBorders>
            <w:shd w:val="clear" w:color="auto" w:fill="E7E6E6"/>
          </w:tcPr>
          <w:p w14:paraId="0AA3AAD6"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Prekių</w:t>
            </w:r>
            <w:r w:rsidRPr="00852DCC">
              <w:rPr>
                <w:rFonts w:ascii="Times New Roman" w:hAnsi="Times New Roman"/>
                <w:i/>
                <w:lang w:eastAsia="en-US"/>
              </w:rPr>
              <w:t xml:space="preserve"> </w:t>
            </w:r>
            <w:r w:rsidRPr="00852DCC">
              <w:rPr>
                <w:rFonts w:ascii="Times New Roman" w:hAnsi="Times New Roman"/>
                <w:lang w:eastAsia="en-US"/>
              </w:rPr>
              <w:t>pavadinimas, savybės</w:t>
            </w:r>
          </w:p>
        </w:tc>
        <w:tc>
          <w:tcPr>
            <w:tcW w:w="1559" w:type="dxa"/>
            <w:tcBorders>
              <w:top w:val="single" w:sz="4" w:space="0" w:color="auto"/>
              <w:left w:val="single" w:sz="4" w:space="0" w:color="auto"/>
              <w:bottom w:val="single" w:sz="4" w:space="0" w:color="auto"/>
              <w:right w:val="single" w:sz="4" w:space="0" w:color="auto"/>
            </w:tcBorders>
            <w:shd w:val="clear" w:color="auto" w:fill="E7E6E6"/>
          </w:tcPr>
          <w:p w14:paraId="43DD7B9B"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Mato</w:t>
            </w:r>
          </w:p>
          <w:p w14:paraId="22DBB510"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vnt.</w:t>
            </w:r>
          </w:p>
        </w:tc>
        <w:tc>
          <w:tcPr>
            <w:tcW w:w="1672" w:type="dxa"/>
            <w:tcBorders>
              <w:top w:val="single" w:sz="4" w:space="0" w:color="auto"/>
              <w:left w:val="single" w:sz="4" w:space="0" w:color="auto"/>
              <w:bottom w:val="single" w:sz="4" w:space="0" w:color="auto"/>
              <w:right w:val="single" w:sz="4" w:space="0" w:color="auto"/>
            </w:tcBorders>
            <w:shd w:val="clear" w:color="auto" w:fill="E7E6E6"/>
          </w:tcPr>
          <w:p w14:paraId="61BDF2CA"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 xml:space="preserve">Orientacinis </w:t>
            </w:r>
          </w:p>
          <w:p w14:paraId="4F181044"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 xml:space="preserve">36 mėnesių </w:t>
            </w:r>
          </w:p>
          <w:p w14:paraId="6934D538"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 xml:space="preserve"> poreikis</w:t>
            </w:r>
          </w:p>
        </w:tc>
      </w:tr>
      <w:tr w:rsidR="00274069" w:rsidRPr="00852DCC" w14:paraId="0F0304DB" w14:textId="77777777" w:rsidTr="00220460">
        <w:tc>
          <w:tcPr>
            <w:tcW w:w="567" w:type="dxa"/>
            <w:tcBorders>
              <w:top w:val="single" w:sz="4" w:space="0" w:color="auto"/>
              <w:left w:val="single" w:sz="4" w:space="0" w:color="auto"/>
              <w:bottom w:val="single" w:sz="4" w:space="0" w:color="auto"/>
              <w:right w:val="single" w:sz="4" w:space="0" w:color="auto"/>
            </w:tcBorders>
          </w:tcPr>
          <w:p w14:paraId="24DA64C7"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hAnsi="Times New Roman"/>
                <w:lang w:eastAsia="en-US"/>
              </w:rPr>
            </w:pPr>
            <w:r w:rsidRPr="00852DCC">
              <w:rPr>
                <w:rFonts w:ascii="Times New Roman" w:hAnsi="Times New Roman"/>
                <w:lang w:eastAsia="en-US"/>
              </w:rPr>
              <w:t>1</w:t>
            </w:r>
          </w:p>
        </w:tc>
        <w:tc>
          <w:tcPr>
            <w:tcW w:w="6096" w:type="dxa"/>
            <w:tcBorders>
              <w:top w:val="single" w:sz="4" w:space="0" w:color="auto"/>
              <w:left w:val="single" w:sz="4" w:space="0" w:color="auto"/>
              <w:bottom w:val="single" w:sz="4" w:space="0" w:color="auto"/>
              <w:right w:val="single" w:sz="4" w:space="0" w:color="auto"/>
            </w:tcBorders>
          </w:tcPr>
          <w:p w14:paraId="6958D9EB"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hAnsi="Times New Roman"/>
                <w:lang w:eastAsia="en-US"/>
              </w:rPr>
            </w:pPr>
            <w:r w:rsidRPr="00852DCC">
              <w:rPr>
                <w:rFonts w:ascii="Times New Roman" w:hAnsi="Times New Roman"/>
                <w:lang w:eastAsia="en-US"/>
              </w:rPr>
              <w:t>2</w:t>
            </w:r>
          </w:p>
        </w:tc>
        <w:tc>
          <w:tcPr>
            <w:tcW w:w="1559" w:type="dxa"/>
            <w:tcBorders>
              <w:top w:val="single" w:sz="4" w:space="0" w:color="auto"/>
              <w:left w:val="single" w:sz="4" w:space="0" w:color="auto"/>
              <w:bottom w:val="single" w:sz="4" w:space="0" w:color="auto"/>
              <w:right w:val="single" w:sz="4" w:space="0" w:color="auto"/>
            </w:tcBorders>
          </w:tcPr>
          <w:p w14:paraId="10ACEBFC"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hAnsi="Times New Roman"/>
                <w:lang w:eastAsia="en-US"/>
              </w:rPr>
            </w:pPr>
            <w:r w:rsidRPr="00852DCC">
              <w:rPr>
                <w:rFonts w:ascii="Times New Roman" w:hAnsi="Times New Roman"/>
                <w:lang w:eastAsia="en-US"/>
              </w:rPr>
              <w:t>3</w:t>
            </w:r>
          </w:p>
        </w:tc>
        <w:tc>
          <w:tcPr>
            <w:tcW w:w="1672" w:type="dxa"/>
            <w:tcBorders>
              <w:top w:val="single" w:sz="4" w:space="0" w:color="auto"/>
              <w:left w:val="single" w:sz="4" w:space="0" w:color="auto"/>
              <w:bottom w:val="single" w:sz="4" w:space="0" w:color="auto"/>
              <w:right w:val="single" w:sz="4" w:space="0" w:color="auto"/>
            </w:tcBorders>
          </w:tcPr>
          <w:p w14:paraId="54E5CD54"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hAnsi="Times New Roman"/>
                <w:lang w:eastAsia="en-US"/>
              </w:rPr>
            </w:pPr>
            <w:r w:rsidRPr="00852DCC">
              <w:rPr>
                <w:rFonts w:ascii="Times New Roman" w:hAnsi="Times New Roman"/>
                <w:lang w:eastAsia="en-US"/>
              </w:rPr>
              <w:t>4</w:t>
            </w:r>
          </w:p>
        </w:tc>
      </w:tr>
      <w:tr w:rsidR="00274069" w:rsidRPr="00852DCC" w14:paraId="6B533536" w14:textId="77777777" w:rsidTr="00A20D4E">
        <w:trPr>
          <w:trHeight w:val="608"/>
        </w:trPr>
        <w:tc>
          <w:tcPr>
            <w:tcW w:w="567" w:type="dxa"/>
            <w:tcBorders>
              <w:top w:val="single" w:sz="4" w:space="0" w:color="auto"/>
              <w:left w:val="single" w:sz="4" w:space="0" w:color="auto"/>
              <w:bottom w:val="single" w:sz="4" w:space="0" w:color="auto"/>
              <w:right w:val="single" w:sz="4" w:space="0" w:color="auto"/>
            </w:tcBorders>
          </w:tcPr>
          <w:p w14:paraId="01DE0A46"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1</w:t>
            </w:r>
          </w:p>
        </w:tc>
        <w:tc>
          <w:tcPr>
            <w:tcW w:w="6096" w:type="dxa"/>
            <w:tcBorders>
              <w:top w:val="single" w:sz="4" w:space="0" w:color="000000"/>
              <w:left w:val="single" w:sz="4" w:space="0" w:color="000000"/>
              <w:bottom w:val="single" w:sz="4" w:space="0" w:color="000000"/>
              <w:right w:val="single" w:sz="4" w:space="0" w:color="000000"/>
            </w:tcBorders>
          </w:tcPr>
          <w:p w14:paraId="3E3CC232" w14:textId="77777777" w:rsidR="00274069" w:rsidRPr="00852DCC" w:rsidRDefault="00274069" w:rsidP="00220460">
            <w:pPr>
              <w:shd w:val="clear" w:color="auto" w:fill="FFFFFF"/>
              <w:suppressAutoHyphens w:val="0"/>
              <w:overflowPunct w:val="0"/>
              <w:autoSpaceDE w:val="0"/>
              <w:autoSpaceDN w:val="0"/>
              <w:adjustRightInd w:val="0"/>
              <w:spacing w:after="0" w:line="240" w:lineRule="auto"/>
              <w:rPr>
                <w:rFonts w:ascii="Times New Roman" w:eastAsia="Times New Roman" w:hAnsi="Times New Roman"/>
                <w:lang w:eastAsia="en-US"/>
              </w:rPr>
            </w:pPr>
            <w:r w:rsidRPr="00852DCC">
              <w:rPr>
                <w:rFonts w:ascii="Times New Roman" w:eastAsia="Times New Roman" w:hAnsi="Times New Roman"/>
                <w:lang w:eastAsia="en-US"/>
              </w:rPr>
              <w:t>Eritrocitai  be leukocitų pridėtiniame tirpale (1 vienetas  250ml ± 50 ml )</w:t>
            </w:r>
          </w:p>
        </w:tc>
        <w:tc>
          <w:tcPr>
            <w:tcW w:w="1559" w:type="dxa"/>
            <w:tcBorders>
              <w:top w:val="single" w:sz="4" w:space="0" w:color="auto"/>
              <w:left w:val="single" w:sz="4" w:space="0" w:color="auto"/>
              <w:bottom w:val="single" w:sz="4" w:space="0" w:color="auto"/>
              <w:right w:val="single" w:sz="4" w:space="0" w:color="auto"/>
            </w:tcBorders>
          </w:tcPr>
          <w:p w14:paraId="3BF2DCCC"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hAnsi="Times New Roman"/>
                <w:lang w:eastAsia="en-US"/>
              </w:rPr>
            </w:pPr>
            <w:r w:rsidRPr="00852DCC">
              <w:rPr>
                <w:rFonts w:ascii="Times New Roman" w:hAnsi="Times New Roman"/>
                <w:lang w:eastAsia="en-US"/>
              </w:rPr>
              <w:t>Vnt.</w:t>
            </w:r>
          </w:p>
        </w:tc>
        <w:tc>
          <w:tcPr>
            <w:tcW w:w="1672" w:type="dxa"/>
            <w:tcBorders>
              <w:top w:val="single" w:sz="4" w:space="0" w:color="auto"/>
              <w:left w:val="single" w:sz="4" w:space="0" w:color="auto"/>
              <w:bottom w:val="single" w:sz="4" w:space="0" w:color="auto"/>
              <w:right w:val="single" w:sz="4" w:space="0" w:color="auto"/>
            </w:tcBorders>
          </w:tcPr>
          <w:p w14:paraId="6F0D466A" w14:textId="40A9596C" w:rsidR="00274069" w:rsidRPr="00852DCC" w:rsidRDefault="00A20D4E" w:rsidP="00220460">
            <w:pPr>
              <w:suppressAutoHyphens w:val="0"/>
              <w:overflowPunct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600</w:t>
            </w:r>
          </w:p>
        </w:tc>
      </w:tr>
      <w:tr w:rsidR="00274069" w:rsidRPr="00852DCC" w14:paraId="664578E7" w14:textId="77777777" w:rsidTr="00220460">
        <w:trPr>
          <w:trHeight w:val="360"/>
        </w:trPr>
        <w:tc>
          <w:tcPr>
            <w:tcW w:w="567" w:type="dxa"/>
            <w:tcBorders>
              <w:top w:val="single" w:sz="4" w:space="0" w:color="auto"/>
              <w:left w:val="single" w:sz="4" w:space="0" w:color="auto"/>
              <w:bottom w:val="single" w:sz="4" w:space="0" w:color="auto"/>
              <w:right w:val="single" w:sz="4" w:space="0" w:color="auto"/>
            </w:tcBorders>
          </w:tcPr>
          <w:p w14:paraId="722D3740"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2</w:t>
            </w:r>
          </w:p>
        </w:tc>
        <w:tc>
          <w:tcPr>
            <w:tcW w:w="6096" w:type="dxa"/>
            <w:tcBorders>
              <w:top w:val="single" w:sz="4" w:space="0" w:color="000000"/>
              <w:left w:val="single" w:sz="4" w:space="0" w:color="000000"/>
              <w:bottom w:val="single" w:sz="4" w:space="0" w:color="000000"/>
              <w:right w:val="single" w:sz="4" w:space="0" w:color="000000"/>
            </w:tcBorders>
          </w:tcPr>
          <w:p w14:paraId="4BAD7BF9" w14:textId="77777777" w:rsidR="00274069" w:rsidRPr="00852DCC" w:rsidRDefault="00274069" w:rsidP="00220460">
            <w:pPr>
              <w:shd w:val="clear" w:color="auto" w:fill="FFFFFF"/>
              <w:suppressAutoHyphens w:val="0"/>
              <w:overflowPunct w:val="0"/>
              <w:autoSpaceDE w:val="0"/>
              <w:autoSpaceDN w:val="0"/>
              <w:adjustRightInd w:val="0"/>
              <w:spacing w:after="0" w:line="240" w:lineRule="auto"/>
              <w:rPr>
                <w:rFonts w:ascii="Times New Roman" w:eastAsia="Times New Roman" w:hAnsi="Times New Roman"/>
                <w:lang w:eastAsia="en-US"/>
              </w:rPr>
            </w:pPr>
            <w:r w:rsidRPr="00852DCC">
              <w:rPr>
                <w:rFonts w:ascii="Times New Roman" w:eastAsia="Times New Roman" w:hAnsi="Times New Roman"/>
                <w:lang w:eastAsia="en-US"/>
              </w:rPr>
              <w:t xml:space="preserve">Šviežiai užšaldyta plazma </w:t>
            </w:r>
          </w:p>
          <w:p w14:paraId="5979E4AF" w14:textId="77777777" w:rsidR="00274069" w:rsidRPr="00852DCC" w:rsidRDefault="00274069" w:rsidP="00220460">
            <w:pPr>
              <w:shd w:val="clear" w:color="auto" w:fill="FFFFFF"/>
              <w:suppressAutoHyphens w:val="0"/>
              <w:overflowPunct w:val="0"/>
              <w:autoSpaceDE w:val="0"/>
              <w:autoSpaceDN w:val="0"/>
              <w:adjustRightInd w:val="0"/>
              <w:spacing w:after="0" w:line="240" w:lineRule="auto"/>
              <w:rPr>
                <w:rFonts w:ascii="Times New Roman" w:eastAsia="Times New Roman" w:hAnsi="Times New Roman"/>
                <w:lang w:eastAsia="en-US"/>
              </w:rPr>
            </w:pPr>
            <w:r w:rsidRPr="00852DCC">
              <w:rPr>
                <w:rFonts w:ascii="Times New Roman" w:eastAsia="Times New Roman" w:hAnsi="Times New Roman"/>
                <w:lang w:eastAsia="en-US"/>
              </w:rPr>
              <w:t>(1 vienetas 220 ± 50)</w:t>
            </w:r>
          </w:p>
        </w:tc>
        <w:tc>
          <w:tcPr>
            <w:tcW w:w="1559" w:type="dxa"/>
            <w:tcBorders>
              <w:top w:val="single" w:sz="4" w:space="0" w:color="auto"/>
              <w:left w:val="single" w:sz="4" w:space="0" w:color="auto"/>
              <w:bottom w:val="single" w:sz="4" w:space="0" w:color="auto"/>
              <w:right w:val="single" w:sz="4" w:space="0" w:color="auto"/>
            </w:tcBorders>
          </w:tcPr>
          <w:p w14:paraId="3446F6A0"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eastAsia="Times New Roman" w:hAnsi="Times New Roman"/>
                <w:lang w:eastAsia="en-US"/>
              </w:rPr>
            </w:pPr>
            <w:r w:rsidRPr="00852DCC">
              <w:rPr>
                <w:rFonts w:ascii="Times New Roman" w:eastAsia="Times New Roman" w:hAnsi="Times New Roman"/>
                <w:lang w:eastAsia="en-US"/>
              </w:rPr>
              <w:t>Vnt.</w:t>
            </w:r>
          </w:p>
        </w:tc>
        <w:tc>
          <w:tcPr>
            <w:tcW w:w="1672" w:type="dxa"/>
            <w:tcBorders>
              <w:top w:val="single" w:sz="4" w:space="0" w:color="auto"/>
              <w:left w:val="single" w:sz="4" w:space="0" w:color="auto"/>
              <w:bottom w:val="single" w:sz="4" w:space="0" w:color="auto"/>
              <w:right w:val="single" w:sz="4" w:space="0" w:color="auto"/>
            </w:tcBorders>
          </w:tcPr>
          <w:p w14:paraId="217024EE" w14:textId="3F5218E2" w:rsidR="00274069" w:rsidRPr="00852DCC" w:rsidRDefault="00A20D4E" w:rsidP="00220460">
            <w:pPr>
              <w:suppressAutoHyphens w:val="0"/>
              <w:overflowPunct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10</w:t>
            </w:r>
          </w:p>
        </w:tc>
      </w:tr>
      <w:tr w:rsidR="00A20D4E" w:rsidRPr="00852DCC" w14:paraId="0100228C" w14:textId="77777777" w:rsidTr="00220460">
        <w:trPr>
          <w:trHeight w:val="360"/>
        </w:trPr>
        <w:tc>
          <w:tcPr>
            <w:tcW w:w="567" w:type="dxa"/>
            <w:tcBorders>
              <w:top w:val="single" w:sz="4" w:space="0" w:color="auto"/>
              <w:left w:val="single" w:sz="4" w:space="0" w:color="auto"/>
              <w:bottom w:val="single" w:sz="4" w:space="0" w:color="auto"/>
              <w:right w:val="single" w:sz="4" w:space="0" w:color="auto"/>
            </w:tcBorders>
          </w:tcPr>
          <w:p w14:paraId="5E7F0C26" w14:textId="77777777" w:rsidR="00A20D4E" w:rsidRPr="00852DCC" w:rsidRDefault="00A20D4E" w:rsidP="00220460">
            <w:pPr>
              <w:suppressAutoHyphens w:val="0"/>
              <w:overflowPunct w:val="0"/>
              <w:autoSpaceDE w:val="0"/>
              <w:autoSpaceDN w:val="0"/>
              <w:adjustRightInd w:val="0"/>
              <w:spacing w:after="0" w:line="240" w:lineRule="auto"/>
              <w:rPr>
                <w:rFonts w:ascii="Times New Roman" w:hAnsi="Times New Roman"/>
                <w:lang w:eastAsia="en-US"/>
              </w:rPr>
            </w:pPr>
          </w:p>
        </w:tc>
        <w:tc>
          <w:tcPr>
            <w:tcW w:w="6096" w:type="dxa"/>
            <w:tcBorders>
              <w:top w:val="single" w:sz="4" w:space="0" w:color="000000"/>
              <w:left w:val="single" w:sz="4" w:space="0" w:color="000000"/>
              <w:bottom w:val="single" w:sz="4" w:space="0" w:color="000000"/>
              <w:right w:val="single" w:sz="4" w:space="0" w:color="000000"/>
            </w:tcBorders>
          </w:tcPr>
          <w:p w14:paraId="0CC5C220" w14:textId="77777777" w:rsidR="00A20D4E" w:rsidRDefault="00A20D4E" w:rsidP="00220460">
            <w:pPr>
              <w:shd w:val="clear" w:color="auto" w:fill="FFFFFF"/>
              <w:suppressAutoHyphens w:val="0"/>
              <w:overflowPunct w:val="0"/>
              <w:autoSpaceDE w:val="0"/>
              <w:autoSpaceDN w:val="0"/>
              <w:adjustRightInd w:val="0"/>
              <w:spacing w:after="0" w:line="240" w:lineRule="auto"/>
              <w:rPr>
                <w:rFonts w:ascii="Times New Roman" w:eastAsia="Times New Roman" w:hAnsi="Times New Roman"/>
                <w:lang w:eastAsia="en-US"/>
              </w:rPr>
            </w:pPr>
            <w:r w:rsidRPr="00A20D4E">
              <w:rPr>
                <w:rFonts w:ascii="Times New Roman" w:eastAsia="Times New Roman" w:hAnsi="Times New Roman"/>
                <w:lang w:eastAsia="en-US"/>
              </w:rPr>
              <w:t>Nuplauti eritrocitai</w:t>
            </w:r>
          </w:p>
          <w:p w14:paraId="4B01EADE" w14:textId="30E2EDB3" w:rsidR="00A20D4E" w:rsidRPr="00852DCC" w:rsidRDefault="00A20D4E" w:rsidP="00220460">
            <w:pPr>
              <w:shd w:val="clear" w:color="auto" w:fill="FFFFFF"/>
              <w:suppressAutoHyphens w:val="0"/>
              <w:overflowPunct w:val="0"/>
              <w:autoSpaceDE w:val="0"/>
              <w:autoSpaceDN w:val="0"/>
              <w:adjustRightInd w:val="0"/>
              <w:spacing w:after="0" w:line="240" w:lineRule="auto"/>
              <w:rPr>
                <w:rFonts w:ascii="Times New Roman" w:eastAsia="Times New Roman" w:hAnsi="Times New Roman"/>
                <w:lang w:eastAsia="en-US"/>
              </w:rPr>
            </w:pPr>
            <w:r w:rsidRPr="00A20D4E">
              <w:rPr>
                <w:rFonts w:ascii="Times New Roman" w:eastAsia="Times New Roman" w:hAnsi="Times New Roman"/>
                <w:lang w:eastAsia="en-US"/>
              </w:rPr>
              <w:t xml:space="preserve"> (1 V = 280 ml ± 60 ml)</w:t>
            </w:r>
          </w:p>
        </w:tc>
        <w:tc>
          <w:tcPr>
            <w:tcW w:w="1559" w:type="dxa"/>
            <w:tcBorders>
              <w:top w:val="single" w:sz="4" w:space="0" w:color="auto"/>
              <w:left w:val="single" w:sz="4" w:space="0" w:color="auto"/>
              <w:bottom w:val="single" w:sz="4" w:space="0" w:color="auto"/>
              <w:right w:val="single" w:sz="4" w:space="0" w:color="auto"/>
            </w:tcBorders>
          </w:tcPr>
          <w:p w14:paraId="239C110E" w14:textId="4FBD1A7D" w:rsidR="00A20D4E" w:rsidRPr="00852DCC" w:rsidRDefault="00A20D4E" w:rsidP="00220460">
            <w:pPr>
              <w:suppressAutoHyphens w:val="0"/>
              <w:overflowPunct w:val="0"/>
              <w:autoSpaceDE w:val="0"/>
              <w:autoSpaceDN w:val="0"/>
              <w:adjustRightInd w:val="0"/>
              <w:spacing w:after="0" w:line="240" w:lineRule="auto"/>
              <w:jc w:val="center"/>
              <w:rPr>
                <w:rFonts w:ascii="Times New Roman" w:eastAsia="Times New Roman" w:hAnsi="Times New Roman"/>
                <w:lang w:eastAsia="en-US"/>
              </w:rPr>
            </w:pPr>
            <w:r>
              <w:rPr>
                <w:rFonts w:ascii="Times New Roman" w:eastAsia="Times New Roman" w:hAnsi="Times New Roman"/>
                <w:lang w:eastAsia="en-US"/>
              </w:rPr>
              <w:t>Vnt.</w:t>
            </w:r>
          </w:p>
        </w:tc>
        <w:tc>
          <w:tcPr>
            <w:tcW w:w="1672" w:type="dxa"/>
            <w:tcBorders>
              <w:top w:val="single" w:sz="4" w:space="0" w:color="auto"/>
              <w:left w:val="single" w:sz="4" w:space="0" w:color="auto"/>
              <w:bottom w:val="single" w:sz="4" w:space="0" w:color="auto"/>
              <w:right w:val="single" w:sz="4" w:space="0" w:color="auto"/>
            </w:tcBorders>
          </w:tcPr>
          <w:p w14:paraId="354707B9" w14:textId="46331313" w:rsidR="00A20D4E" w:rsidRDefault="00A20D4E" w:rsidP="00220460">
            <w:pPr>
              <w:suppressAutoHyphens w:val="0"/>
              <w:overflowPunct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10</w:t>
            </w:r>
          </w:p>
        </w:tc>
      </w:tr>
      <w:tr w:rsidR="00274069" w:rsidRPr="00852DCC" w14:paraId="3998FE7E" w14:textId="77777777" w:rsidTr="00220460">
        <w:trPr>
          <w:trHeight w:val="239"/>
        </w:trPr>
        <w:tc>
          <w:tcPr>
            <w:tcW w:w="567" w:type="dxa"/>
            <w:tcBorders>
              <w:top w:val="single" w:sz="4" w:space="0" w:color="auto"/>
              <w:left w:val="single" w:sz="4" w:space="0" w:color="auto"/>
              <w:bottom w:val="single" w:sz="4" w:space="0" w:color="auto"/>
              <w:right w:val="single" w:sz="4" w:space="0" w:color="auto"/>
            </w:tcBorders>
          </w:tcPr>
          <w:p w14:paraId="123C29D6"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3</w:t>
            </w:r>
          </w:p>
        </w:tc>
        <w:tc>
          <w:tcPr>
            <w:tcW w:w="6096" w:type="dxa"/>
            <w:tcBorders>
              <w:top w:val="single" w:sz="4" w:space="0" w:color="000000"/>
              <w:left w:val="single" w:sz="4" w:space="0" w:color="000000"/>
              <w:bottom w:val="single" w:sz="4" w:space="0" w:color="000000"/>
              <w:right w:val="single" w:sz="4" w:space="0" w:color="000000"/>
            </w:tcBorders>
          </w:tcPr>
          <w:p w14:paraId="291DAA25" w14:textId="77777777" w:rsidR="00274069" w:rsidRPr="00852DCC" w:rsidRDefault="00274069" w:rsidP="00220460">
            <w:pPr>
              <w:shd w:val="clear" w:color="auto" w:fill="FFFFFF"/>
              <w:suppressAutoHyphens w:val="0"/>
              <w:overflowPunct w:val="0"/>
              <w:autoSpaceDE w:val="0"/>
              <w:autoSpaceDN w:val="0"/>
              <w:adjustRightInd w:val="0"/>
              <w:spacing w:after="0" w:line="240" w:lineRule="auto"/>
              <w:rPr>
                <w:rFonts w:ascii="Times New Roman" w:eastAsia="Times New Roman" w:hAnsi="Times New Roman"/>
                <w:lang w:eastAsia="en-US"/>
              </w:rPr>
            </w:pPr>
            <w:r w:rsidRPr="00852DCC">
              <w:rPr>
                <w:rFonts w:ascii="Times New Roman" w:eastAsia="Times New Roman" w:hAnsi="Times New Roman"/>
                <w:lang w:eastAsia="en-US"/>
              </w:rPr>
              <w:t>Sukauptieji trombocitai, gauti iš konservuoto kraujo be leukocitų (trombocitų skaičius ne mažesnis kaip 2x10</w:t>
            </w:r>
            <w:r w:rsidRPr="00852DCC">
              <w:rPr>
                <w:rFonts w:ascii="Times New Roman" w:eastAsia="Times New Roman" w:hAnsi="Times New Roman"/>
                <w:vertAlign w:val="superscript"/>
                <w:lang w:eastAsia="en-US"/>
              </w:rPr>
              <w:t>11</w:t>
            </w:r>
            <w:r w:rsidRPr="00852DCC">
              <w:rPr>
                <w:rFonts w:ascii="Times New Roman" w:eastAsia="Times New Roman" w:hAnsi="Times New Roman"/>
                <w:lang w:eastAsia="en-US"/>
              </w:rPr>
              <w:t xml:space="preserve"> vienete)</w:t>
            </w:r>
          </w:p>
        </w:tc>
        <w:tc>
          <w:tcPr>
            <w:tcW w:w="1559" w:type="dxa"/>
            <w:tcBorders>
              <w:top w:val="single" w:sz="4" w:space="0" w:color="auto"/>
              <w:left w:val="single" w:sz="4" w:space="0" w:color="auto"/>
              <w:bottom w:val="single" w:sz="4" w:space="0" w:color="auto"/>
              <w:right w:val="single" w:sz="4" w:space="0" w:color="auto"/>
            </w:tcBorders>
          </w:tcPr>
          <w:p w14:paraId="72151824"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eastAsia="Times New Roman" w:hAnsi="Times New Roman"/>
                <w:lang w:eastAsia="en-US"/>
              </w:rPr>
            </w:pPr>
            <w:r w:rsidRPr="00852DCC">
              <w:rPr>
                <w:rFonts w:ascii="Times New Roman" w:eastAsia="Times New Roman" w:hAnsi="Times New Roman"/>
                <w:lang w:eastAsia="en-US"/>
              </w:rPr>
              <w:t>Vnt.</w:t>
            </w:r>
          </w:p>
        </w:tc>
        <w:tc>
          <w:tcPr>
            <w:tcW w:w="1672" w:type="dxa"/>
            <w:tcBorders>
              <w:top w:val="single" w:sz="4" w:space="0" w:color="auto"/>
              <w:left w:val="single" w:sz="4" w:space="0" w:color="auto"/>
              <w:bottom w:val="single" w:sz="4" w:space="0" w:color="auto"/>
              <w:right w:val="single" w:sz="4" w:space="0" w:color="auto"/>
            </w:tcBorders>
          </w:tcPr>
          <w:p w14:paraId="2E4C20F4"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hAnsi="Times New Roman"/>
                <w:lang w:eastAsia="en-US"/>
              </w:rPr>
            </w:pPr>
            <w:r w:rsidRPr="00852DCC">
              <w:rPr>
                <w:rFonts w:ascii="Times New Roman" w:hAnsi="Times New Roman"/>
                <w:lang w:eastAsia="en-US"/>
              </w:rPr>
              <w:t>20</w:t>
            </w:r>
          </w:p>
        </w:tc>
      </w:tr>
      <w:tr w:rsidR="00274069" w:rsidRPr="00852DCC" w14:paraId="29D6BF14" w14:textId="77777777" w:rsidTr="00220460">
        <w:trPr>
          <w:trHeight w:val="136"/>
        </w:trPr>
        <w:tc>
          <w:tcPr>
            <w:tcW w:w="8222" w:type="dxa"/>
            <w:gridSpan w:val="3"/>
            <w:tcBorders>
              <w:top w:val="single" w:sz="4" w:space="0" w:color="auto"/>
              <w:left w:val="single" w:sz="4" w:space="0" w:color="auto"/>
              <w:bottom w:val="single" w:sz="4" w:space="0" w:color="auto"/>
              <w:right w:val="single" w:sz="4" w:space="0" w:color="auto"/>
            </w:tcBorders>
            <w:shd w:val="clear" w:color="auto" w:fill="E7E6E6"/>
          </w:tcPr>
          <w:p w14:paraId="3D67F70C" w14:textId="77777777" w:rsidR="00274069" w:rsidRPr="00852DCC" w:rsidRDefault="00274069" w:rsidP="00220460">
            <w:pPr>
              <w:suppressAutoHyphens w:val="0"/>
              <w:overflowPunct w:val="0"/>
              <w:autoSpaceDE w:val="0"/>
              <w:autoSpaceDN w:val="0"/>
              <w:adjustRightInd w:val="0"/>
              <w:spacing w:after="0" w:line="240" w:lineRule="auto"/>
              <w:rPr>
                <w:rFonts w:ascii="Times New Roman" w:eastAsia="Times New Roman" w:hAnsi="Times New Roman"/>
                <w:b/>
                <w:i/>
                <w:lang w:eastAsia="en-US"/>
              </w:rPr>
            </w:pPr>
            <w:r w:rsidRPr="00852DCC">
              <w:rPr>
                <w:rFonts w:ascii="Times New Roman" w:eastAsia="Times New Roman" w:hAnsi="Times New Roman"/>
                <w:b/>
                <w:i/>
                <w:lang w:eastAsia="en-US"/>
              </w:rPr>
              <w:t>Kraujo komponentų maišelių reikalavimai</w:t>
            </w:r>
          </w:p>
          <w:p w14:paraId="587D67F1"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hAnsi="Times New Roman"/>
                <w:lang w:eastAsia="en-US"/>
              </w:rPr>
            </w:pPr>
          </w:p>
        </w:tc>
        <w:tc>
          <w:tcPr>
            <w:tcW w:w="1672" w:type="dxa"/>
            <w:tcBorders>
              <w:top w:val="single" w:sz="4" w:space="0" w:color="auto"/>
              <w:left w:val="single" w:sz="4" w:space="0" w:color="auto"/>
              <w:bottom w:val="single" w:sz="4" w:space="0" w:color="auto"/>
              <w:right w:val="single" w:sz="4" w:space="0" w:color="auto"/>
            </w:tcBorders>
            <w:shd w:val="clear" w:color="auto" w:fill="E7E6E6"/>
          </w:tcPr>
          <w:p w14:paraId="5E09678F"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hAnsi="Times New Roman"/>
                <w:lang w:eastAsia="en-US"/>
              </w:rPr>
            </w:pPr>
            <w:r w:rsidRPr="00852DCC">
              <w:rPr>
                <w:rFonts w:ascii="Times New Roman" w:hAnsi="Times New Roman"/>
                <w:lang w:eastAsia="en-US"/>
              </w:rPr>
              <w:t>Taip / Ne/ Pastaba</w:t>
            </w:r>
          </w:p>
        </w:tc>
      </w:tr>
      <w:tr w:rsidR="00274069" w:rsidRPr="00852DCC" w14:paraId="753AAEAA" w14:textId="77777777" w:rsidTr="00220460">
        <w:trPr>
          <w:trHeight w:val="84"/>
        </w:trPr>
        <w:tc>
          <w:tcPr>
            <w:tcW w:w="567" w:type="dxa"/>
            <w:tcBorders>
              <w:top w:val="single" w:sz="4" w:space="0" w:color="auto"/>
              <w:left w:val="single" w:sz="4" w:space="0" w:color="auto"/>
              <w:bottom w:val="single" w:sz="4" w:space="0" w:color="auto"/>
              <w:right w:val="single" w:sz="4" w:space="0" w:color="auto"/>
            </w:tcBorders>
          </w:tcPr>
          <w:p w14:paraId="2E6D2BD9"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1</w:t>
            </w:r>
          </w:p>
        </w:tc>
        <w:tc>
          <w:tcPr>
            <w:tcW w:w="6096" w:type="dxa"/>
            <w:tcBorders>
              <w:top w:val="single" w:sz="4" w:space="0" w:color="000000"/>
              <w:left w:val="single" w:sz="4" w:space="0" w:color="000000"/>
              <w:bottom w:val="single" w:sz="4" w:space="0" w:color="000000"/>
              <w:right w:val="single" w:sz="4" w:space="0" w:color="auto"/>
            </w:tcBorders>
          </w:tcPr>
          <w:p w14:paraId="2D37E58C" w14:textId="77777777" w:rsidR="00274069" w:rsidRPr="00852DCC" w:rsidRDefault="00274069" w:rsidP="00220460">
            <w:pPr>
              <w:suppressAutoHyphens w:val="0"/>
              <w:overflowPunct w:val="0"/>
              <w:autoSpaceDE w:val="0"/>
              <w:autoSpaceDN w:val="0"/>
              <w:adjustRightInd w:val="0"/>
              <w:spacing w:after="0" w:line="240" w:lineRule="auto"/>
              <w:jc w:val="both"/>
              <w:rPr>
                <w:rFonts w:ascii="Times New Roman" w:eastAsia="Times New Roman" w:hAnsi="Times New Roman"/>
                <w:lang w:eastAsia="en-US"/>
              </w:rPr>
            </w:pPr>
            <w:r w:rsidRPr="00852DCC">
              <w:rPr>
                <w:rFonts w:ascii="Times New Roman" w:eastAsia="Times New Roman" w:hAnsi="Times New Roman"/>
                <w:lang w:eastAsia="en-US"/>
              </w:rPr>
              <w:t>Komponentų maišelių etiketės turi būti pilnai užpildytos nenuplaunamais užrašais</w:t>
            </w:r>
          </w:p>
        </w:tc>
        <w:tc>
          <w:tcPr>
            <w:tcW w:w="1559" w:type="dxa"/>
            <w:tcBorders>
              <w:top w:val="single" w:sz="4" w:space="0" w:color="auto"/>
              <w:left w:val="single" w:sz="4" w:space="0" w:color="auto"/>
              <w:bottom w:val="single" w:sz="4" w:space="0" w:color="auto"/>
              <w:right w:val="single" w:sz="4" w:space="0" w:color="auto"/>
            </w:tcBorders>
          </w:tcPr>
          <w:p w14:paraId="546DEACC"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Būtina</w:t>
            </w:r>
          </w:p>
        </w:tc>
        <w:tc>
          <w:tcPr>
            <w:tcW w:w="1672" w:type="dxa"/>
            <w:tcBorders>
              <w:top w:val="single" w:sz="4" w:space="0" w:color="auto"/>
              <w:left w:val="single" w:sz="4" w:space="0" w:color="auto"/>
              <w:bottom w:val="single" w:sz="4" w:space="0" w:color="auto"/>
              <w:right w:val="single" w:sz="4" w:space="0" w:color="auto"/>
            </w:tcBorders>
          </w:tcPr>
          <w:p w14:paraId="17D58421"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p>
        </w:tc>
      </w:tr>
      <w:tr w:rsidR="00274069" w:rsidRPr="00852DCC" w14:paraId="7F89B2E5" w14:textId="77777777" w:rsidTr="00220460">
        <w:trPr>
          <w:trHeight w:val="84"/>
        </w:trPr>
        <w:tc>
          <w:tcPr>
            <w:tcW w:w="567" w:type="dxa"/>
            <w:tcBorders>
              <w:top w:val="single" w:sz="4" w:space="0" w:color="auto"/>
              <w:left w:val="single" w:sz="4" w:space="0" w:color="auto"/>
              <w:bottom w:val="single" w:sz="4" w:space="0" w:color="auto"/>
              <w:right w:val="single" w:sz="4" w:space="0" w:color="auto"/>
            </w:tcBorders>
          </w:tcPr>
          <w:p w14:paraId="674BB74D"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2</w:t>
            </w:r>
          </w:p>
        </w:tc>
        <w:tc>
          <w:tcPr>
            <w:tcW w:w="6096" w:type="dxa"/>
            <w:tcBorders>
              <w:top w:val="single" w:sz="4" w:space="0" w:color="000000"/>
              <w:left w:val="single" w:sz="4" w:space="0" w:color="000000"/>
              <w:bottom w:val="single" w:sz="4" w:space="0" w:color="000000"/>
              <w:right w:val="single" w:sz="4" w:space="0" w:color="auto"/>
            </w:tcBorders>
          </w:tcPr>
          <w:p w14:paraId="5EC3F570" w14:textId="77777777" w:rsidR="00274069" w:rsidRPr="00852DCC" w:rsidRDefault="00274069" w:rsidP="00220460">
            <w:pPr>
              <w:suppressAutoHyphens w:val="0"/>
              <w:overflowPunct w:val="0"/>
              <w:autoSpaceDE w:val="0"/>
              <w:autoSpaceDN w:val="0"/>
              <w:adjustRightInd w:val="0"/>
              <w:spacing w:after="0" w:line="240" w:lineRule="auto"/>
              <w:jc w:val="both"/>
              <w:rPr>
                <w:rFonts w:ascii="Times New Roman" w:hAnsi="Times New Roman"/>
                <w:lang w:eastAsia="en-US"/>
              </w:rPr>
            </w:pPr>
            <w:r w:rsidRPr="00852DCC">
              <w:rPr>
                <w:rFonts w:ascii="Times New Roman" w:eastAsia="Times New Roman" w:hAnsi="Times New Roman"/>
                <w:lang w:eastAsia="en-US"/>
              </w:rPr>
              <w:t>Kraujo komponentų maišeliai turi būti sertifikuoti  ir nepavojingi žmogaus sveikatai</w:t>
            </w:r>
          </w:p>
        </w:tc>
        <w:tc>
          <w:tcPr>
            <w:tcW w:w="1559" w:type="dxa"/>
            <w:tcBorders>
              <w:top w:val="single" w:sz="4" w:space="0" w:color="auto"/>
              <w:left w:val="single" w:sz="4" w:space="0" w:color="auto"/>
              <w:bottom w:val="single" w:sz="4" w:space="0" w:color="auto"/>
              <w:right w:val="single" w:sz="4" w:space="0" w:color="auto"/>
            </w:tcBorders>
          </w:tcPr>
          <w:p w14:paraId="1EABBC2E"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Būtina</w:t>
            </w:r>
          </w:p>
        </w:tc>
        <w:tc>
          <w:tcPr>
            <w:tcW w:w="1672" w:type="dxa"/>
            <w:tcBorders>
              <w:top w:val="single" w:sz="4" w:space="0" w:color="auto"/>
              <w:left w:val="single" w:sz="4" w:space="0" w:color="auto"/>
              <w:bottom w:val="single" w:sz="4" w:space="0" w:color="auto"/>
              <w:right w:val="single" w:sz="4" w:space="0" w:color="auto"/>
            </w:tcBorders>
          </w:tcPr>
          <w:p w14:paraId="3D5EF92B"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p>
        </w:tc>
      </w:tr>
      <w:tr w:rsidR="00274069" w:rsidRPr="00852DCC" w14:paraId="326CCC63" w14:textId="77777777" w:rsidTr="00220460">
        <w:trPr>
          <w:trHeight w:val="181"/>
        </w:trPr>
        <w:tc>
          <w:tcPr>
            <w:tcW w:w="567" w:type="dxa"/>
            <w:tcBorders>
              <w:top w:val="single" w:sz="4" w:space="0" w:color="auto"/>
              <w:left w:val="single" w:sz="4" w:space="0" w:color="auto"/>
              <w:bottom w:val="single" w:sz="4" w:space="0" w:color="auto"/>
              <w:right w:val="single" w:sz="4" w:space="0" w:color="auto"/>
            </w:tcBorders>
          </w:tcPr>
          <w:p w14:paraId="60A0F7F2"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3</w:t>
            </w:r>
          </w:p>
        </w:tc>
        <w:tc>
          <w:tcPr>
            <w:tcW w:w="6096" w:type="dxa"/>
            <w:tcBorders>
              <w:top w:val="single" w:sz="4" w:space="0" w:color="000000"/>
              <w:left w:val="single" w:sz="4" w:space="0" w:color="000000"/>
              <w:bottom w:val="single" w:sz="4" w:space="0" w:color="000000"/>
              <w:right w:val="single" w:sz="4" w:space="0" w:color="auto"/>
            </w:tcBorders>
          </w:tcPr>
          <w:p w14:paraId="1A54E964" w14:textId="77777777" w:rsidR="00274069" w:rsidRPr="00852DCC" w:rsidRDefault="00274069" w:rsidP="00220460">
            <w:pPr>
              <w:suppressAutoHyphens w:val="0"/>
              <w:overflowPunct w:val="0"/>
              <w:autoSpaceDE w:val="0"/>
              <w:autoSpaceDN w:val="0"/>
              <w:adjustRightInd w:val="0"/>
              <w:spacing w:after="0" w:line="240" w:lineRule="auto"/>
              <w:jc w:val="both"/>
              <w:rPr>
                <w:rFonts w:ascii="Times New Roman" w:hAnsi="Times New Roman"/>
                <w:lang w:eastAsia="en-US"/>
              </w:rPr>
            </w:pPr>
            <w:r w:rsidRPr="00852DCC">
              <w:rPr>
                <w:rFonts w:ascii="Times New Roman" w:eastAsia="Times New Roman" w:hAnsi="Times New Roman"/>
                <w:lang w:eastAsia="en-US"/>
              </w:rPr>
              <w:t>Kraujo maišelių žarnelės turi būti sufragmentuotos taip, kad kiekviename fragmente būtų visi fragmento numerio skaičiai.</w:t>
            </w:r>
          </w:p>
        </w:tc>
        <w:tc>
          <w:tcPr>
            <w:tcW w:w="1559" w:type="dxa"/>
            <w:tcBorders>
              <w:top w:val="single" w:sz="4" w:space="0" w:color="auto"/>
              <w:left w:val="single" w:sz="4" w:space="0" w:color="auto"/>
              <w:bottom w:val="single" w:sz="4" w:space="0" w:color="auto"/>
              <w:right w:val="single" w:sz="4" w:space="0" w:color="auto"/>
            </w:tcBorders>
          </w:tcPr>
          <w:p w14:paraId="468A5913"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Būtina</w:t>
            </w:r>
          </w:p>
        </w:tc>
        <w:tc>
          <w:tcPr>
            <w:tcW w:w="1672" w:type="dxa"/>
            <w:tcBorders>
              <w:top w:val="single" w:sz="4" w:space="0" w:color="auto"/>
              <w:left w:val="single" w:sz="4" w:space="0" w:color="auto"/>
              <w:bottom w:val="single" w:sz="4" w:space="0" w:color="auto"/>
              <w:right w:val="single" w:sz="4" w:space="0" w:color="auto"/>
            </w:tcBorders>
          </w:tcPr>
          <w:p w14:paraId="44880D23"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p>
        </w:tc>
      </w:tr>
      <w:tr w:rsidR="00274069" w:rsidRPr="00852DCC" w14:paraId="6EF234EB" w14:textId="77777777" w:rsidTr="00220460">
        <w:trPr>
          <w:trHeight w:val="249"/>
        </w:trPr>
        <w:tc>
          <w:tcPr>
            <w:tcW w:w="567" w:type="dxa"/>
            <w:tcBorders>
              <w:top w:val="single" w:sz="4" w:space="0" w:color="auto"/>
              <w:left w:val="single" w:sz="4" w:space="0" w:color="auto"/>
              <w:bottom w:val="single" w:sz="4" w:space="0" w:color="auto"/>
              <w:right w:val="single" w:sz="4" w:space="0" w:color="auto"/>
            </w:tcBorders>
          </w:tcPr>
          <w:p w14:paraId="12E9AF2F"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4</w:t>
            </w:r>
          </w:p>
        </w:tc>
        <w:tc>
          <w:tcPr>
            <w:tcW w:w="6096" w:type="dxa"/>
            <w:tcBorders>
              <w:top w:val="single" w:sz="4" w:space="0" w:color="000000"/>
              <w:left w:val="single" w:sz="4" w:space="0" w:color="000000"/>
              <w:bottom w:val="single" w:sz="4" w:space="0" w:color="000000"/>
              <w:right w:val="single" w:sz="4" w:space="0" w:color="auto"/>
            </w:tcBorders>
          </w:tcPr>
          <w:p w14:paraId="29F260E9" w14:textId="77777777" w:rsidR="00274069" w:rsidRPr="00852DCC" w:rsidRDefault="00274069" w:rsidP="00220460">
            <w:pPr>
              <w:suppressAutoHyphens w:val="0"/>
              <w:overflowPunct w:val="0"/>
              <w:autoSpaceDE w:val="0"/>
              <w:autoSpaceDN w:val="0"/>
              <w:adjustRightInd w:val="0"/>
              <w:spacing w:after="0" w:line="240" w:lineRule="auto"/>
              <w:jc w:val="both"/>
              <w:rPr>
                <w:rFonts w:ascii="Times New Roman" w:hAnsi="Times New Roman"/>
                <w:lang w:eastAsia="en-US"/>
              </w:rPr>
            </w:pPr>
            <w:r w:rsidRPr="00852DCC">
              <w:rPr>
                <w:rFonts w:ascii="Times New Roman" w:eastAsia="Times New Roman" w:hAnsi="Times New Roman"/>
                <w:lang w:eastAsia="en-US"/>
              </w:rPr>
              <w:t>Kraujas eritrocitų maišelių žarnelių segmentuose (fragmentuose) turi būti tinkamai sumaišytas su konservantu.</w:t>
            </w:r>
          </w:p>
        </w:tc>
        <w:tc>
          <w:tcPr>
            <w:tcW w:w="1559" w:type="dxa"/>
            <w:tcBorders>
              <w:top w:val="single" w:sz="4" w:space="0" w:color="auto"/>
              <w:left w:val="single" w:sz="4" w:space="0" w:color="auto"/>
              <w:bottom w:val="single" w:sz="4" w:space="0" w:color="auto"/>
              <w:right w:val="single" w:sz="4" w:space="0" w:color="auto"/>
            </w:tcBorders>
          </w:tcPr>
          <w:p w14:paraId="527CA562"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Būtina</w:t>
            </w:r>
          </w:p>
        </w:tc>
        <w:tc>
          <w:tcPr>
            <w:tcW w:w="1672" w:type="dxa"/>
            <w:tcBorders>
              <w:top w:val="single" w:sz="4" w:space="0" w:color="auto"/>
              <w:left w:val="single" w:sz="4" w:space="0" w:color="auto"/>
              <w:bottom w:val="single" w:sz="4" w:space="0" w:color="auto"/>
              <w:right w:val="single" w:sz="4" w:space="0" w:color="auto"/>
            </w:tcBorders>
          </w:tcPr>
          <w:p w14:paraId="12E1792B"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p>
        </w:tc>
      </w:tr>
      <w:tr w:rsidR="00274069" w:rsidRPr="00852DCC" w14:paraId="33A80ABB" w14:textId="77777777" w:rsidTr="00220460">
        <w:trPr>
          <w:trHeight w:val="126"/>
        </w:trPr>
        <w:tc>
          <w:tcPr>
            <w:tcW w:w="567" w:type="dxa"/>
            <w:tcBorders>
              <w:top w:val="single" w:sz="4" w:space="0" w:color="auto"/>
              <w:left w:val="single" w:sz="4" w:space="0" w:color="auto"/>
              <w:bottom w:val="single" w:sz="4" w:space="0" w:color="auto"/>
              <w:right w:val="single" w:sz="4" w:space="0" w:color="auto"/>
            </w:tcBorders>
          </w:tcPr>
          <w:p w14:paraId="5CE51474"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5</w:t>
            </w:r>
          </w:p>
        </w:tc>
        <w:tc>
          <w:tcPr>
            <w:tcW w:w="6096" w:type="dxa"/>
            <w:tcBorders>
              <w:top w:val="single" w:sz="4" w:space="0" w:color="auto"/>
              <w:left w:val="single" w:sz="4" w:space="0" w:color="auto"/>
              <w:bottom w:val="single" w:sz="4" w:space="0" w:color="auto"/>
              <w:right w:val="single" w:sz="4" w:space="0" w:color="auto"/>
            </w:tcBorders>
          </w:tcPr>
          <w:p w14:paraId="5B4E945C" w14:textId="77777777" w:rsidR="00274069" w:rsidRPr="00852DCC" w:rsidRDefault="00274069" w:rsidP="00220460">
            <w:pPr>
              <w:suppressAutoHyphens w:val="0"/>
              <w:overflowPunct w:val="0"/>
              <w:autoSpaceDE w:val="0"/>
              <w:autoSpaceDN w:val="0"/>
              <w:adjustRightInd w:val="0"/>
              <w:spacing w:after="0" w:line="240" w:lineRule="auto"/>
              <w:jc w:val="both"/>
              <w:rPr>
                <w:rFonts w:ascii="Times New Roman" w:hAnsi="Times New Roman"/>
                <w:lang w:eastAsia="en-US"/>
              </w:rPr>
            </w:pPr>
            <w:r w:rsidRPr="00852DCC">
              <w:rPr>
                <w:rFonts w:ascii="Times New Roman" w:eastAsia="Times New Roman" w:hAnsi="Times New Roman"/>
                <w:lang w:eastAsia="en-US"/>
              </w:rPr>
              <w:t>Eritrocitų maišelio žarnelę turi sudaryti ne mažiau kaip 5 fragmentai</w:t>
            </w:r>
          </w:p>
        </w:tc>
        <w:tc>
          <w:tcPr>
            <w:tcW w:w="1559" w:type="dxa"/>
            <w:tcBorders>
              <w:top w:val="single" w:sz="4" w:space="0" w:color="auto"/>
              <w:left w:val="single" w:sz="4" w:space="0" w:color="auto"/>
              <w:bottom w:val="single" w:sz="4" w:space="0" w:color="auto"/>
              <w:right w:val="single" w:sz="4" w:space="0" w:color="auto"/>
            </w:tcBorders>
          </w:tcPr>
          <w:p w14:paraId="709E6EAD"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Pageidautina</w:t>
            </w:r>
          </w:p>
        </w:tc>
        <w:tc>
          <w:tcPr>
            <w:tcW w:w="1672" w:type="dxa"/>
            <w:tcBorders>
              <w:top w:val="single" w:sz="4" w:space="0" w:color="auto"/>
              <w:left w:val="single" w:sz="4" w:space="0" w:color="auto"/>
              <w:bottom w:val="single" w:sz="4" w:space="0" w:color="auto"/>
              <w:right w:val="single" w:sz="4" w:space="0" w:color="auto"/>
            </w:tcBorders>
          </w:tcPr>
          <w:p w14:paraId="0908DA36"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p>
        </w:tc>
      </w:tr>
      <w:tr w:rsidR="00274069" w:rsidRPr="00852DCC" w14:paraId="08A7B474" w14:textId="77777777" w:rsidTr="00220460">
        <w:trPr>
          <w:trHeight w:val="204"/>
        </w:trPr>
        <w:tc>
          <w:tcPr>
            <w:tcW w:w="8222" w:type="dxa"/>
            <w:gridSpan w:val="3"/>
            <w:tcBorders>
              <w:top w:val="single" w:sz="4" w:space="0" w:color="auto"/>
              <w:left w:val="single" w:sz="4" w:space="0" w:color="auto"/>
              <w:bottom w:val="single" w:sz="4" w:space="0" w:color="auto"/>
              <w:right w:val="single" w:sz="4" w:space="0" w:color="auto"/>
            </w:tcBorders>
            <w:shd w:val="clear" w:color="auto" w:fill="E7E6E6"/>
          </w:tcPr>
          <w:p w14:paraId="50B07BDA" w14:textId="77777777" w:rsidR="00274069" w:rsidRPr="00852DCC" w:rsidRDefault="00274069" w:rsidP="00220460">
            <w:pPr>
              <w:suppressAutoHyphens w:val="0"/>
              <w:overflowPunct w:val="0"/>
              <w:autoSpaceDE w:val="0"/>
              <w:autoSpaceDN w:val="0"/>
              <w:adjustRightInd w:val="0"/>
              <w:spacing w:after="0" w:line="240" w:lineRule="auto"/>
              <w:rPr>
                <w:rFonts w:ascii="Times New Roman" w:eastAsia="Times New Roman" w:hAnsi="Times New Roman"/>
                <w:b/>
                <w:i/>
                <w:lang w:eastAsia="en-US"/>
              </w:rPr>
            </w:pPr>
            <w:r w:rsidRPr="00852DCC">
              <w:rPr>
                <w:rFonts w:ascii="Times New Roman" w:eastAsia="Times New Roman" w:hAnsi="Times New Roman"/>
                <w:b/>
                <w:i/>
                <w:lang w:eastAsia="en-US"/>
              </w:rPr>
              <w:t>Kraujo komponentų kokybės reikalavimai</w:t>
            </w:r>
          </w:p>
          <w:p w14:paraId="1D8C44D2"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hAnsi="Times New Roman"/>
                <w:lang w:eastAsia="en-US"/>
              </w:rPr>
            </w:pPr>
          </w:p>
        </w:tc>
        <w:tc>
          <w:tcPr>
            <w:tcW w:w="1672" w:type="dxa"/>
            <w:tcBorders>
              <w:top w:val="single" w:sz="4" w:space="0" w:color="auto"/>
              <w:left w:val="single" w:sz="4" w:space="0" w:color="auto"/>
              <w:bottom w:val="single" w:sz="4" w:space="0" w:color="auto"/>
              <w:right w:val="single" w:sz="4" w:space="0" w:color="auto"/>
            </w:tcBorders>
            <w:shd w:val="clear" w:color="auto" w:fill="E7E6E6"/>
          </w:tcPr>
          <w:p w14:paraId="2938F1F9" w14:textId="77777777" w:rsidR="00274069" w:rsidRPr="00852DCC" w:rsidRDefault="00274069" w:rsidP="00220460">
            <w:pPr>
              <w:suppressAutoHyphens w:val="0"/>
              <w:overflowPunct w:val="0"/>
              <w:autoSpaceDE w:val="0"/>
              <w:autoSpaceDN w:val="0"/>
              <w:adjustRightInd w:val="0"/>
              <w:spacing w:after="0" w:line="240" w:lineRule="auto"/>
              <w:jc w:val="center"/>
              <w:rPr>
                <w:rFonts w:ascii="Times New Roman" w:hAnsi="Times New Roman"/>
                <w:lang w:eastAsia="en-US"/>
              </w:rPr>
            </w:pPr>
            <w:r w:rsidRPr="00852DCC">
              <w:rPr>
                <w:rFonts w:ascii="Times New Roman" w:hAnsi="Times New Roman"/>
                <w:lang w:eastAsia="en-US"/>
              </w:rPr>
              <w:t>Taip / Ne/ Pastaba</w:t>
            </w:r>
          </w:p>
        </w:tc>
      </w:tr>
      <w:tr w:rsidR="00274069" w:rsidRPr="00852DCC" w14:paraId="2DB687EC" w14:textId="77777777" w:rsidTr="00220460">
        <w:trPr>
          <w:trHeight w:val="129"/>
        </w:trPr>
        <w:tc>
          <w:tcPr>
            <w:tcW w:w="567" w:type="dxa"/>
            <w:tcBorders>
              <w:top w:val="single" w:sz="4" w:space="0" w:color="auto"/>
              <w:left w:val="single" w:sz="4" w:space="0" w:color="auto"/>
              <w:bottom w:val="single" w:sz="4" w:space="0" w:color="auto"/>
              <w:right w:val="single" w:sz="4" w:space="0" w:color="auto"/>
            </w:tcBorders>
          </w:tcPr>
          <w:p w14:paraId="24C27533"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1</w:t>
            </w:r>
          </w:p>
        </w:tc>
        <w:tc>
          <w:tcPr>
            <w:tcW w:w="6096" w:type="dxa"/>
            <w:tcBorders>
              <w:top w:val="single" w:sz="4" w:space="0" w:color="auto"/>
              <w:left w:val="single" w:sz="4" w:space="0" w:color="auto"/>
              <w:bottom w:val="single" w:sz="4" w:space="0" w:color="auto"/>
              <w:right w:val="single" w:sz="4" w:space="0" w:color="auto"/>
            </w:tcBorders>
          </w:tcPr>
          <w:p w14:paraId="5316DBB3" w14:textId="77777777" w:rsidR="00274069" w:rsidRPr="00852DCC" w:rsidRDefault="00274069" w:rsidP="00220460">
            <w:pPr>
              <w:suppressAutoHyphens w:val="0"/>
              <w:overflowPunct w:val="0"/>
              <w:autoSpaceDE w:val="0"/>
              <w:autoSpaceDN w:val="0"/>
              <w:adjustRightInd w:val="0"/>
              <w:spacing w:after="0" w:line="240" w:lineRule="auto"/>
              <w:jc w:val="both"/>
              <w:rPr>
                <w:rFonts w:ascii="Times New Roman" w:eastAsia="Times New Roman" w:hAnsi="Times New Roman"/>
                <w:lang w:eastAsia="en-US"/>
              </w:rPr>
            </w:pPr>
            <w:r w:rsidRPr="00852DCC">
              <w:rPr>
                <w:rFonts w:ascii="Times New Roman" w:eastAsia="Times New Roman" w:hAnsi="Times New Roman"/>
                <w:lang w:eastAsia="en-US"/>
              </w:rPr>
              <w:t>Kraujo komponentai turi būti pagaminti, ištirti, saugomi, transportuojami ir tinkami naudoti pagal Lietuvoje galiojančius teisės aktus, įsakymus ir normas.</w:t>
            </w:r>
          </w:p>
        </w:tc>
        <w:tc>
          <w:tcPr>
            <w:tcW w:w="1559" w:type="dxa"/>
            <w:tcBorders>
              <w:top w:val="single" w:sz="4" w:space="0" w:color="auto"/>
              <w:left w:val="single" w:sz="4" w:space="0" w:color="auto"/>
              <w:bottom w:val="single" w:sz="4" w:space="0" w:color="auto"/>
              <w:right w:val="single" w:sz="4" w:space="0" w:color="auto"/>
            </w:tcBorders>
          </w:tcPr>
          <w:p w14:paraId="2EF74861"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Būtina</w:t>
            </w:r>
          </w:p>
        </w:tc>
        <w:tc>
          <w:tcPr>
            <w:tcW w:w="1672" w:type="dxa"/>
            <w:tcBorders>
              <w:top w:val="single" w:sz="4" w:space="0" w:color="auto"/>
              <w:left w:val="single" w:sz="4" w:space="0" w:color="auto"/>
              <w:bottom w:val="single" w:sz="4" w:space="0" w:color="auto"/>
              <w:right w:val="single" w:sz="4" w:space="0" w:color="auto"/>
            </w:tcBorders>
          </w:tcPr>
          <w:p w14:paraId="5FA08FB9"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p>
        </w:tc>
      </w:tr>
      <w:tr w:rsidR="00274069" w:rsidRPr="00852DCC" w14:paraId="73EE46A5" w14:textId="77777777" w:rsidTr="00220460">
        <w:trPr>
          <w:trHeight w:val="136"/>
        </w:trPr>
        <w:tc>
          <w:tcPr>
            <w:tcW w:w="567" w:type="dxa"/>
            <w:tcBorders>
              <w:top w:val="single" w:sz="4" w:space="0" w:color="auto"/>
              <w:left w:val="single" w:sz="4" w:space="0" w:color="auto"/>
              <w:bottom w:val="single" w:sz="4" w:space="0" w:color="auto"/>
              <w:right w:val="single" w:sz="4" w:space="0" w:color="auto"/>
            </w:tcBorders>
          </w:tcPr>
          <w:p w14:paraId="4E8928CC"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2</w:t>
            </w:r>
          </w:p>
        </w:tc>
        <w:tc>
          <w:tcPr>
            <w:tcW w:w="6096" w:type="dxa"/>
            <w:tcBorders>
              <w:top w:val="single" w:sz="4" w:space="0" w:color="auto"/>
              <w:left w:val="single" w:sz="4" w:space="0" w:color="auto"/>
              <w:bottom w:val="single" w:sz="4" w:space="0" w:color="auto"/>
              <w:right w:val="single" w:sz="4" w:space="0" w:color="auto"/>
            </w:tcBorders>
          </w:tcPr>
          <w:p w14:paraId="7EEEFF8F" w14:textId="77777777" w:rsidR="00274069" w:rsidRPr="00852DCC" w:rsidRDefault="00274069" w:rsidP="00220460">
            <w:pPr>
              <w:suppressAutoHyphens w:val="0"/>
              <w:overflowPunct w:val="0"/>
              <w:autoSpaceDE w:val="0"/>
              <w:autoSpaceDN w:val="0"/>
              <w:adjustRightInd w:val="0"/>
              <w:spacing w:after="0" w:line="240" w:lineRule="auto"/>
              <w:jc w:val="both"/>
              <w:rPr>
                <w:rFonts w:ascii="Times New Roman" w:eastAsia="Times New Roman" w:hAnsi="Times New Roman"/>
                <w:lang w:eastAsia="en-US"/>
              </w:rPr>
            </w:pPr>
            <w:r w:rsidRPr="00852DCC">
              <w:rPr>
                <w:rFonts w:ascii="Times New Roman" w:eastAsia="Times New Roman" w:hAnsi="Times New Roman"/>
                <w:lang w:eastAsia="en-US"/>
              </w:rPr>
              <w:t>Esant nekokybiškam produktui (tame tarpe, esant teigiamam  T. Kumbso mėginiui), užsakovas pasilieka teisę grąžinti kraujo komponentą pakeitimui.</w:t>
            </w:r>
          </w:p>
        </w:tc>
        <w:tc>
          <w:tcPr>
            <w:tcW w:w="1559" w:type="dxa"/>
            <w:tcBorders>
              <w:top w:val="single" w:sz="4" w:space="0" w:color="auto"/>
              <w:left w:val="single" w:sz="4" w:space="0" w:color="auto"/>
              <w:bottom w:val="single" w:sz="4" w:space="0" w:color="auto"/>
              <w:right w:val="single" w:sz="4" w:space="0" w:color="auto"/>
            </w:tcBorders>
          </w:tcPr>
          <w:p w14:paraId="31CF0EE8"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Būtina</w:t>
            </w:r>
          </w:p>
        </w:tc>
        <w:tc>
          <w:tcPr>
            <w:tcW w:w="1672" w:type="dxa"/>
            <w:tcBorders>
              <w:top w:val="single" w:sz="4" w:space="0" w:color="auto"/>
              <w:left w:val="single" w:sz="4" w:space="0" w:color="auto"/>
              <w:bottom w:val="single" w:sz="4" w:space="0" w:color="auto"/>
              <w:right w:val="single" w:sz="4" w:space="0" w:color="auto"/>
            </w:tcBorders>
          </w:tcPr>
          <w:p w14:paraId="6F7B9ACB"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p>
        </w:tc>
      </w:tr>
      <w:tr w:rsidR="00274069" w:rsidRPr="00852DCC" w14:paraId="5B426B45" w14:textId="77777777" w:rsidTr="00220460">
        <w:trPr>
          <w:trHeight w:val="136"/>
        </w:trPr>
        <w:tc>
          <w:tcPr>
            <w:tcW w:w="567" w:type="dxa"/>
            <w:tcBorders>
              <w:top w:val="single" w:sz="4" w:space="0" w:color="auto"/>
              <w:left w:val="single" w:sz="4" w:space="0" w:color="auto"/>
              <w:bottom w:val="single" w:sz="4" w:space="0" w:color="auto"/>
              <w:right w:val="single" w:sz="4" w:space="0" w:color="auto"/>
            </w:tcBorders>
          </w:tcPr>
          <w:p w14:paraId="17190D2C"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3</w:t>
            </w:r>
          </w:p>
        </w:tc>
        <w:tc>
          <w:tcPr>
            <w:tcW w:w="6096" w:type="dxa"/>
            <w:tcBorders>
              <w:top w:val="single" w:sz="4" w:space="0" w:color="auto"/>
              <w:left w:val="single" w:sz="4" w:space="0" w:color="auto"/>
              <w:bottom w:val="single" w:sz="4" w:space="0" w:color="auto"/>
              <w:right w:val="single" w:sz="4" w:space="0" w:color="auto"/>
            </w:tcBorders>
          </w:tcPr>
          <w:p w14:paraId="371B13BF" w14:textId="77777777" w:rsidR="00274069" w:rsidRPr="00852DCC" w:rsidRDefault="00274069" w:rsidP="00220460">
            <w:pPr>
              <w:suppressAutoHyphens w:val="0"/>
              <w:overflowPunct w:val="0"/>
              <w:autoSpaceDE w:val="0"/>
              <w:autoSpaceDN w:val="0"/>
              <w:adjustRightInd w:val="0"/>
              <w:spacing w:after="0" w:line="240" w:lineRule="auto"/>
              <w:jc w:val="both"/>
              <w:rPr>
                <w:rFonts w:ascii="Times New Roman" w:eastAsia="Times New Roman" w:hAnsi="Times New Roman"/>
                <w:lang w:eastAsia="en-US"/>
              </w:rPr>
            </w:pPr>
            <w:r w:rsidRPr="00852DCC">
              <w:rPr>
                <w:rFonts w:ascii="Times New Roman" w:eastAsia="Times New Roman" w:hAnsi="Times New Roman"/>
                <w:lang w:eastAsia="en-US"/>
              </w:rPr>
              <w:t>Pateiktų eritrocitų ir šviežiai užšaldytos plazmos likęs galiojimo laikas ne trumpesnis  negu 1/3 (vienas trečdalis)  pilno galiojimo laiko, kai produktai užsakomi planine tvarka saugojimui, skubos tvarka užsakytiems kraujo produktams tinka bet koks galiojimo laikas.</w:t>
            </w:r>
          </w:p>
        </w:tc>
        <w:tc>
          <w:tcPr>
            <w:tcW w:w="1559" w:type="dxa"/>
            <w:tcBorders>
              <w:top w:val="single" w:sz="4" w:space="0" w:color="auto"/>
              <w:left w:val="single" w:sz="4" w:space="0" w:color="auto"/>
              <w:bottom w:val="single" w:sz="4" w:space="0" w:color="auto"/>
              <w:right w:val="single" w:sz="4" w:space="0" w:color="auto"/>
            </w:tcBorders>
          </w:tcPr>
          <w:p w14:paraId="24D15A29"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Būtina</w:t>
            </w:r>
          </w:p>
        </w:tc>
        <w:tc>
          <w:tcPr>
            <w:tcW w:w="1672" w:type="dxa"/>
            <w:tcBorders>
              <w:top w:val="single" w:sz="4" w:space="0" w:color="auto"/>
              <w:left w:val="single" w:sz="4" w:space="0" w:color="auto"/>
              <w:bottom w:val="single" w:sz="4" w:space="0" w:color="auto"/>
              <w:right w:val="single" w:sz="4" w:space="0" w:color="auto"/>
            </w:tcBorders>
          </w:tcPr>
          <w:p w14:paraId="0E7C8D39"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p>
        </w:tc>
      </w:tr>
      <w:tr w:rsidR="00274069" w:rsidRPr="00852DCC" w14:paraId="22D94165" w14:textId="77777777" w:rsidTr="00220460">
        <w:trPr>
          <w:trHeight w:val="136"/>
        </w:trPr>
        <w:tc>
          <w:tcPr>
            <w:tcW w:w="567" w:type="dxa"/>
            <w:tcBorders>
              <w:top w:val="single" w:sz="4" w:space="0" w:color="auto"/>
              <w:left w:val="single" w:sz="4" w:space="0" w:color="auto"/>
              <w:bottom w:val="single" w:sz="4" w:space="0" w:color="auto"/>
              <w:right w:val="single" w:sz="4" w:space="0" w:color="auto"/>
            </w:tcBorders>
          </w:tcPr>
          <w:p w14:paraId="1E1A0C50"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t>4</w:t>
            </w:r>
          </w:p>
        </w:tc>
        <w:tc>
          <w:tcPr>
            <w:tcW w:w="6096" w:type="dxa"/>
            <w:tcBorders>
              <w:top w:val="single" w:sz="4" w:space="0" w:color="auto"/>
              <w:left w:val="single" w:sz="4" w:space="0" w:color="auto"/>
              <w:bottom w:val="single" w:sz="4" w:space="0" w:color="auto"/>
              <w:right w:val="single" w:sz="4" w:space="0" w:color="auto"/>
            </w:tcBorders>
          </w:tcPr>
          <w:p w14:paraId="68570F29" w14:textId="77777777" w:rsidR="00274069" w:rsidRPr="00852DCC" w:rsidRDefault="00274069" w:rsidP="00220460">
            <w:pPr>
              <w:suppressAutoHyphens w:val="0"/>
              <w:overflowPunct w:val="0"/>
              <w:autoSpaceDE w:val="0"/>
              <w:autoSpaceDN w:val="0"/>
              <w:adjustRightInd w:val="0"/>
              <w:spacing w:after="0" w:line="240" w:lineRule="auto"/>
              <w:jc w:val="both"/>
              <w:rPr>
                <w:rFonts w:ascii="Times New Roman" w:eastAsia="Times New Roman" w:hAnsi="Times New Roman"/>
                <w:lang w:eastAsia="en-US"/>
              </w:rPr>
            </w:pPr>
            <w:r w:rsidRPr="00852DCC">
              <w:rPr>
                <w:rFonts w:ascii="Times New Roman" w:eastAsia="Times New Roman" w:hAnsi="Times New Roman"/>
                <w:lang w:eastAsia="en-US"/>
              </w:rPr>
              <w:t xml:space="preserve">Kraujo komponentai atitinka kokybės reikalavimus, nustatytus Lietuvos Respublikos sveikatos apsaugos ministro 2015 m. sausio </w:t>
            </w:r>
            <w:r w:rsidRPr="00852DCC">
              <w:rPr>
                <w:rFonts w:ascii="Times New Roman" w:eastAsia="Times New Roman" w:hAnsi="Times New Roman"/>
                <w:lang w:eastAsia="en-US"/>
              </w:rPr>
              <w:lastRenderedPageBreak/>
              <w:t>21 d. įsakymu Nr. V-54 „ Dėl LR sveikatos apsaugos ministro 2009 m. gruodžio 30 d. įsakymo Nr. V-1087 ,,Dėl kraujo komponentų transfuzijos indikacijų patvirtinimo“ pakeitimo“;  Lietuvos Respublikos sveikatos apsaugos ministro  2012 m. gruodžio 19 d. įsakymu Nr. V-1186 ,,Dėl kraujo ir kraujo komponentų ruošimo ir kokybės kontrolės reikalavimų aprašo patvirtinimo“</w:t>
            </w:r>
          </w:p>
        </w:tc>
        <w:tc>
          <w:tcPr>
            <w:tcW w:w="1559" w:type="dxa"/>
            <w:tcBorders>
              <w:top w:val="single" w:sz="4" w:space="0" w:color="auto"/>
              <w:left w:val="single" w:sz="4" w:space="0" w:color="auto"/>
              <w:bottom w:val="single" w:sz="4" w:space="0" w:color="auto"/>
              <w:right w:val="single" w:sz="4" w:space="0" w:color="auto"/>
            </w:tcBorders>
          </w:tcPr>
          <w:p w14:paraId="6EED7747"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r w:rsidRPr="00852DCC">
              <w:rPr>
                <w:rFonts w:ascii="Times New Roman" w:hAnsi="Times New Roman"/>
                <w:lang w:eastAsia="en-US"/>
              </w:rPr>
              <w:lastRenderedPageBreak/>
              <w:t>Būtina</w:t>
            </w:r>
          </w:p>
        </w:tc>
        <w:tc>
          <w:tcPr>
            <w:tcW w:w="1672" w:type="dxa"/>
            <w:tcBorders>
              <w:top w:val="single" w:sz="4" w:space="0" w:color="auto"/>
              <w:left w:val="single" w:sz="4" w:space="0" w:color="auto"/>
              <w:bottom w:val="single" w:sz="4" w:space="0" w:color="auto"/>
              <w:right w:val="single" w:sz="4" w:space="0" w:color="auto"/>
            </w:tcBorders>
          </w:tcPr>
          <w:p w14:paraId="2705C167" w14:textId="77777777" w:rsidR="00274069" w:rsidRPr="00852DCC" w:rsidRDefault="00274069" w:rsidP="00220460">
            <w:pPr>
              <w:suppressAutoHyphens w:val="0"/>
              <w:overflowPunct w:val="0"/>
              <w:autoSpaceDE w:val="0"/>
              <w:autoSpaceDN w:val="0"/>
              <w:adjustRightInd w:val="0"/>
              <w:spacing w:after="0" w:line="240" w:lineRule="auto"/>
              <w:rPr>
                <w:rFonts w:ascii="Times New Roman" w:hAnsi="Times New Roman"/>
                <w:lang w:eastAsia="en-US"/>
              </w:rPr>
            </w:pPr>
          </w:p>
        </w:tc>
      </w:tr>
    </w:tbl>
    <w:p w14:paraId="660BA720" w14:textId="77777777" w:rsidR="00274069" w:rsidRPr="00852DCC" w:rsidRDefault="00274069" w:rsidP="00274069">
      <w:pPr>
        <w:pStyle w:val="Pagrindiniotekstotrauka31"/>
        <w:spacing w:after="0" w:line="300" w:lineRule="exact"/>
        <w:ind w:left="0"/>
        <w:jc w:val="both"/>
        <w:rPr>
          <w:b/>
          <w:bCs/>
          <w:sz w:val="22"/>
          <w:szCs w:val="22"/>
        </w:rPr>
      </w:pPr>
    </w:p>
    <w:sectPr w:rsidR="00274069" w:rsidRPr="00852DCC" w:rsidSect="00274069">
      <w:pgSz w:w="11906" w:h="16838"/>
      <w:pgMar w:top="85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69"/>
    <w:rsid w:val="000B5538"/>
    <w:rsid w:val="00274069"/>
    <w:rsid w:val="003A77D3"/>
    <w:rsid w:val="00412E65"/>
    <w:rsid w:val="006357A9"/>
    <w:rsid w:val="00644E46"/>
    <w:rsid w:val="00776BDD"/>
    <w:rsid w:val="007A1FFA"/>
    <w:rsid w:val="007D3D8D"/>
    <w:rsid w:val="008E5BBB"/>
    <w:rsid w:val="009E3562"/>
    <w:rsid w:val="00A20D4E"/>
    <w:rsid w:val="00AE7666"/>
    <w:rsid w:val="00BB07B4"/>
    <w:rsid w:val="00CF1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1D18"/>
  <w15:chartTrackingRefBased/>
  <w15:docId w15:val="{630964ED-CE1D-41BD-AF99-EE7D7612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4069"/>
    <w:pPr>
      <w:suppressAutoHyphens/>
      <w:spacing w:line="252" w:lineRule="auto"/>
    </w:pPr>
    <w:rPr>
      <w:rFonts w:ascii="Calibri" w:eastAsia="Calibri" w:hAnsi="Calibri" w:cs="Times New Roman"/>
      <w:kern w:val="0"/>
      <w:sz w:val="22"/>
      <w:lang w:eastAsia="zh-CN"/>
      <w14:ligatures w14:val="none"/>
    </w:rPr>
  </w:style>
  <w:style w:type="paragraph" w:styleId="Antrat1">
    <w:name w:val="heading 1"/>
    <w:basedOn w:val="prastasis"/>
    <w:next w:val="prastasis"/>
    <w:link w:val="Antrat1Diagrama"/>
    <w:uiPriority w:val="9"/>
    <w:qFormat/>
    <w:rsid w:val="00274069"/>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274069"/>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274069"/>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274069"/>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4"/>
      <w:lang w:eastAsia="en-US"/>
      <w14:ligatures w14:val="standardContextual"/>
    </w:rPr>
  </w:style>
  <w:style w:type="paragraph" w:styleId="Antrat5">
    <w:name w:val="heading 5"/>
    <w:basedOn w:val="prastasis"/>
    <w:next w:val="prastasis"/>
    <w:link w:val="Antrat5Diagrama"/>
    <w:uiPriority w:val="9"/>
    <w:semiHidden/>
    <w:unhideWhenUsed/>
    <w:qFormat/>
    <w:rsid w:val="00274069"/>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4"/>
      <w:lang w:eastAsia="en-US"/>
      <w14:ligatures w14:val="standardContextual"/>
    </w:rPr>
  </w:style>
  <w:style w:type="paragraph" w:styleId="Antrat6">
    <w:name w:val="heading 6"/>
    <w:basedOn w:val="prastasis"/>
    <w:next w:val="prastasis"/>
    <w:link w:val="Antrat6Diagrama"/>
    <w:uiPriority w:val="9"/>
    <w:semiHidden/>
    <w:unhideWhenUsed/>
    <w:qFormat/>
    <w:rsid w:val="00274069"/>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Antrat7">
    <w:name w:val="heading 7"/>
    <w:basedOn w:val="prastasis"/>
    <w:next w:val="prastasis"/>
    <w:link w:val="Antrat7Diagrama"/>
    <w:uiPriority w:val="9"/>
    <w:semiHidden/>
    <w:unhideWhenUsed/>
    <w:qFormat/>
    <w:rsid w:val="00274069"/>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Antrat8">
    <w:name w:val="heading 8"/>
    <w:basedOn w:val="prastasis"/>
    <w:next w:val="prastasis"/>
    <w:link w:val="Antrat8Diagrama"/>
    <w:uiPriority w:val="9"/>
    <w:semiHidden/>
    <w:unhideWhenUsed/>
    <w:qFormat/>
    <w:rsid w:val="00274069"/>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Antrat9">
    <w:name w:val="heading 9"/>
    <w:basedOn w:val="prastasis"/>
    <w:next w:val="prastasis"/>
    <w:link w:val="Antrat9Diagrama"/>
    <w:uiPriority w:val="9"/>
    <w:semiHidden/>
    <w:unhideWhenUsed/>
    <w:qFormat/>
    <w:rsid w:val="00274069"/>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406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7406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74069"/>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74069"/>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74069"/>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27406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406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7406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406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74069"/>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2740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4069"/>
    <w:pPr>
      <w:numPr>
        <w:ilvl w:val="1"/>
      </w:numPr>
      <w:suppressAutoHyphens w:val="0"/>
      <w:spacing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27406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4069"/>
    <w:pPr>
      <w:suppressAutoHyphens w:val="0"/>
      <w:spacing w:before="160" w:line="259" w:lineRule="auto"/>
      <w:jc w:val="center"/>
    </w:pPr>
    <w:rPr>
      <w:rFonts w:ascii="Times New Roman" w:eastAsiaTheme="minorHAnsi" w:hAnsi="Times New Roman" w:cstheme="minorBidi"/>
      <w:i/>
      <w:iCs/>
      <w:color w:val="404040" w:themeColor="text1" w:themeTint="BF"/>
      <w:kern w:val="2"/>
      <w:sz w:val="24"/>
      <w:lang w:eastAsia="en-US"/>
      <w14:ligatures w14:val="standardContextual"/>
    </w:rPr>
  </w:style>
  <w:style w:type="character" w:customStyle="1" w:styleId="CitataDiagrama">
    <w:name w:val="Citata Diagrama"/>
    <w:basedOn w:val="Numatytasispastraiposriftas"/>
    <w:link w:val="Citata"/>
    <w:uiPriority w:val="29"/>
    <w:rsid w:val="00274069"/>
    <w:rPr>
      <w:i/>
      <w:iCs/>
      <w:color w:val="404040" w:themeColor="text1" w:themeTint="BF"/>
    </w:rPr>
  </w:style>
  <w:style w:type="paragraph" w:styleId="Sraopastraipa">
    <w:name w:val="List Paragraph"/>
    <w:basedOn w:val="prastasis"/>
    <w:uiPriority w:val="34"/>
    <w:qFormat/>
    <w:rsid w:val="00274069"/>
    <w:pPr>
      <w:suppressAutoHyphens w:val="0"/>
      <w:spacing w:line="259" w:lineRule="auto"/>
      <w:ind w:left="720"/>
      <w:contextualSpacing/>
    </w:pPr>
    <w:rPr>
      <w:rFonts w:ascii="Times New Roman" w:eastAsiaTheme="minorHAnsi" w:hAnsi="Times New Roman" w:cstheme="minorBidi"/>
      <w:kern w:val="2"/>
      <w:sz w:val="24"/>
      <w:lang w:eastAsia="en-US"/>
      <w14:ligatures w14:val="standardContextual"/>
    </w:rPr>
  </w:style>
  <w:style w:type="character" w:styleId="Rykuspabraukimas">
    <w:name w:val="Intense Emphasis"/>
    <w:basedOn w:val="Numatytasispastraiposriftas"/>
    <w:uiPriority w:val="21"/>
    <w:qFormat/>
    <w:rsid w:val="00274069"/>
    <w:rPr>
      <w:i/>
      <w:iCs/>
      <w:color w:val="2F5496" w:themeColor="accent1" w:themeShade="BF"/>
    </w:rPr>
  </w:style>
  <w:style w:type="paragraph" w:styleId="Iskirtacitata">
    <w:name w:val="Intense Quote"/>
    <w:basedOn w:val="prastasis"/>
    <w:next w:val="prastasis"/>
    <w:link w:val="IskirtacitataDiagrama"/>
    <w:uiPriority w:val="30"/>
    <w:qFormat/>
    <w:rsid w:val="00274069"/>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lang w:eastAsia="en-US"/>
      <w14:ligatures w14:val="standardContextual"/>
    </w:rPr>
  </w:style>
  <w:style w:type="character" w:customStyle="1" w:styleId="IskirtacitataDiagrama">
    <w:name w:val="Išskirta citata Diagrama"/>
    <w:basedOn w:val="Numatytasispastraiposriftas"/>
    <w:link w:val="Iskirtacitata"/>
    <w:uiPriority w:val="30"/>
    <w:rsid w:val="00274069"/>
    <w:rPr>
      <w:i/>
      <w:iCs/>
      <w:color w:val="2F5496" w:themeColor="accent1" w:themeShade="BF"/>
    </w:rPr>
  </w:style>
  <w:style w:type="character" w:styleId="Rykinuoroda">
    <w:name w:val="Intense Reference"/>
    <w:basedOn w:val="Numatytasispastraiposriftas"/>
    <w:uiPriority w:val="32"/>
    <w:qFormat/>
    <w:rsid w:val="00274069"/>
    <w:rPr>
      <w:b/>
      <w:bCs/>
      <w:smallCaps/>
      <w:color w:val="2F5496" w:themeColor="accent1" w:themeShade="BF"/>
      <w:spacing w:val="5"/>
    </w:rPr>
  </w:style>
  <w:style w:type="paragraph" w:customStyle="1" w:styleId="Pagrindiniotekstotrauka31">
    <w:name w:val="Pagrindinio teksto įtrauka 31"/>
    <w:basedOn w:val="prastasis"/>
    <w:rsid w:val="00274069"/>
    <w:pPr>
      <w:spacing w:after="120" w:line="240" w:lineRule="auto"/>
      <w:ind w:left="283"/>
    </w:pPr>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4661</Words>
  <Characters>2657</Characters>
  <Application>Microsoft Office Word</Application>
  <DocSecurity>0</DocSecurity>
  <Lines>22</Lines>
  <Paragraphs>14</Paragraphs>
  <ScaleCrop>false</ScaleCrop>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Pirkimai</cp:lastModifiedBy>
  <cp:revision>8</cp:revision>
  <dcterms:created xsi:type="dcterms:W3CDTF">2026-03-05T08:46:00Z</dcterms:created>
  <dcterms:modified xsi:type="dcterms:W3CDTF">2026-06-30T10:28:00Z</dcterms:modified>
</cp:coreProperties>
</file>