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DD77977" w:rsidR="0036315E" w:rsidRPr="00661985" w:rsidRDefault="00573520" w:rsidP="00ED332B">
      <w:pPr>
        <w:spacing w:after="0" w:line="240" w:lineRule="auto"/>
        <w:jc w:val="center"/>
        <w:outlineLvl w:val="0"/>
        <w:rPr>
          <w:rFonts w:ascii="Times New Roman" w:hAnsi="Times New Roman"/>
          <w:b/>
          <w:color w:val="000000"/>
          <w:sz w:val="24"/>
          <w:szCs w:val="24"/>
        </w:rPr>
      </w:pPr>
      <w:r w:rsidRPr="00573520">
        <w:rPr>
          <w:rFonts w:ascii="Times New Roman" w:eastAsia="Times New Roman" w:hAnsi="Times New Roman"/>
          <w:b/>
          <w:bCs/>
          <w:sz w:val="24"/>
          <w:szCs w:val="24"/>
        </w:rPr>
        <w:t>INTERREG LIETUVA-LENKIJA PROJEKTO NR. LTPL00490 “MIESTŲ ERDVIŲ PRISITAIKYMO PRIE KLIMATO KAITOS STUDIJOS“ SU VERTIMU Į LENKŲ KALBĄ</w:t>
      </w:r>
      <w:r w:rsidRPr="00184CA4">
        <w:rPr>
          <w:rFonts w:ascii="Times New Roman" w:eastAsia="Times New Roman" w:hAnsi="Times New Roman"/>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D8995B1" w:rsidR="00D84FD9" w:rsidRPr="00184CA4" w:rsidRDefault="00D84FD9" w:rsidP="00184CA4">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184CA4">
        <w:rPr>
          <w:rFonts w:ascii="Times New Roman" w:hAnsi="Times New Roman"/>
          <w:color w:val="000000"/>
          <w:sz w:val="24"/>
          <w:szCs w:val="24"/>
        </w:rPr>
        <w:t>Švenčionių rajono savivaldybės administracija, ju</w:t>
      </w:r>
      <w:r w:rsidR="00FD1472" w:rsidRPr="00184CA4">
        <w:rPr>
          <w:rFonts w:ascii="Times New Roman" w:hAnsi="Times New Roman"/>
          <w:color w:val="000000"/>
          <w:sz w:val="24"/>
          <w:szCs w:val="24"/>
        </w:rPr>
        <w:t>ridinio asmens kodas 188766722,</w:t>
      </w:r>
      <w:r w:rsidRPr="00184CA4">
        <w:rPr>
          <w:rFonts w:ascii="Times New Roman" w:hAnsi="Times New Roman"/>
          <w:color w:val="000000"/>
          <w:sz w:val="24"/>
          <w:szCs w:val="24"/>
        </w:rPr>
        <w:t xml:space="preserve"> adresas Vilniaus g. 19, LT-18116 Švenčionys (toliau – Perkančioji organizacija), vykdydama š</w:t>
      </w:r>
      <w:r w:rsidR="005A752B" w:rsidRPr="00184CA4">
        <w:rPr>
          <w:rFonts w:ascii="Times New Roman" w:hAnsi="Times New Roman"/>
          <w:color w:val="000000"/>
          <w:sz w:val="24"/>
          <w:szCs w:val="24"/>
        </w:rPr>
        <w:t>į</w:t>
      </w:r>
      <w:r w:rsidRPr="00184CA4">
        <w:rPr>
          <w:rFonts w:ascii="Times New Roman" w:hAnsi="Times New Roman"/>
          <w:color w:val="000000"/>
          <w:sz w:val="24"/>
          <w:szCs w:val="24"/>
        </w:rPr>
        <w:t xml:space="preserve"> vieš</w:t>
      </w:r>
      <w:r w:rsidR="005A752B" w:rsidRPr="00184CA4">
        <w:rPr>
          <w:rFonts w:ascii="Times New Roman" w:hAnsi="Times New Roman"/>
          <w:color w:val="000000"/>
          <w:sz w:val="24"/>
          <w:szCs w:val="24"/>
        </w:rPr>
        <w:t>ąjį</w:t>
      </w:r>
      <w:r w:rsidRPr="00184CA4">
        <w:rPr>
          <w:rFonts w:ascii="Times New Roman" w:hAnsi="Times New Roman"/>
          <w:color w:val="000000"/>
          <w:sz w:val="24"/>
          <w:szCs w:val="24"/>
        </w:rPr>
        <w:t xml:space="preserve"> pirkim</w:t>
      </w:r>
      <w:r w:rsidR="005A752B" w:rsidRPr="00184CA4">
        <w:rPr>
          <w:rFonts w:ascii="Times New Roman" w:hAnsi="Times New Roman"/>
          <w:color w:val="000000"/>
          <w:sz w:val="24"/>
          <w:szCs w:val="24"/>
        </w:rPr>
        <w:t>ą</w:t>
      </w:r>
      <w:r w:rsidRPr="00184CA4">
        <w:rPr>
          <w:rFonts w:ascii="Times New Roman" w:hAnsi="Times New Roman"/>
          <w:color w:val="000000"/>
          <w:sz w:val="24"/>
          <w:szCs w:val="24"/>
        </w:rPr>
        <w:t xml:space="preserve"> numato įsigyti</w:t>
      </w:r>
      <w:r w:rsidR="006B6040" w:rsidRPr="00184CA4">
        <w:rPr>
          <w:rFonts w:ascii="Times New Roman" w:hAnsi="Times New Roman"/>
          <w:color w:val="000000"/>
          <w:sz w:val="24"/>
          <w:szCs w:val="24"/>
        </w:rPr>
        <w:t xml:space="preserve"> </w:t>
      </w:r>
      <w:proofErr w:type="spellStart"/>
      <w:r w:rsidR="00184CA4" w:rsidRPr="00184CA4">
        <w:rPr>
          <w:rFonts w:ascii="Times New Roman" w:eastAsia="Times New Roman" w:hAnsi="Times New Roman"/>
          <w:sz w:val="24"/>
          <w:szCs w:val="24"/>
        </w:rPr>
        <w:t>Interreg</w:t>
      </w:r>
      <w:proofErr w:type="spellEnd"/>
      <w:r w:rsidR="00184CA4" w:rsidRPr="00184CA4">
        <w:rPr>
          <w:rFonts w:ascii="Times New Roman" w:eastAsia="Times New Roman" w:hAnsi="Times New Roman"/>
          <w:sz w:val="24"/>
          <w:szCs w:val="24"/>
        </w:rPr>
        <w:t xml:space="preserve"> Lietuva-Lenkija projekto Nr. LTPL00490 “Miestų erdvių prisitaikymo prie klimato kaitos studij</w:t>
      </w:r>
      <w:r w:rsidR="00184CA4">
        <w:rPr>
          <w:rFonts w:ascii="Times New Roman" w:eastAsia="Times New Roman" w:hAnsi="Times New Roman"/>
          <w:sz w:val="24"/>
          <w:szCs w:val="24"/>
        </w:rPr>
        <w:t>ą</w:t>
      </w:r>
      <w:r w:rsidR="00184CA4" w:rsidRPr="00184CA4">
        <w:rPr>
          <w:rFonts w:ascii="Times New Roman" w:eastAsia="Times New Roman" w:hAnsi="Times New Roman"/>
          <w:sz w:val="24"/>
          <w:szCs w:val="24"/>
        </w:rPr>
        <w:t xml:space="preserve">“ su vertimu į lenkų kalbą </w:t>
      </w:r>
      <w:r w:rsidR="00761929" w:rsidRPr="00184CA4">
        <w:rPr>
          <w:rFonts w:ascii="Times New Roman" w:hAnsi="Times New Roman"/>
          <w:color w:val="000000"/>
          <w:sz w:val="24"/>
          <w:szCs w:val="24"/>
        </w:rPr>
        <w:t>(</w:t>
      </w:r>
      <w:r w:rsidR="00F12092" w:rsidRPr="00184CA4">
        <w:rPr>
          <w:rFonts w:ascii="Times New Roman" w:hAnsi="Times New Roman"/>
          <w:color w:val="000000"/>
          <w:sz w:val="24"/>
          <w:szCs w:val="24"/>
        </w:rPr>
        <w:t xml:space="preserve">toliau - </w:t>
      </w:r>
      <w:r w:rsidR="006F3B9E" w:rsidRPr="00184CA4">
        <w:rPr>
          <w:rFonts w:ascii="Times New Roman" w:hAnsi="Times New Roman"/>
          <w:color w:val="000000"/>
          <w:sz w:val="24"/>
          <w:szCs w:val="24"/>
        </w:rPr>
        <w:t>darbai</w:t>
      </w:r>
      <w:r w:rsidR="00761929" w:rsidRPr="00184CA4">
        <w:rPr>
          <w:rFonts w:ascii="Times New Roman" w:hAnsi="Times New Roman"/>
          <w:color w:val="000000"/>
          <w:sz w:val="24"/>
          <w:szCs w:val="24"/>
        </w:rPr>
        <w:t>),</w:t>
      </w:r>
      <w:r w:rsidR="00BE6231" w:rsidRPr="00184CA4">
        <w:rPr>
          <w:rFonts w:ascii="Times New Roman" w:hAnsi="Times New Roman"/>
          <w:sz w:val="24"/>
          <w:szCs w:val="24"/>
          <w:lang w:eastAsia="lt-LT"/>
        </w:rPr>
        <w:t xml:space="preserve"> </w:t>
      </w:r>
      <w:r w:rsidRPr="00184CA4">
        <w:rPr>
          <w:rFonts w:ascii="Times New Roman" w:hAnsi="Times New Roman"/>
          <w:color w:val="000000"/>
          <w:sz w:val="24"/>
          <w:szCs w:val="24"/>
          <w:lang w:eastAsia="lt-LT"/>
        </w:rPr>
        <w:t>pagal</w:t>
      </w:r>
      <w:r w:rsidRPr="00184CA4">
        <w:rPr>
          <w:rFonts w:ascii="Times New Roman" w:hAnsi="Times New Roman"/>
          <w:color w:val="000000"/>
          <w:sz w:val="24"/>
          <w:szCs w:val="24"/>
        </w:rPr>
        <w:t xml:space="preserve"> </w:t>
      </w:r>
      <w:r w:rsidRPr="00184CA4">
        <w:rPr>
          <w:rFonts w:ascii="Times New Roman" w:hAnsi="Times New Roman"/>
          <w:color w:val="000000"/>
          <w:sz w:val="24"/>
          <w:szCs w:val="24"/>
          <w:lang w:eastAsia="lt-LT"/>
        </w:rPr>
        <w:t>Lietuvos Respublikos Viešųjų pirkimų įstatymo</w:t>
      </w:r>
      <w:r w:rsidRPr="00184CA4">
        <w:rPr>
          <w:rFonts w:ascii="Times New Roman" w:hAnsi="Times New Roman"/>
          <w:color w:val="000000"/>
          <w:sz w:val="24"/>
          <w:szCs w:val="24"/>
        </w:rPr>
        <w:t xml:space="preserve"> B</w:t>
      </w:r>
      <w:r w:rsidRPr="00184CA4">
        <w:rPr>
          <w:rFonts w:ascii="Times New Roman" w:hAnsi="Times New Roman"/>
          <w:color w:val="000000"/>
          <w:sz w:val="24"/>
          <w:szCs w:val="24"/>
          <w:lang w:eastAsia="lt-LT"/>
        </w:rPr>
        <w:t>endrą viešųjų pi</w:t>
      </w:r>
      <w:r w:rsidR="00C31C94" w:rsidRPr="00184CA4">
        <w:rPr>
          <w:rFonts w:ascii="Times New Roman" w:hAnsi="Times New Roman"/>
          <w:color w:val="000000"/>
          <w:sz w:val="24"/>
          <w:szCs w:val="24"/>
          <w:lang w:eastAsia="lt-LT"/>
        </w:rPr>
        <w:t>rkimų žodyną</w:t>
      </w:r>
      <w:r w:rsidR="00F12092" w:rsidRPr="00184CA4">
        <w:rPr>
          <w:rFonts w:ascii="Times New Roman" w:hAnsi="Times New Roman"/>
          <w:color w:val="000000"/>
          <w:sz w:val="24"/>
          <w:szCs w:val="24"/>
          <w:lang w:eastAsia="lt-LT"/>
        </w:rPr>
        <w:t xml:space="preserve"> – kodas </w:t>
      </w:r>
      <w:r w:rsidR="00184CA4">
        <w:rPr>
          <w:rFonts w:ascii="Times New Roman" w:eastAsia="Times New Roman" w:hAnsi="Times New Roman"/>
          <w:sz w:val="24"/>
          <w:szCs w:val="24"/>
        </w:rPr>
        <w:t>71420000-8</w:t>
      </w:r>
      <w:r w:rsidR="00CE5EB0" w:rsidRPr="00184CA4">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6FC8BAF"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w:t>
      </w:r>
      <w:r w:rsidR="00184CA4">
        <w:rPr>
          <w:rFonts w:ascii="Times New Roman" w:eastAsia="Times New Roman" w:hAnsi="Times New Roman"/>
          <w:sz w:val="24"/>
          <w:szCs w:val="24"/>
        </w:rPr>
        <w:t>3</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papunkči</w:t>
      </w:r>
      <w:r w:rsidR="00184CA4">
        <w:rPr>
          <w:rFonts w:ascii="Times New Roman" w:eastAsia="Times New Roman" w:hAnsi="Times New Roman"/>
          <w:sz w:val="24"/>
          <w:szCs w:val="24"/>
        </w:rPr>
        <w:t>u.</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CE5EB0">
      <w:pPr>
        <w:spacing w:after="0" w:line="240" w:lineRule="auto"/>
        <w:ind w:firstLine="567"/>
        <w:jc w:val="center"/>
        <w:rPr>
          <w:rFonts w:ascii="Times New Roman" w:hAnsi="Times New Roman"/>
          <w:b/>
          <w:color w:val="000000"/>
          <w:sz w:val="24"/>
          <w:szCs w:val="24"/>
        </w:rPr>
      </w:pPr>
    </w:p>
    <w:p w14:paraId="683FFD62" w14:textId="6401DCFA" w:rsidR="008071A3" w:rsidRPr="00CE5EB0" w:rsidRDefault="00D84FD9" w:rsidP="003F7F28">
      <w:pPr>
        <w:spacing w:after="0" w:line="240" w:lineRule="auto"/>
        <w:ind w:right="-1" w:firstLine="567"/>
        <w:jc w:val="both"/>
        <w:rPr>
          <w:rFonts w:ascii="Times New Roman" w:hAnsi="Times New Roman"/>
          <w:b/>
          <w:bCs/>
          <w:kern w:val="2"/>
          <w:sz w:val="24"/>
          <w:szCs w:val="24"/>
          <w14:ligatures w14:val="standardContextual"/>
        </w:rPr>
      </w:pPr>
      <w:r w:rsidRPr="00CE5EB0">
        <w:rPr>
          <w:rFonts w:ascii="Times New Roman" w:hAnsi="Times New Roman"/>
          <w:color w:val="000000"/>
          <w:sz w:val="24"/>
          <w:szCs w:val="24"/>
        </w:rPr>
        <w:t>2.1. Pirkimo objektas</w:t>
      </w:r>
      <w:r w:rsidR="00F12092" w:rsidRPr="00CE5EB0">
        <w:rPr>
          <w:rFonts w:ascii="Times New Roman" w:hAnsi="Times New Roman"/>
          <w:color w:val="000000"/>
          <w:sz w:val="24"/>
          <w:szCs w:val="24"/>
        </w:rPr>
        <w:t>:</w:t>
      </w:r>
      <w:r w:rsidR="00F0780C" w:rsidRPr="00CE5EB0">
        <w:rPr>
          <w:rFonts w:ascii="Times New Roman" w:hAnsi="Times New Roman"/>
          <w:color w:val="000000"/>
          <w:sz w:val="24"/>
          <w:szCs w:val="24"/>
        </w:rPr>
        <w:t xml:space="preserve"> </w:t>
      </w:r>
      <w:proofErr w:type="spellStart"/>
      <w:r w:rsidR="00573520" w:rsidRPr="00184CA4">
        <w:rPr>
          <w:rFonts w:ascii="Times New Roman" w:eastAsia="Times New Roman" w:hAnsi="Times New Roman"/>
          <w:sz w:val="24"/>
          <w:szCs w:val="24"/>
        </w:rPr>
        <w:t>Interreg</w:t>
      </w:r>
      <w:proofErr w:type="spellEnd"/>
      <w:r w:rsidR="00573520" w:rsidRPr="00184CA4">
        <w:rPr>
          <w:rFonts w:ascii="Times New Roman" w:eastAsia="Times New Roman" w:hAnsi="Times New Roman"/>
          <w:sz w:val="24"/>
          <w:szCs w:val="24"/>
        </w:rPr>
        <w:t xml:space="preserve"> Lietuva-Lenkija projekto Nr. LTPL00490 “Miestų erdvių prisitaikymo prie klimato kaitos studij</w:t>
      </w:r>
      <w:r w:rsidR="00573520">
        <w:rPr>
          <w:rFonts w:ascii="Times New Roman" w:eastAsia="Times New Roman" w:hAnsi="Times New Roman"/>
          <w:sz w:val="24"/>
          <w:szCs w:val="24"/>
        </w:rPr>
        <w:t>a</w:t>
      </w:r>
      <w:r w:rsidR="00573520" w:rsidRPr="00184CA4">
        <w:rPr>
          <w:rFonts w:ascii="Times New Roman" w:eastAsia="Times New Roman" w:hAnsi="Times New Roman"/>
          <w:sz w:val="24"/>
          <w:szCs w:val="24"/>
        </w:rPr>
        <w:t xml:space="preserve">“ su vertimu į lenkų kalbą </w:t>
      </w:r>
      <w:r w:rsidR="00184CA4">
        <w:rPr>
          <w:rFonts w:ascii="Times New Roman" w:hAnsi="Times New Roman"/>
          <w:sz w:val="24"/>
          <w:szCs w:val="24"/>
        </w:rPr>
        <w:t>Pirkimo užduotis</w:t>
      </w:r>
      <w:r w:rsidR="00FE01C0" w:rsidRPr="00CE5EB0">
        <w:rPr>
          <w:rFonts w:ascii="Times New Roman" w:hAnsi="Times New Roman"/>
          <w:sz w:val="24"/>
          <w:szCs w:val="24"/>
        </w:rPr>
        <w:t xml:space="preserve"> pridedama (2 priedas). </w:t>
      </w:r>
    </w:p>
    <w:p w14:paraId="79E893B5" w14:textId="77777777" w:rsidR="00D84FD9" w:rsidRPr="00CE5EB0" w:rsidRDefault="00D84FD9" w:rsidP="003F7F28">
      <w:pPr>
        <w:pStyle w:val="Pagrindiniotekstotrauka"/>
        <w:spacing w:after="0" w:line="240" w:lineRule="auto"/>
        <w:ind w:left="0" w:right="-1" w:firstLine="567"/>
        <w:jc w:val="both"/>
        <w:rPr>
          <w:rFonts w:ascii="Times New Roman" w:hAnsi="Times New Roman"/>
          <w:color w:val="000000"/>
          <w:sz w:val="24"/>
          <w:szCs w:val="24"/>
        </w:rPr>
      </w:pPr>
      <w:r w:rsidRPr="00CE5EB0">
        <w:rPr>
          <w:rFonts w:ascii="Times New Roman" w:hAnsi="Times New Roman"/>
          <w:color w:val="000000"/>
          <w:sz w:val="24"/>
          <w:szCs w:val="24"/>
        </w:rPr>
        <w:t>2.2. Pirkimas nėra skaidomas į pirkimo dalis.</w:t>
      </w:r>
    </w:p>
    <w:p w14:paraId="075B4768" w14:textId="77777777" w:rsidR="00573520" w:rsidRPr="00CE5EB0" w:rsidRDefault="006B6040" w:rsidP="00573520">
      <w:pPr>
        <w:spacing w:after="0" w:line="240" w:lineRule="auto"/>
        <w:ind w:right="-1" w:firstLine="567"/>
        <w:jc w:val="both"/>
        <w:rPr>
          <w:rFonts w:ascii="Times New Roman" w:hAnsi="Times New Roman"/>
          <w:b/>
          <w:bCs/>
          <w:kern w:val="2"/>
          <w:sz w:val="24"/>
          <w:szCs w:val="24"/>
          <w14:ligatures w14:val="standardContextual"/>
        </w:rPr>
      </w:pPr>
      <w:r w:rsidRPr="00CE5EB0">
        <w:rPr>
          <w:rFonts w:ascii="Times New Roman" w:hAnsi="Times New Roman"/>
          <w:color w:val="000000"/>
          <w:sz w:val="24"/>
          <w:szCs w:val="24"/>
        </w:rPr>
        <w:t>2</w:t>
      </w:r>
      <w:r w:rsidR="00F12092" w:rsidRPr="00CE5EB0">
        <w:rPr>
          <w:rFonts w:ascii="Times New Roman" w:hAnsi="Times New Roman"/>
          <w:color w:val="000000"/>
          <w:sz w:val="24"/>
          <w:szCs w:val="24"/>
        </w:rPr>
        <w:t>.3.</w:t>
      </w:r>
      <w:r w:rsidR="006F3B9E">
        <w:rPr>
          <w:rFonts w:ascii="Times New Roman" w:hAnsi="Times New Roman"/>
          <w:color w:val="000000"/>
          <w:sz w:val="24"/>
          <w:szCs w:val="24"/>
        </w:rPr>
        <w:t xml:space="preserve"> </w:t>
      </w:r>
      <w:r w:rsidR="00573520">
        <w:rPr>
          <w:rFonts w:ascii="Times New Roman" w:hAnsi="Times New Roman"/>
          <w:color w:val="000000"/>
          <w:sz w:val="24"/>
          <w:szCs w:val="24"/>
        </w:rPr>
        <w:t>Paslaugų</w:t>
      </w:r>
      <w:r w:rsidR="006F3B9E">
        <w:rPr>
          <w:rFonts w:ascii="Times New Roman" w:hAnsi="Times New Roman"/>
          <w:color w:val="000000"/>
          <w:sz w:val="24"/>
          <w:szCs w:val="24"/>
        </w:rPr>
        <w:t xml:space="preserve"> apimtys</w:t>
      </w:r>
      <w:r w:rsidR="00D84FD9" w:rsidRPr="00CE5EB0">
        <w:rPr>
          <w:rFonts w:ascii="Times New Roman" w:hAnsi="Times New Roman"/>
          <w:color w:val="000000"/>
          <w:sz w:val="24"/>
          <w:szCs w:val="24"/>
        </w:rPr>
        <w:t>:</w:t>
      </w:r>
      <w:r w:rsidR="00576730" w:rsidRPr="00CE5EB0">
        <w:rPr>
          <w:rFonts w:ascii="Times New Roman" w:eastAsia="Times New Roman" w:hAnsi="Times New Roman"/>
          <w:iCs/>
          <w:sz w:val="24"/>
          <w:szCs w:val="24"/>
        </w:rPr>
        <w:t xml:space="preserve"> </w:t>
      </w:r>
      <w:r w:rsidR="00573520">
        <w:rPr>
          <w:rFonts w:ascii="Times New Roman" w:hAnsi="Times New Roman"/>
          <w:sz w:val="24"/>
          <w:szCs w:val="24"/>
        </w:rPr>
        <w:t>Pirkimo užduotis</w:t>
      </w:r>
      <w:r w:rsidR="00573520" w:rsidRPr="00CE5EB0">
        <w:rPr>
          <w:rFonts w:ascii="Times New Roman" w:hAnsi="Times New Roman"/>
          <w:sz w:val="24"/>
          <w:szCs w:val="24"/>
        </w:rPr>
        <w:t xml:space="preserve"> pridedama (2 priedas). </w:t>
      </w:r>
    </w:p>
    <w:p w14:paraId="461C6B6A" w14:textId="1C3ACE23" w:rsidR="0066666D" w:rsidRPr="00573520" w:rsidRDefault="007C540E" w:rsidP="00573520">
      <w:pPr>
        <w:tabs>
          <w:tab w:val="left" w:pos="9214"/>
        </w:tabs>
        <w:spacing w:after="0" w:line="240" w:lineRule="auto"/>
        <w:ind w:right="-1" w:firstLine="567"/>
        <w:jc w:val="both"/>
        <w:rPr>
          <w:rFonts w:ascii="Times New Roman" w:hAnsi="Times New Roman"/>
          <w:bCs/>
          <w:sz w:val="24"/>
          <w:szCs w:val="24"/>
          <w:lang w:eastAsia="lt-LT"/>
        </w:rPr>
      </w:pPr>
      <w:r w:rsidRPr="00CE5EB0">
        <w:rPr>
          <w:rFonts w:ascii="Times New Roman" w:hAnsi="Times New Roman"/>
          <w:sz w:val="24"/>
          <w:szCs w:val="24"/>
        </w:rPr>
        <w:t>2</w:t>
      </w:r>
      <w:r w:rsidR="00F12092" w:rsidRPr="00CE5EB0">
        <w:rPr>
          <w:rFonts w:ascii="Times New Roman" w:hAnsi="Times New Roman"/>
          <w:sz w:val="24"/>
          <w:szCs w:val="24"/>
        </w:rPr>
        <w:t>.4.</w:t>
      </w:r>
      <w:r w:rsidR="006F3B9E">
        <w:rPr>
          <w:rFonts w:ascii="Times New Roman" w:hAnsi="Times New Roman"/>
          <w:sz w:val="24"/>
          <w:szCs w:val="24"/>
        </w:rPr>
        <w:t xml:space="preserve"> </w:t>
      </w:r>
      <w:r w:rsidR="00573520">
        <w:rPr>
          <w:rFonts w:ascii="Times New Roman" w:hAnsi="Times New Roman"/>
          <w:sz w:val="24"/>
          <w:szCs w:val="24"/>
        </w:rPr>
        <w:t>Paslaugų</w:t>
      </w:r>
      <w:r w:rsidR="006F3B9E">
        <w:rPr>
          <w:rFonts w:ascii="Times New Roman" w:hAnsi="Times New Roman"/>
          <w:sz w:val="24"/>
          <w:szCs w:val="24"/>
        </w:rPr>
        <w:t xml:space="preserve"> atlikimo </w:t>
      </w:r>
      <w:r w:rsidRPr="00CE5EB0">
        <w:rPr>
          <w:rFonts w:ascii="Times New Roman" w:hAnsi="Times New Roman"/>
          <w:sz w:val="24"/>
          <w:szCs w:val="24"/>
        </w:rPr>
        <w:t>vieta</w:t>
      </w:r>
      <w:r w:rsidR="00220BA4" w:rsidRPr="00CE5EB0">
        <w:rPr>
          <w:rFonts w:ascii="Times New Roman" w:hAnsi="Times New Roman"/>
          <w:sz w:val="24"/>
          <w:szCs w:val="24"/>
        </w:rPr>
        <w:t xml:space="preserve">: </w:t>
      </w:r>
      <w:r w:rsidR="00573520" w:rsidRPr="00573520">
        <w:rPr>
          <w:rFonts w:ascii="Times New Roman" w:eastAsia="Times New Roman" w:hAnsi="Times New Roman"/>
          <w:sz w:val="24"/>
          <w:szCs w:val="24"/>
        </w:rPr>
        <w:t>Vilniaus g.</w:t>
      </w:r>
      <w:r w:rsidR="002347A0">
        <w:rPr>
          <w:rFonts w:ascii="Times New Roman" w:eastAsia="Times New Roman" w:hAnsi="Times New Roman"/>
          <w:sz w:val="24"/>
          <w:szCs w:val="24"/>
        </w:rPr>
        <w:t xml:space="preserve"> </w:t>
      </w:r>
      <w:r w:rsidR="00573520" w:rsidRPr="00573520">
        <w:rPr>
          <w:rFonts w:ascii="Times New Roman" w:eastAsia="Times New Roman" w:hAnsi="Times New Roman"/>
          <w:sz w:val="24"/>
          <w:szCs w:val="24"/>
        </w:rPr>
        <w:t>19, LT-18117, Švenčionys</w:t>
      </w:r>
      <w:r w:rsidR="00573520">
        <w:rPr>
          <w:rFonts w:ascii="Times New Roman" w:eastAsia="Times New Roman" w:hAnsi="Times New Roman"/>
          <w:sz w:val="24"/>
          <w:szCs w:val="24"/>
        </w:rPr>
        <w:t>.</w:t>
      </w:r>
    </w:p>
    <w:p w14:paraId="7F5BA57C" w14:textId="0F50D64C" w:rsidR="001A1ACF" w:rsidRPr="00CE5EB0" w:rsidRDefault="00F12092" w:rsidP="003F7F28">
      <w:pPr>
        <w:spacing w:after="0" w:line="240" w:lineRule="auto"/>
        <w:ind w:right="-1" w:firstLine="567"/>
        <w:jc w:val="both"/>
        <w:rPr>
          <w:rFonts w:ascii="Times New Roman" w:eastAsia="Times New Roman" w:hAnsi="Times New Roman"/>
          <w:sz w:val="24"/>
          <w:szCs w:val="24"/>
        </w:rPr>
      </w:pPr>
      <w:r w:rsidRPr="00CE5EB0">
        <w:rPr>
          <w:rFonts w:ascii="Times New Roman" w:hAnsi="Times New Roman"/>
          <w:color w:val="000000"/>
          <w:sz w:val="24"/>
          <w:szCs w:val="24"/>
        </w:rPr>
        <w:t xml:space="preserve">2.5. </w:t>
      </w:r>
      <w:r w:rsidR="00573520">
        <w:rPr>
          <w:rFonts w:ascii="Times New Roman" w:hAnsi="Times New Roman"/>
          <w:color w:val="000000"/>
          <w:sz w:val="24"/>
          <w:szCs w:val="24"/>
        </w:rPr>
        <w:t>Paslaugų</w:t>
      </w:r>
      <w:r w:rsidR="006F3B9E">
        <w:rPr>
          <w:rFonts w:ascii="Times New Roman" w:hAnsi="Times New Roman"/>
          <w:color w:val="000000"/>
          <w:sz w:val="24"/>
          <w:szCs w:val="24"/>
        </w:rPr>
        <w:t xml:space="preserve"> atlikimo </w:t>
      </w:r>
      <w:r w:rsidR="007C540E" w:rsidRPr="00CE5EB0">
        <w:rPr>
          <w:rFonts w:ascii="Times New Roman" w:hAnsi="Times New Roman"/>
          <w:color w:val="000000" w:themeColor="text1"/>
          <w:sz w:val="24"/>
          <w:szCs w:val="24"/>
        </w:rPr>
        <w:t>terminas</w:t>
      </w:r>
      <w:r w:rsidR="001509A2" w:rsidRPr="00CE5EB0">
        <w:rPr>
          <w:rFonts w:ascii="Times New Roman" w:hAnsi="Times New Roman"/>
          <w:color w:val="000000" w:themeColor="text1"/>
          <w:sz w:val="24"/>
          <w:szCs w:val="24"/>
        </w:rPr>
        <w:t>:</w:t>
      </w:r>
      <w:r w:rsidR="001509A2" w:rsidRPr="00CE5EB0">
        <w:rPr>
          <w:rFonts w:ascii="Times New Roman" w:eastAsia="Times New Roman" w:hAnsi="Times New Roman"/>
          <w:color w:val="000000" w:themeColor="text1"/>
          <w:sz w:val="24"/>
          <w:szCs w:val="24"/>
        </w:rPr>
        <w:t xml:space="preserve"> </w:t>
      </w:r>
      <w:r w:rsidR="00573520">
        <w:rPr>
          <w:rFonts w:ascii="Times New Roman" w:eastAsia="Times New Roman" w:hAnsi="Times New Roman"/>
          <w:sz w:val="24"/>
          <w:szCs w:val="24"/>
        </w:rPr>
        <w:t>7</w:t>
      </w:r>
      <w:r w:rsidR="00CE5EB0">
        <w:rPr>
          <w:rFonts w:ascii="Times New Roman" w:eastAsia="Times New Roman" w:hAnsi="Times New Roman"/>
          <w:sz w:val="24"/>
          <w:szCs w:val="24"/>
        </w:rPr>
        <w:t xml:space="preserve"> mėn.</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2A0CE0D1" w14:textId="77777777" w:rsidR="00C005C9" w:rsidRDefault="00C005C9" w:rsidP="00C005C9">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4B196EEB" w14:textId="77777777" w:rsidR="00C005C9" w:rsidRPr="00775041" w:rsidRDefault="00C005C9" w:rsidP="00C005C9">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48005A33" w14:textId="15378D16" w:rsidR="00C005C9" w:rsidRPr="00096E5C" w:rsidRDefault="00C005C9" w:rsidP="00096E5C">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096E5C">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w:t>
      </w:r>
      <w:r w:rsidR="00096E5C">
        <w:rPr>
          <w:rFonts w:ascii="Times New Roman" w:eastAsia="Times New Roman" w:hAnsi="Times New Roman"/>
          <w:sz w:val="24"/>
          <w:szCs w:val="24"/>
          <w:lang w:eastAsia="lt-LT"/>
        </w:rPr>
        <w:t xml:space="preserve"> 4</w:t>
      </w:r>
      <w:r>
        <w:rPr>
          <w:rFonts w:ascii="Times New Roman" w:eastAsia="Times New Roman" w:hAnsi="Times New Roman"/>
          <w:sz w:val="24"/>
          <w:szCs w:val="24"/>
          <w:lang w:eastAsia="lt-LT"/>
        </w:rPr>
        <w:t xml:space="preserve">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50914233" w14:textId="77777777" w:rsidR="00C005C9" w:rsidRDefault="00C005C9" w:rsidP="00C005C9">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Style w:val="Lentelstinklelis"/>
        <w:tblW w:w="0" w:type="auto"/>
        <w:tblLook w:val="04A0" w:firstRow="1" w:lastRow="0" w:firstColumn="1" w:lastColumn="0" w:noHBand="0" w:noVBand="1"/>
      </w:tblPr>
      <w:tblGrid>
        <w:gridCol w:w="756"/>
        <w:gridCol w:w="3949"/>
        <w:gridCol w:w="4923"/>
      </w:tblGrid>
      <w:tr w:rsidR="00096E5C" w:rsidRPr="00096E5C" w14:paraId="35335A82" w14:textId="77777777" w:rsidTr="00144A9F">
        <w:tc>
          <w:tcPr>
            <w:tcW w:w="756" w:type="dxa"/>
          </w:tcPr>
          <w:p w14:paraId="496C9C41" w14:textId="5E60F489" w:rsidR="00096E5C" w:rsidRPr="00096E5C" w:rsidRDefault="00096E5C" w:rsidP="00096E5C">
            <w:pPr>
              <w:spacing w:after="0" w:line="240" w:lineRule="auto"/>
              <w:jc w:val="center"/>
              <w:rPr>
                <w:rFonts w:ascii="Times New Roman" w:hAnsi="Times New Roman"/>
                <w:b/>
                <w:bCs/>
                <w:sz w:val="24"/>
              </w:rPr>
            </w:pPr>
            <w:r>
              <w:rPr>
                <w:rFonts w:ascii="Times New Roman" w:hAnsi="Times New Roman"/>
                <w:b/>
                <w:bCs/>
                <w:sz w:val="24"/>
              </w:rPr>
              <w:t>Eil. Nr.</w:t>
            </w:r>
          </w:p>
        </w:tc>
        <w:tc>
          <w:tcPr>
            <w:tcW w:w="3949" w:type="dxa"/>
            <w:tcBorders>
              <w:top w:val="single" w:sz="4" w:space="0" w:color="auto"/>
              <w:left w:val="single" w:sz="4" w:space="0" w:color="auto"/>
              <w:bottom w:val="single" w:sz="4" w:space="0" w:color="auto"/>
              <w:right w:val="single" w:sz="4" w:space="0" w:color="auto"/>
            </w:tcBorders>
            <w:vAlign w:val="center"/>
          </w:tcPr>
          <w:p w14:paraId="07560F78" w14:textId="0F17CED6" w:rsidR="00096E5C" w:rsidRPr="00096E5C" w:rsidRDefault="00096E5C" w:rsidP="00096E5C">
            <w:pPr>
              <w:spacing w:after="0" w:line="240" w:lineRule="auto"/>
              <w:jc w:val="center"/>
              <w:rPr>
                <w:rFonts w:ascii="Times New Roman" w:hAnsi="Times New Roman"/>
                <w:b/>
                <w:bCs/>
                <w:sz w:val="24"/>
              </w:rPr>
            </w:pPr>
            <w:r w:rsidRPr="007849B0">
              <w:rPr>
                <w:rFonts w:ascii="Times New Roman" w:eastAsia="Times New Roman" w:hAnsi="Times New Roman"/>
                <w:b/>
                <w:sz w:val="24"/>
                <w:szCs w:val="24"/>
              </w:rPr>
              <w:t>Kvalifikacijos reikalavimai</w:t>
            </w:r>
          </w:p>
        </w:tc>
        <w:tc>
          <w:tcPr>
            <w:tcW w:w="4923" w:type="dxa"/>
            <w:tcBorders>
              <w:top w:val="single" w:sz="4" w:space="0" w:color="auto"/>
              <w:left w:val="single" w:sz="4" w:space="0" w:color="auto"/>
              <w:bottom w:val="single" w:sz="4" w:space="0" w:color="auto"/>
              <w:right w:val="single" w:sz="4" w:space="0" w:color="auto"/>
            </w:tcBorders>
            <w:vAlign w:val="center"/>
          </w:tcPr>
          <w:p w14:paraId="1F6699B9" w14:textId="77777777" w:rsidR="00096E5C" w:rsidRPr="007849B0" w:rsidRDefault="00096E5C" w:rsidP="00096E5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7F77E259" w14:textId="3E24079A" w:rsidR="00096E5C" w:rsidRPr="00096E5C" w:rsidRDefault="00096E5C" w:rsidP="00096E5C">
            <w:pPr>
              <w:spacing w:after="0" w:line="240" w:lineRule="auto"/>
              <w:jc w:val="center"/>
              <w:rPr>
                <w:rFonts w:ascii="Times New Roman" w:hAnsi="Times New Roman"/>
                <w:b/>
                <w:bCs/>
                <w:sz w:val="24"/>
              </w:rPr>
            </w:pPr>
            <w:r w:rsidRPr="007849B0">
              <w:rPr>
                <w:rFonts w:ascii="Times New Roman" w:eastAsia="Times New Roman" w:hAnsi="Times New Roman"/>
                <w:i/>
                <w:sz w:val="24"/>
                <w:szCs w:val="24"/>
                <w:u w:val="single"/>
              </w:rPr>
              <w:t>(dokumentai pateikiami elektronine forma)</w:t>
            </w:r>
          </w:p>
        </w:tc>
      </w:tr>
      <w:tr w:rsidR="00096E5C" w:rsidRPr="00096E5C" w14:paraId="3B06EB1F" w14:textId="77777777" w:rsidTr="00144A9F">
        <w:tc>
          <w:tcPr>
            <w:tcW w:w="756" w:type="dxa"/>
          </w:tcPr>
          <w:p w14:paraId="04BCBB80" w14:textId="1D8BB651" w:rsidR="00096E5C" w:rsidRPr="00096E5C" w:rsidRDefault="002500E2" w:rsidP="00096E5C">
            <w:pPr>
              <w:spacing w:after="0" w:line="240" w:lineRule="auto"/>
              <w:rPr>
                <w:rFonts w:ascii="Times New Roman" w:hAnsi="Times New Roman"/>
                <w:sz w:val="24"/>
              </w:rPr>
            </w:pPr>
            <w:r>
              <w:rPr>
                <w:rFonts w:ascii="Times New Roman" w:hAnsi="Times New Roman"/>
                <w:sz w:val="24"/>
              </w:rPr>
              <w:t>3.2.1.</w:t>
            </w:r>
          </w:p>
        </w:tc>
        <w:tc>
          <w:tcPr>
            <w:tcW w:w="3949" w:type="dxa"/>
          </w:tcPr>
          <w:p w14:paraId="0E23EF8B" w14:textId="66B339C9"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Tiekėjas turi būti sėkmingai įvykdęs ne mažiau kaip 3 (tris) sutartis, kurių kiekvienos objektas – viešųjų erdvių želdynų projektavimas ir  faktiškas želdynų įrengimas / rekonstravimas ar sodinimas  (darbai pirkimo dokumentų pateikimo dienai turi būti pilnai užbaigti).</w:t>
            </w:r>
          </w:p>
        </w:tc>
        <w:tc>
          <w:tcPr>
            <w:tcW w:w="4923" w:type="dxa"/>
          </w:tcPr>
          <w:p w14:paraId="13A95175"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1) Tiekėjo pasirašyta laisvos formos pažyma, kurioje nurodytas įvykdytų sutarčių sąrašas (užsakovas, objekto pavadinimas, įvykdymo/įgyvendinimo data).</w:t>
            </w:r>
          </w:p>
          <w:p w14:paraId="61A6C48D" w14:textId="77777777" w:rsidR="00096E5C" w:rsidRPr="00096E5C" w:rsidRDefault="00096E5C" w:rsidP="00096E5C">
            <w:pPr>
              <w:spacing w:after="0" w:line="240" w:lineRule="auto"/>
              <w:rPr>
                <w:rFonts w:ascii="Times New Roman" w:hAnsi="Times New Roman"/>
                <w:sz w:val="24"/>
              </w:rPr>
            </w:pPr>
          </w:p>
          <w:p w14:paraId="55CF4743"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2) Užsakovo pažyma (-</w:t>
            </w:r>
            <w:proofErr w:type="spellStart"/>
            <w:r w:rsidRPr="00096E5C">
              <w:rPr>
                <w:rFonts w:ascii="Times New Roman" w:hAnsi="Times New Roman"/>
                <w:sz w:val="24"/>
              </w:rPr>
              <w:t>os</w:t>
            </w:r>
            <w:proofErr w:type="spellEnd"/>
            <w:r w:rsidRPr="00096E5C">
              <w:rPr>
                <w:rFonts w:ascii="Times New Roman" w:hAnsi="Times New Roman"/>
                <w:sz w:val="24"/>
              </w:rPr>
              <w:t>) arba paslaugų / darbų priėmimo–perdavimo aktas (-ai), patvirtinantys, kad paslaugos buvo suteiktos tinkamai ir objektai yra įgyvendinti.</w:t>
            </w:r>
          </w:p>
          <w:p w14:paraId="0BEDC0B7" w14:textId="77777777" w:rsidR="00096E5C" w:rsidRPr="00096E5C" w:rsidRDefault="00096E5C" w:rsidP="00096E5C">
            <w:pPr>
              <w:spacing w:after="0" w:line="240" w:lineRule="auto"/>
              <w:rPr>
                <w:rFonts w:ascii="Times New Roman" w:hAnsi="Times New Roman"/>
                <w:sz w:val="24"/>
              </w:rPr>
            </w:pPr>
          </w:p>
        </w:tc>
      </w:tr>
      <w:tr w:rsidR="00096E5C" w:rsidRPr="00096E5C" w14:paraId="0F931563" w14:textId="77777777" w:rsidTr="00144A9F">
        <w:tc>
          <w:tcPr>
            <w:tcW w:w="756" w:type="dxa"/>
          </w:tcPr>
          <w:p w14:paraId="4387C2B6" w14:textId="6CB51770" w:rsidR="00096E5C" w:rsidRPr="00096E5C" w:rsidRDefault="002500E2" w:rsidP="00096E5C">
            <w:pPr>
              <w:spacing w:after="0" w:line="240" w:lineRule="auto"/>
              <w:rPr>
                <w:rFonts w:ascii="Times New Roman" w:hAnsi="Times New Roman"/>
                <w:sz w:val="24"/>
              </w:rPr>
            </w:pPr>
            <w:r>
              <w:rPr>
                <w:rFonts w:ascii="Times New Roman" w:hAnsi="Times New Roman"/>
                <w:sz w:val="24"/>
              </w:rPr>
              <w:t>3.2.2.</w:t>
            </w:r>
          </w:p>
        </w:tc>
        <w:tc>
          <w:tcPr>
            <w:tcW w:w="3949" w:type="dxa"/>
          </w:tcPr>
          <w:p w14:paraId="4F1B36F7" w14:textId="77777777" w:rsidR="00096E5C" w:rsidRDefault="00096E5C" w:rsidP="00096E5C">
            <w:pPr>
              <w:spacing w:after="0" w:line="240" w:lineRule="auto"/>
              <w:rPr>
                <w:rFonts w:ascii="Times New Roman" w:hAnsi="Times New Roman"/>
                <w:sz w:val="24"/>
              </w:rPr>
            </w:pPr>
            <w:r w:rsidRPr="00096E5C">
              <w:rPr>
                <w:rFonts w:ascii="Times New Roman" w:hAnsi="Times New Roman"/>
                <w:sz w:val="24"/>
              </w:rPr>
              <w:t>Reikalavimas komandos nariui (ekologijos ekspertui)</w:t>
            </w:r>
            <w:r w:rsidR="00F75195">
              <w:rPr>
                <w:rFonts w:ascii="Times New Roman" w:hAnsi="Times New Roman"/>
                <w:sz w:val="24"/>
              </w:rPr>
              <w:t>.</w:t>
            </w:r>
          </w:p>
          <w:p w14:paraId="1376D869" w14:textId="06965B43" w:rsidR="00F75195" w:rsidRPr="00096E5C" w:rsidRDefault="000914D5" w:rsidP="00096E5C">
            <w:pPr>
              <w:spacing w:after="0" w:line="240" w:lineRule="auto"/>
              <w:rPr>
                <w:rFonts w:ascii="Times New Roman" w:hAnsi="Times New Roman"/>
                <w:sz w:val="24"/>
              </w:rPr>
            </w:pPr>
            <w:r w:rsidRPr="00096E5C">
              <w:rPr>
                <w:rFonts w:ascii="Times New Roman" w:hAnsi="Times New Roman"/>
                <w:sz w:val="24"/>
              </w:rPr>
              <w:t xml:space="preserve">Tiekėjas turi pasiūlyti bent 1 (vieną) </w:t>
            </w:r>
            <w:r>
              <w:rPr>
                <w:rFonts w:ascii="Times New Roman" w:hAnsi="Times New Roman"/>
                <w:sz w:val="24"/>
              </w:rPr>
              <w:t xml:space="preserve">ekologijos ekspertą, </w:t>
            </w:r>
            <w:r w:rsidRPr="00096E5C">
              <w:rPr>
                <w:rFonts w:ascii="Times New Roman" w:hAnsi="Times New Roman"/>
                <w:sz w:val="24"/>
              </w:rPr>
              <w:t xml:space="preserve">turintį  aukštąjį universitetinį išsilavinimą – </w:t>
            </w:r>
            <w:r w:rsidR="00144A9F" w:rsidRPr="00096E5C">
              <w:rPr>
                <w:rFonts w:ascii="Times New Roman" w:hAnsi="Times New Roman"/>
                <w:sz w:val="24"/>
              </w:rPr>
              <w:t>ekologijos/aplinkotyros magistr</w:t>
            </w:r>
            <w:r w:rsidR="00144A9F">
              <w:rPr>
                <w:rFonts w:ascii="Times New Roman" w:hAnsi="Times New Roman"/>
                <w:sz w:val="24"/>
              </w:rPr>
              <w:t>o</w:t>
            </w:r>
            <w:r w:rsidR="00144A9F" w:rsidRPr="00096E5C">
              <w:rPr>
                <w:rFonts w:ascii="Times New Roman" w:hAnsi="Times New Roman"/>
                <w:sz w:val="24"/>
              </w:rPr>
              <w:t xml:space="preserve"> </w:t>
            </w:r>
            <w:r w:rsidRPr="002347A0">
              <w:rPr>
                <w:rFonts w:ascii="Times New Roman" w:hAnsi="Times New Roman"/>
                <w:sz w:val="24"/>
              </w:rPr>
              <w:t>laipsnį (arba jam prilygintą aukštojo mokslo kvalifikacinį laipsnį).</w:t>
            </w:r>
          </w:p>
        </w:tc>
        <w:tc>
          <w:tcPr>
            <w:tcW w:w="4923" w:type="dxa"/>
          </w:tcPr>
          <w:p w14:paraId="5158E6F2"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1) Eksperto gyvenimo aprašymas (CV), pasirašytas paties eksperto.</w:t>
            </w:r>
          </w:p>
          <w:p w14:paraId="5AA0B199" w14:textId="77777777" w:rsidR="00096E5C" w:rsidRPr="00096E5C" w:rsidRDefault="00096E5C" w:rsidP="00096E5C">
            <w:pPr>
              <w:spacing w:after="0" w:line="240" w:lineRule="auto"/>
              <w:rPr>
                <w:rFonts w:ascii="Times New Roman" w:hAnsi="Times New Roman"/>
                <w:sz w:val="24"/>
              </w:rPr>
            </w:pPr>
          </w:p>
          <w:p w14:paraId="61CA12B2"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2) Ne žemesnio nei magistro laipsnio diplomo kopija ARBA aukštosios mokyklos (universiteto) išduota oficiali pažyma, patvirtinanti, kad asmuo yra ekologijos/aplinkotyros krypties magistras (doktorantas).</w:t>
            </w:r>
          </w:p>
          <w:p w14:paraId="203C27E2" w14:textId="77777777" w:rsidR="00096E5C" w:rsidRPr="00096E5C" w:rsidRDefault="00096E5C" w:rsidP="00096E5C">
            <w:pPr>
              <w:spacing w:after="0" w:line="240" w:lineRule="auto"/>
              <w:rPr>
                <w:rFonts w:ascii="Times New Roman" w:hAnsi="Times New Roman"/>
                <w:sz w:val="24"/>
              </w:rPr>
            </w:pPr>
          </w:p>
          <w:p w14:paraId="3ED2CE30"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3) Eksperto pasirašytas pasižadėjimas dalyvauti vykdant sutartį.</w:t>
            </w:r>
          </w:p>
          <w:p w14:paraId="383CCD0C" w14:textId="77777777" w:rsidR="00096E5C" w:rsidRPr="00096E5C" w:rsidRDefault="00096E5C" w:rsidP="00096E5C">
            <w:pPr>
              <w:spacing w:after="0" w:line="240" w:lineRule="auto"/>
              <w:rPr>
                <w:rFonts w:ascii="Times New Roman" w:hAnsi="Times New Roman"/>
                <w:sz w:val="24"/>
              </w:rPr>
            </w:pPr>
          </w:p>
        </w:tc>
      </w:tr>
      <w:tr w:rsidR="00096E5C" w:rsidRPr="00096E5C" w14:paraId="5404F064" w14:textId="77777777" w:rsidTr="00144A9F">
        <w:tc>
          <w:tcPr>
            <w:tcW w:w="756" w:type="dxa"/>
          </w:tcPr>
          <w:p w14:paraId="682AE076" w14:textId="4D45F2F4" w:rsidR="00096E5C" w:rsidRPr="00096E5C" w:rsidRDefault="002500E2" w:rsidP="00096E5C">
            <w:pPr>
              <w:spacing w:after="0" w:line="240" w:lineRule="auto"/>
              <w:rPr>
                <w:rFonts w:ascii="Times New Roman" w:hAnsi="Times New Roman"/>
                <w:sz w:val="24"/>
              </w:rPr>
            </w:pPr>
            <w:r>
              <w:rPr>
                <w:rFonts w:ascii="Times New Roman" w:hAnsi="Times New Roman"/>
                <w:sz w:val="24"/>
              </w:rPr>
              <w:t>3.2.3.</w:t>
            </w:r>
          </w:p>
        </w:tc>
        <w:tc>
          <w:tcPr>
            <w:tcW w:w="3949" w:type="dxa"/>
          </w:tcPr>
          <w:p w14:paraId="18A82A25" w14:textId="4A4585CD"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Reikalavimas komandos nariui (kraštovaizdžio architektui)</w:t>
            </w:r>
          </w:p>
          <w:p w14:paraId="0665833E"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Tiekėjas turi pasiūlyti bent 1 (vieną) Kraštovaizdžio architektūros specialistą, turintį  aukštąjį universitetinį išsilavinimą – kraštovaizdžio architektūros magistro laipsnį (arba jam prilygintą aukštojo mokslo kvalifikacinį laipsnį).</w:t>
            </w:r>
          </w:p>
        </w:tc>
        <w:tc>
          <w:tcPr>
            <w:tcW w:w="4923" w:type="dxa"/>
          </w:tcPr>
          <w:p w14:paraId="7F68A508"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1) Specialisto kraštovaizdžio architektūros ne žemesnio laipsnio nei magistro diplomo kopija (arba lygiavertis mokslo institucijos išduotas išsilavinimo dokumentas).</w:t>
            </w:r>
          </w:p>
          <w:p w14:paraId="6C9016FE" w14:textId="77777777" w:rsidR="00096E5C" w:rsidRPr="00096E5C" w:rsidRDefault="00096E5C" w:rsidP="00096E5C">
            <w:pPr>
              <w:spacing w:after="0" w:line="240" w:lineRule="auto"/>
              <w:rPr>
                <w:rFonts w:ascii="Times New Roman" w:hAnsi="Times New Roman"/>
                <w:sz w:val="24"/>
              </w:rPr>
            </w:pPr>
          </w:p>
          <w:p w14:paraId="6ECF0E79"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2) Specialisto pasirašytas gyvenimo aprašymas (CV).</w:t>
            </w:r>
          </w:p>
          <w:p w14:paraId="186B3012" w14:textId="77777777" w:rsidR="00096E5C" w:rsidRPr="00096E5C" w:rsidRDefault="00096E5C" w:rsidP="00096E5C">
            <w:pPr>
              <w:spacing w:after="0" w:line="240" w:lineRule="auto"/>
              <w:rPr>
                <w:rFonts w:ascii="Times New Roman" w:hAnsi="Times New Roman"/>
                <w:sz w:val="24"/>
              </w:rPr>
            </w:pPr>
          </w:p>
          <w:p w14:paraId="631FDC9B" w14:textId="77777777" w:rsidR="00096E5C" w:rsidRPr="00096E5C" w:rsidRDefault="00096E5C" w:rsidP="00096E5C">
            <w:pPr>
              <w:spacing w:after="0" w:line="240" w:lineRule="auto"/>
              <w:rPr>
                <w:rFonts w:ascii="Times New Roman" w:hAnsi="Times New Roman"/>
                <w:sz w:val="24"/>
              </w:rPr>
            </w:pPr>
            <w:r w:rsidRPr="00096E5C">
              <w:rPr>
                <w:rFonts w:ascii="Times New Roman" w:hAnsi="Times New Roman"/>
                <w:sz w:val="24"/>
              </w:rPr>
              <w:t>3) Specialisto pasirašytas pasižadėjimas vykdyti sutartį.</w:t>
            </w:r>
          </w:p>
          <w:p w14:paraId="585F1DBE" w14:textId="77777777" w:rsidR="00096E5C" w:rsidRPr="00096E5C" w:rsidRDefault="00096E5C" w:rsidP="00096E5C">
            <w:pPr>
              <w:spacing w:after="0" w:line="240" w:lineRule="auto"/>
              <w:rPr>
                <w:rFonts w:ascii="Times New Roman" w:hAnsi="Times New Roman"/>
                <w:sz w:val="24"/>
              </w:rPr>
            </w:pPr>
          </w:p>
        </w:tc>
      </w:tr>
    </w:tbl>
    <w:p w14:paraId="75D3703A" w14:textId="77777777" w:rsidR="00144A9F" w:rsidRDefault="00144A9F" w:rsidP="00144A9F">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B855429" w14:textId="77777777" w:rsidR="00144A9F" w:rsidRPr="00C35B72" w:rsidRDefault="00144A9F" w:rsidP="00144A9F">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54FA82BC" w14:textId="77777777" w:rsidR="00144A9F" w:rsidRPr="00C35B72" w:rsidRDefault="00144A9F" w:rsidP="00144A9F">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535F5034" w14:textId="398BD042"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144A9F">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677777C1"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144A9F">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xml:space="preserve">.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w:t>
      </w:r>
      <w:r w:rsidRPr="000159E2">
        <w:rPr>
          <w:rFonts w:ascii="Times New Roman" w:hAnsi="Times New Roman"/>
          <w:sz w:val="24"/>
          <w:szCs w:val="24"/>
          <w14:ligatures w14:val="standardContextual"/>
        </w:rPr>
        <w:lastRenderedPageBreak/>
        <w:t>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162EAAA8"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6F3B9E">
        <w:rPr>
          <w:rFonts w:ascii="Times New Roman" w:hAnsi="Times New Roman"/>
          <w:color w:val="000000"/>
          <w:sz w:val="24"/>
          <w:szCs w:val="24"/>
          <w:lang w:eastAsia="lt-LT"/>
        </w:rPr>
        <w:t>darbų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6F3B9E">
        <w:rPr>
          <w:rFonts w:ascii="Times New Roman" w:hAnsi="Times New Roman"/>
          <w:color w:val="000000"/>
          <w:sz w:val="24"/>
          <w:szCs w:val="24"/>
          <w:lang w:eastAsia="lt-LT"/>
        </w:rPr>
        <w:t>darbų</w:t>
      </w:r>
      <w:r w:rsidR="004E06D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6F3B9E">
        <w:rPr>
          <w:rFonts w:ascii="Times New Roman" w:eastAsia="Times New Roman" w:hAnsi="Times New Roman"/>
          <w:sz w:val="24"/>
          <w:szCs w:val="24"/>
        </w:rPr>
        <w:t>darbų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76D4561C" w14:textId="77777777" w:rsidR="00FA10F5" w:rsidRDefault="003F7F28" w:rsidP="009848C8">
      <w:pPr>
        <w:widowControl w:val="0"/>
        <w:suppressAutoHyphens/>
        <w:spacing w:after="0" w:line="240" w:lineRule="auto"/>
        <w:ind w:firstLine="567"/>
        <w:jc w:val="both"/>
        <w:rPr>
          <w:rFonts w:ascii="Times New Roman" w:eastAsia="Times New Roman" w:hAnsi="Times New Roman"/>
          <w:b/>
          <w:sz w:val="24"/>
          <w:szCs w:val="24"/>
          <w:lang w:eastAsia="lt-LT"/>
        </w:rPr>
      </w:pPr>
      <w:r w:rsidRPr="003F7F28">
        <w:rPr>
          <w:rFonts w:ascii="Times New Roman" w:hAnsi="Times New Roman"/>
          <w:bCs/>
          <w:color w:val="000000"/>
          <w:sz w:val="24"/>
          <w:szCs w:val="24"/>
        </w:rPr>
        <w:t>5.12.2.</w:t>
      </w:r>
      <w:r>
        <w:rPr>
          <w:rFonts w:ascii="Times New Roman" w:hAnsi="Times New Roman"/>
          <w:b/>
          <w:color w:val="000000"/>
          <w:sz w:val="24"/>
          <w:szCs w:val="24"/>
        </w:rPr>
        <w:t xml:space="preserve"> </w:t>
      </w:r>
      <w:r w:rsidR="00FA10F5" w:rsidRPr="009C35FD">
        <w:rPr>
          <w:rFonts w:ascii="Times New Roman" w:hAnsi="Times New Roman"/>
          <w:b/>
          <w:sz w:val="24"/>
          <w:szCs w:val="24"/>
        </w:rPr>
        <w:t>Tiekėjo</w:t>
      </w:r>
      <w:r w:rsidR="00FA10F5" w:rsidRPr="009C35FD">
        <w:rPr>
          <w:rFonts w:ascii="Times New Roman" w:eastAsia="Times New Roman" w:hAnsi="Times New Roman"/>
          <w:b/>
          <w:sz w:val="24"/>
          <w:szCs w:val="24"/>
        </w:rPr>
        <w:t xml:space="preserve"> deklaraciją</w:t>
      </w:r>
      <w:r w:rsidR="00FA10F5" w:rsidRPr="009C35FD">
        <w:rPr>
          <w:rFonts w:ascii="Times New Roman" w:eastAsia="Times New Roman" w:hAnsi="Times New Roman"/>
          <w:b/>
          <w:color w:val="000000"/>
          <w:sz w:val="24"/>
          <w:szCs w:val="24"/>
        </w:rPr>
        <w:t xml:space="preserve"> pagal </w:t>
      </w:r>
      <w:r w:rsidR="00FA10F5">
        <w:rPr>
          <w:rFonts w:ascii="Times New Roman" w:eastAsia="Times New Roman" w:hAnsi="Times New Roman"/>
          <w:b/>
          <w:sz w:val="24"/>
          <w:szCs w:val="24"/>
          <w:lang w:eastAsia="lt-LT"/>
        </w:rPr>
        <w:t>4</w:t>
      </w:r>
      <w:r w:rsidR="00FA10F5" w:rsidRPr="009C35FD">
        <w:rPr>
          <w:rFonts w:ascii="Times New Roman" w:eastAsia="Times New Roman" w:hAnsi="Times New Roman"/>
          <w:b/>
          <w:sz w:val="24"/>
          <w:szCs w:val="24"/>
          <w:lang w:eastAsia="lt-LT"/>
        </w:rPr>
        <w:t xml:space="preserve"> priede pateiktą formą;</w:t>
      </w:r>
    </w:p>
    <w:p w14:paraId="2E706334" w14:textId="75025DC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C614624"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4DC958B"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89B3832"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6F3B9E">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6F3B9E">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 xml:space="preserve">skaičiuojamas iš naujo nuo paaiškinimų ar patikslinimų paskelbimo </w:t>
      </w:r>
      <w:r w:rsidRPr="009550C7">
        <w:rPr>
          <w:rFonts w:ascii="Times New Roman" w:eastAsia="Times New Roman" w:hAnsi="Times New Roman"/>
          <w:sz w:val="24"/>
          <w:szCs w:val="24"/>
        </w:rPr>
        <w:lastRenderedPageBreak/>
        <w:t>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35A03FC8"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FA10F5">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5A24BD5B" w:rsidR="00A11D8D" w:rsidRDefault="0080382D" w:rsidP="00A11D8D">
      <w:pPr>
        <w:suppressAutoHyphens/>
        <w:spacing w:after="40" w:line="240" w:lineRule="auto"/>
        <w:ind w:firstLine="567"/>
        <w:jc w:val="both"/>
        <w:rPr>
          <w:rFonts w:ascii="Times New Roman" w:hAnsi="Times New Roman"/>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4E06DC">
        <w:rPr>
          <w:rFonts w:ascii="Times New Roman" w:hAnsi="Times New Roman"/>
          <w:color w:val="000000"/>
          <w:sz w:val="24"/>
          <w:szCs w:val="24"/>
        </w:rPr>
        <w:t>„</w:t>
      </w:r>
      <w:r w:rsidR="00FA10F5">
        <w:rPr>
          <w:rFonts w:ascii="Times New Roman" w:hAnsi="Times New Roman"/>
          <w:sz w:val="24"/>
          <w:szCs w:val="24"/>
        </w:rPr>
        <w:t>Pirkimo užduotis</w:t>
      </w:r>
      <w:r w:rsidR="004E06DC">
        <w:rPr>
          <w:rFonts w:ascii="Times New Roman" w:hAnsi="Times New Roman"/>
          <w:color w:val="000000"/>
          <w:sz w:val="24"/>
          <w:szCs w:val="24"/>
        </w:rPr>
        <w:t>“.</w:t>
      </w:r>
    </w:p>
    <w:p w14:paraId="21E26EB7" w14:textId="533A98F2" w:rsidR="009358E7" w:rsidRDefault="009358E7"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16.3.  3 priedas </w:t>
      </w:r>
      <w:r w:rsidR="00FA10F5">
        <w:rPr>
          <w:rFonts w:ascii="Times New Roman" w:hAnsi="Times New Roman"/>
          <w:color w:val="000000"/>
          <w:sz w:val="24"/>
          <w:szCs w:val="24"/>
        </w:rPr>
        <w:t>„Sutarties projektas“.</w:t>
      </w:r>
    </w:p>
    <w:p w14:paraId="36F11E72" w14:textId="48163D3E" w:rsidR="00FE01C0" w:rsidRDefault="00FE01C0" w:rsidP="00A11D8D">
      <w:pPr>
        <w:suppressAutoHyphens/>
        <w:spacing w:after="40" w:line="240" w:lineRule="auto"/>
        <w:ind w:firstLine="567"/>
        <w:jc w:val="both"/>
        <w:rPr>
          <w:rFonts w:ascii="Times New Roman" w:hAnsi="Times New Roman"/>
          <w:bCs/>
          <w:color w:val="000000"/>
          <w:sz w:val="24"/>
          <w:szCs w:val="24"/>
        </w:rPr>
      </w:pPr>
      <w:r>
        <w:rPr>
          <w:rFonts w:ascii="Times New Roman" w:hAnsi="Times New Roman"/>
          <w:color w:val="000000"/>
          <w:sz w:val="24"/>
          <w:szCs w:val="24"/>
        </w:rPr>
        <w:t>16.</w:t>
      </w:r>
      <w:r w:rsidR="009358E7">
        <w:rPr>
          <w:rFonts w:ascii="Times New Roman" w:hAnsi="Times New Roman"/>
          <w:color w:val="000000"/>
          <w:sz w:val="24"/>
          <w:szCs w:val="24"/>
        </w:rPr>
        <w:t>4</w:t>
      </w:r>
      <w:r>
        <w:rPr>
          <w:rFonts w:ascii="Times New Roman" w:hAnsi="Times New Roman"/>
          <w:color w:val="000000"/>
          <w:sz w:val="24"/>
          <w:szCs w:val="24"/>
        </w:rPr>
        <w:t xml:space="preserve">.  </w:t>
      </w:r>
      <w:r w:rsidR="009358E7">
        <w:rPr>
          <w:rFonts w:ascii="Times New Roman" w:hAnsi="Times New Roman"/>
          <w:color w:val="000000"/>
          <w:sz w:val="24"/>
          <w:szCs w:val="24"/>
        </w:rPr>
        <w:t>4</w:t>
      </w:r>
      <w:r>
        <w:rPr>
          <w:rFonts w:ascii="Times New Roman" w:hAnsi="Times New Roman"/>
          <w:color w:val="000000"/>
          <w:sz w:val="24"/>
          <w:szCs w:val="24"/>
        </w:rPr>
        <w:t xml:space="preserve"> priedas „</w:t>
      </w:r>
      <w:r w:rsidR="00FA10F5" w:rsidRPr="00AC54F5">
        <w:rPr>
          <w:rFonts w:ascii="Times New Roman" w:hAnsi="Times New Roman"/>
          <w:color w:val="000000"/>
          <w:sz w:val="24"/>
          <w:szCs w:val="24"/>
        </w:rPr>
        <w:t>Tiekėjo deklaracija</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AC83" w14:textId="77777777" w:rsidR="00D57854" w:rsidRDefault="00D57854" w:rsidP="00083AA5">
      <w:pPr>
        <w:spacing w:after="0" w:line="240" w:lineRule="auto"/>
      </w:pPr>
      <w:r>
        <w:separator/>
      </w:r>
    </w:p>
  </w:endnote>
  <w:endnote w:type="continuationSeparator" w:id="0">
    <w:p w14:paraId="4DECB8E9" w14:textId="77777777" w:rsidR="00D57854" w:rsidRDefault="00D57854"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6ABA" w14:textId="77777777" w:rsidR="00D57854" w:rsidRDefault="00D57854" w:rsidP="00083AA5">
      <w:pPr>
        <w:spacing w:after="0" w:line="240" w:lineRule="auto"/>
      </w:pPr>
      <w:r>
        <w:separator/>
      </w:r>
    </w:p>
  </w:footnote>
  <w:footnote w:type="continuationSeparator" w:id="0">
    <w:p w14:paraId="2F21C60F" w14:textId="77777777" w:rsidR="00D57854" w:rsidRDefault="00D57854"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443B"/>
    <w:rsid w:val="0007424E"/>
    <w:rsid w:val="00081BF1"/>
    <w:rsid w:val="00082750"/>
    <w:rsid w:val="00083068"/>
    <w:rsid w:val="00083AA5"/>
    <w:rsid w:val="00084620"/>
    <w:rsid w:val="00087163"/>
    <w:rsid w:val="000904DD"/>
    <w:rsid w:val="000914D5"/>
    <w:rsid w:val="00095990"/>
    <w:rsid w:val="00096E5C"/>
    <w:rsid w:val="000B0402"/>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44A9F"/>
    <w:rsid w:val="001509A2"/>
    <w:rsid w:val="00156EBB"/>
    <w:rsid w:val="00161C14"/>
    <w:rsid w:val="001663BF"/>
    <w:rsid w:val="0017610B"/>
    <w:rsid w:val="00181C97"/>
    <w:rsid w:val="001836AB"/>
    <w:rsid w:val="00184CA4"/>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5D0E"/>
    <w:rsid w:val="00207D5B"/>
    <w:rsid w:val="00213765"/>
    <w:rsid w:val="0021376E"/>
    <w:rsid w:val="00214993"/>
    <w:rsid w:val="00216827"/>
    <w:rsid w:val="00216AA5"/>
    <w:rsid w:val="00220BA4"/>
    <w:rsid w:val="00221933"/>
    <w:rsid w:val="00224725"/>
    <w:rsid w:val="00230CF1"/>
    <w:rsid w:val="00233C1A"/>
    <w:rsid w:val="002347A0"/>
    <w:rsid w:val="002500E2"/>
    <w:rsid w:val="00254C9E"/>
    <w:rsid w:val="002604C4"/>
    <w:rsid w:val="00260D0C"/>
    <w:rsid w:val="0027409C"/>
    <w:rsid w:val="002818F9"/>
    <w:rsid w:val="00285B4A"/>
    <w:rsid w:val="00290B2F"/>
    <w:rsid w:val="0029497A"/>
    <w:rsid w:val="002C0499"/>
    <w:rsid w:val="002C10A3"/>
    <w:rsid w:val="002E0C22"/>
    <w:rsid w:val="002E0FE8"/>
    <w:rsid w:val="002E48FF"/>
    <w:rsid w:val="002E57AA"/>
    <w:rsid w:val="002E6D49"/>
    <w:rsid w:val="002E7635"/>
    <w:rsid w:val="002F09BF"/>
    <w:rsid w:val="002F193F"/>
    <w:rsid w:val="002F50F7"/>
    <w:rsid w:val="002F563E"/>
    <w:rsid w:val="002F7584"/>
    <w:rsid w:val="00302B79"/>
    <w:rsid w:val="00304508"/>
    <w:rsid w:val="00304EFB"/>
    <w:rsid w:val="00307E09"/>
    <w:rsid w:val="00307F66"/>
    <w:rsid w:val="00310168"/>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0209"/>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3F7F28"/>
    <w:rsid w:val="00400F5B"/>
    <w:rsid w:val="00405249"/>
    <w:rsid w:val="00405713"/>
    <w:rsid w:val="0040642C"/>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5141CC"/>
    <w:rsid w:val="00516D74"/>
    <w:rsid w:val="0052377F"/>
    <w:rsid w:val="00526747"/>
    <w:rsid w:val="0053065F"/>
    <w:rsid w:val="00530C98"/>
    <w:rsid w:val="00530E6A"/>
    <w:rsid w:val="005404B4"/>
    <w:rsid w:val="0055219F"/>
    <w:rsid w:val="005529E4"/>
    <w:rsid w:val="00573520"/>
    <w:rsid w:val="00576730"/>
    <w:rsid w:val="00577EB2"/>
    <w:rsid w:val="005930C2"/>
    <w:rsid w:val="005A752B"/>
    <w:rsid w:val="005B1DD9"/>
    <w:rsid w:val="005B270E"/>
    <w:rsid w:val="005B4FAB"/>
    <w:rsid w:val="005C7FD2"/>
    <w:rsid w:val="005D266D"/>
    <w:rsid w:val="005D7E2D"/>
    <w:rsid w:val="005E2305"/>
    <w:rsid w:val="005E2962"/>
    <w:rsid w:val="005E5861"/>
    <w:rsid w:val="005E5F2F"/>
    <w:rsid w:val="005E61B5"/>
    <w:rsid w:val="005E7909"/>
    <w:rsid w:val="005F138B"/>
    <w:rsid w:val="006016A0"/>
    <w:rsid w:val="00632352"/>
    <w:rsid w:val="00637660"/>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D4047"/>
    <w:rsid w:val="006E4B93"/>
    <w:rsid w:val="006E658D"/>
    <w:rsid w:val="006F1184"/>
    <w:rsid w:val="006F25F6"/>
    <w:rsid w:val="006F3B9E"/>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634"/>
    <w:rsid w:val="008C3F59"/>
    <w:rsid w:val="008C58D6"/>
    <w:rsid w:val="008D39F5"/>
    <w:rsid w:val="008E235C"/>
    <w:rsid w:val="008E3998"/>
    <w:rsid w:val="008F32A6"/>
    <w:rsid w:val="008F4AE7"/>
    <w:rsid w:val="00900DD9"/>
    <w:rsid w:val="009055FF"/>
    <w:rsid w:val="009063E3"/>
    <w:rsid w:val="009077D8"/>
    <w:rsid w:val="00911637"/>
    <w:rsid w:val="009235A6"/>
    <w:rsid w:val="0092429B"/>
    <w:rsid w:val="00927919"/>
    <w:rsid w:val="009358E7"/>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B219B"/>
    <w:rsid w:val="00AC50FD"/>
    <w:rsid w:val="00AD0F95"/>
    <w:rsid w:val="00AD3CD9"/>
    <w:rsid w:val="00AD6F96"/>
    <w:rsid w:val="00AD72D1"/>
    <w:rsid w:val="00AE5D06"/>
    <w:rsid w:val="00AE7F41"/>
    <w:rsid w:val="00B057F0"/>
    <w:rsid w:val="00B05DE4"/>
    <w:rsid w:val="00B10D89"/>
    <w:rsid w:val="00B11FF7"/>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5C9"/>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0C01"/>
    <w:rsid w:val="00CB17DF"/>
    <w:rsid w:val="00CB38D9"/>
    <w:rsid w:val="00CB799A"/>
    <w:rsid w:val="00CD1A35"/>
    <w:rsid w:val="00CD7F33"/>
    <w:rsid w:val="00CE0E9D"/>
    <w:rsid w:val="00CE14D2"/>
    <w:rsid w:val="00CE52DC"/>
    <w:rsid w:val="00CE5EB0"/>
    <w:rsid w:val="00CF6EE3"/>
    <w:rsid w:val="00D00167"/>
    <w:rsid w:val="00D07901"/>
    <w:rsid w:val="00D13088"/>
    <w:rsid w:val="00D13CE6"/>
    <w:rsid w:val="00D16F0F"/>
    <w:rsid w:val="00D249BE"/>
    <w:rsid w:val="00D426D0"/>
    <w:rsid w:val="00D45F78"/>
    <w:rsid w:val="00D502C0"/>
    <w:rsid w:val="00D509DF"/>
    <w:rsid w:val="00D57854"/>
    <w:rsid w:val="00D720A5"/>
    <w:rsid w:val="00D8367C"/>
    <w:rsid w:val="00D84FD9"/>
    <w:rsid w:val="00D911FB"/>
    <w:rsid w:val="00D9178B"/>
    <w:rsid w:val="00D9420D"/>
    <w:rsid w:val="00D96F5A"/>
    <w:rsid w:val="00DA2A81"/>
    <w:rsid w:val="00DA43F4"/>
    <w:rsid w:val="00DB1AA5"/>
    <w:rsid w:val="00DB5DB8"/>
    <w:rsid w:val="00DB69F9"/>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722F8"/>
    <w:rsid w:val="00F75195"/>
    <w:rsid w:val="00F822A6"/>
    <w:rsid w:val="00F876D3"/>
    <w:rsid w:val="00F90442"/>
    <w:rsid w:val="00F9102D"/>
    <w:rsid w:val="00F92843"/>
    <w:rsid w:val="00FA10F5"/>
    <w:rsid w:val="00FA2752"/>
    <w:rsid w:val="00FB2851"/>
    <w:rsid w:val="00FB297A"/>
    <w:rsid w:val="00FB7116"/>
    <w:rsid w:val="00FB7F1D"/>
    <w:rsid w:val="00FD1472"/>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table" w:styleId="Lentelstinklelis">
    <w:name w:val="Table Grid"/>
    <w:basedOn w:val="prastojilentel"/>
    <w:uiPriority w:val="39"/>
    <w:locked/>
    <w:rsid w:val="00096E5C"/>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9</Pages>
  <Words>18708</Words>
  <Characters>10664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43</cp:revision>
  <cp:lastPrinted>2025-12-22T12:04:00Z</cp:lastPrinted>
  <dcterms:created xsi:type="dcterms:W3CDTF">2024-09-26T10:11:00Z</dcterms:created>
  <dcterms:modified xsi:type="dcterms:W3CDTF">2026-06-30T05:59:00Z</dcterms:modified>
</cp:coreProperties>
</file>