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4CD1" w14:textId="09B09957" w:rsidR="00CE46FE" w:rsidRDefault="00CE46FE" w:rsidP="00B401D2">
      <w:pPr>
        <w:ind w:left="1080" w:hanging="360"/>
        <w:jc w:val="right"/>
        <w:rPr>
          <w:rFonts w:ascii="Times New Roman" w:hAnsi="Times New Roman" w:cs="Times New Roman"/>
          <w:b/>
          <w:bCs/>
        </w:rPr>
      </w:pPr>
      <w:r w:rsidRPr="00E855D1">
        <w:rPr>
          <w:noProof/>
          <w:sz w:val="22"/>
          <w:szCs w:val="22"/>
        </w:rPr>
        <w:drawing>
          <wp:inline distT="0" distB="0" distL="0" distR="0" wp14:anchorId="56F74CE9" wp14:editId="684E6A39">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2249BAE6" w14:textId="63BFC9B7" w:rsidR="00AF7AE1" w:rsidRDefault="00AF7AE1" w:rsidP="00B401D2">
      <w:pPr>
        <w:ind w:left="1080" w:hanging="360"/>
        <w:jc w:val="right"/>
        <w:rPr>
          <w:rFonts w:ascii="Times New Roman" w:hAnsi="Times New Roman" w:cs="Times New Roman"/>
          <w:b/>
          <w:bCs/>
        </w:rPr>
      </w:pPr>
      <w:proofErr w:type="spellStart"/>
      <w:r>
        <w:rPr>
          <w:rFonts w:ascii="Times New Roman" w:hAnsi="Times New Roman" w:cs="Times New Roman"/>
          <w:b/>
          <w:bCs/>
        </w:rPr>
        <w:t>Priedas</w:t>
      </w:r>
      <w:proofErr w:type="spellEnd"/>
      <w:r>
        <w:rPr>
          <w:rFonts w:ascii="Times New Roman" w:hAnsi="Times New Roman" w:cs="Times New Roman"/>
          <w:b/>
          <w:bCs/>
        </w:rPr>
        <w:t xml:space="preserve"> Nr. 1</w:t>
      </w:r>
    </w:p>
    <w:p w14:paraId="10C862F8" w14:textId="0C11CF48" w:rsidR="00AF7AE1" w:rsidRPr="00544C4F" w:rsidRDefault="00AF7AE1" w:rsidP="00B401D2">
      <w:pPr>
        <w:ind w:left="1080" w:hanging="360"/>
        <w:jc w:val="center"/>
        <w:rPr>
          <w:rFonts w:ascii="Times New Roman" w:hAnsi="Times New Roman" w:cs="Times New Roman"/>
          <w:b/>
          <w:bCs/>
        </w:rPr>
      </w:pPr>
      <w:proofErr w:type="spellStart"/>
      <w:r w:rsidRPr="00544C4F">
        <w:rPr>
          <w:rFonts w:ascii="Times New Roman" w:hAnsi="Times New Roman" w:cs="Times New Roman"/>
          <w:b/>
          <w:bCs/>
        </w:rPr>
        <w:t>Techninė</w:t>
      </w:r>
      <w:proofErr w:type="spellEnd"/>
      <w:r w:rsidRPr="00544C4F">
        <w:rPr>
          <w:rFonts w:ascii="Times New Roman" w:hAnsi="Times New Roman" w:cs="Times New Roman"/>
          <w:b/>
          <w:bCs/>
        </w:rPr>
        <w:t xml:space="preserve"> </w:t>
      </w:r>
      <w:proofErr w:type="spellStart"/>
      <w:r w:rsidRPr="00544C4F">
        <w:rPr>
          <w:rFonts w:ascii="Times New Roman" w:hAnsi="Times New Roman" w:cs="Times New Roman"/>
          <w:b/>
          <w:bCs/>
        </w:rPr>
        <w:t>specifikacija</w:t>
      </w:r>
      <w:proofErr w:type="spellEnd"/>
    </w:p>
    <w:p w14:paraId="0F08D1E0" w14:textId="064BA3EE" w:rsidR="00693619" w:rsidRPr="00544C4F" w:rsidRDefault="00693619" w:rsidP="002518F8">
      <w:pPr>
        <w:pStyle w:val="ListParagraph"/>
        <w:numPr>
          <w:ilvl w:val="0"/>
          <w:numId w:val="2"/>
        </w:numPr>
        <w:rPr>
          <w:rFonts w:ascii="Times New Roman" w:hAnsi="Times New Roman" w:cs="Times New Roman"/>
          <w:b/>
          <w:bCs/>
          <w:lang w:val="es-ES"/>
        </w:rPr>
      </w:pPr>
      <w:proofErr w:type="spellStart"/>
      <w:r w:rsidRPr="00544C4F">
        <w:rPr>
          <w:rFonts w:ascii="Times New Roman" w:hAnsi="Times New Roman" w:cs="Times New Roman"/>
          <w:b/>
          <w:bCs/>
          <w:lang w:val="es-ES"/>
        </w:rPr>
        <w:t>Nanodalelių</w:t>
      </w:r>
      <w:proofErr w:type="spellEnd"/>
      <w:r w:rsidRPr="00544C4F">
        <w:rPr>
          <w:rFonts w:ascii="Times New Roman" w:hAnsi="Times New Roman" w:cs="Times New Roman"/>
          <w:b/>
          <w:bCs/>
          <w:lang w:val="es-ES"/>
        </w:rPr>
        <w:t xml:space="preserve"> </w:t>
      </w:r>
      <w:proofErr w:type="spellStart"/>
      <w:r w:rsidR="00E031B5">
        <w:rPr>
          <w:rFonts w:ascii="Times New Roman" w:hAnsi="Times New Roman" w:cs="Times New Roman"/>
          <w:b/>
          <w:bCs/>
          <w:lang w:val="es-ES"/>
        </w:rPr>
        <w:t>analizatorius</w:t>
      </w:r>
      <w:proofErr w:type="spellEnd"/>
      <w:r w:rsidR="00AF7AE1" w:rsidRPr="00544C4F">
        <w:rPr>
          <w:rFonts w:ascii="Times New Roman" w:hAnsi="Times New Roman" w:cs="Times New Roman"/>
          <w:b/>
          <w:bCs/>
          <w:lang w:val="es-ES"/>
        </w:rPr>
        <w:t xml:space="preserve"> - </w:t>
      </w:r>
      <w:r w:rsidRPr="00544C4F">
        <w:rPr>
          <w:rFonts w:ascii="Times New Roman" w:hAnsi="Times New Roman" w:cs="Times New Roman"/>
          <w:b/>
          <w:bCs/>
          <w:lang w:val="es-ES"/>
        </w:rPr>
        <w:t xml:space="preserve">1 </w:t>
      </w:r>
      <w:proofErr w:type="spellStart"/>
      <w:r w:rsidRPr="00544C4F">
        <w:rPr>
          <w:rFonts w:ascii="Times New Roman" w:hAnsi="Times New Roman" w:cs="Times New Roman"/>
          <w:b/>
          <w:bCs/>
          <w:lang w:val="es-ES"/>
        </w:rPr>
        <w:t>kompl</w:t>
      </w:r>
      <w:proofErr w:type="spellEnd"/>
      <w:r w:rsidRPr="00544C4F">
        <w:rPr>
          <w:rFonts w:ascii="Times New Roman" w:hAnsi="Times New Roman" w:cs="Times New Roman"/>
          <w:b/>
          <w:bCs/>
          <w:lang w:val="es-ES"/>
        </w:rPr>
        <w:t>.</w:t>
      </w:r>
    </w:p>
    <w:p w14:paraId="40D72980" w14:textId="42B90282" w:rsidR="00847C77" w:rsidRPr="001D033C" w:rsidRDefault="00847C77" w:rsidP="0011655D">
      <w:pPr>
        <w:spacing w:line="240" w:lineRule="auto"/>
        <w:jc w:val="both"/>
        <w:rPr>
          <w:b/>
          <w:bCs/>
          <w:lang w:val="lt-LT"/>
        </w:rPr>
      </w:pPr>
      <w:r w:rsidRPr="00544C4F">
        <w:rPr>
          <w:rFonts w:ascii="Times New Roman" w:hAnsi="Times New Roman" w:cs="Times New Roman"/>
          <w:kern w:val="0"/>
          <w:lang w:val="lt-LT"/>
          <w14:ligatures w14:val="none"/>
        </w:rPr>
        <w:t>Tiekėjas turi pateikti dokumentus, įrodančius siūlomos įrangos atitikimą techniniams reikalavimams, nurodytiems pirkimo dokumentų techninėje specifikacijoje: tiekėjas turi pateikti gamintojo parengtus katalogus</w:t>
      </w:r>
      <w:r w:rsidR="00386ECA">
        <w:rPr>
          <w:rFonts w:ascii="Times New Roman" w:hAnsi="Times New Roman" w:cs="Times New Roman"/>
          <w:kern w:val="0"/>
          <w:lang w:val="lt-LT"/>
          <w14:ligatures w14:val="none"/>
        </w:rPr>
        <w:t xml:space="preserve"> ar b</w:t>
      </w:r>
      <w:r w:rsidR="000B6F2D">
        <w:rPr>
          <w:rFonts w:ascii="Times New Roman" w:hAnsi="Times New Roman" w:cs="Times New Roman"/>
          <w:kern w:val="0"/>
          <w:lang w:val="lt-LT"/>
          <w14:ligatures w14:val="none"/>
        </w:rPr>
        <w:t>rošiūras</w:t>
      </w:r>
      <w:r w:rsidR="00611935">
        <w:rPr>
          <w:rFonts w:ascii="Times New Roman" w:hAnsi="Times New Roman" w:cs="Times New Roman"/>
          <w:kern w:val="0"/>
          <w:lang w:val="lt-LT"/>
          <w14:ligatures w14:val="none"/>
        </w:rPr>
        <w:t xml:space="preserve">, tačiau jei </w:t>
      </w:r>
      <w:r w:rsidR="00611935" w:rsidRPr="00544C4F">
        <w:rPr>
          <w:rFonts w:ascii="Times New Roman" w:hAnsi="Times New Roman" w:cs="Times New Roman"/>
          <w:kern w:val="0"/>
          <w:lang w:val="lt-LT"/>
          <w14:ligatures w14:val="none"/>
        </w:rPr>
        <w:t xml:space="preserve">gamintojo </w:t>
      </w:r>
      <w:r w:rsidR="00265C0E" w:rsidRPr="00544C4F">
        <w:rPr>
          <w:rFonts w:ascii="Times New Roman" w:hAnsi="Times New Roman" w:cs="Times New Roman"/>
          <w:kern w:val="0"/>
          <w:lang w:val="lt-LT"/>
          <w14:ligatures w14:val="none"/>
        </w:rPr>
        <w:t>katalog</w:t>
      </w:r>
      <w:r w:rsidR="00265C0E">
        <w:rPr>
          <w:rFonts w:ascii="Times New Roman" w:hAnsi="Times New Roman" w:cs="Times New Roman"/>
          <w:kern w:val="0"/>
          <w:lang w:val="lt-LT"/>
          <w14:ligatures w14:val="none"/>
        </w:rPr>
        <w:t xml:space="preserve">uose </w:t>
      </w:r>
      <w:r w:rsidR="001C28C2">
        <w:rPr>
          <w:rFonts w:ascii="Times New Roman" w:hAnsi="Times New Roman" w:cs="Times New Roman"/>
          <w:kern w:val="0"/>
          <w:lang w:val="lt-LT"/>
          <w14:ligatures w14:val="none"/>
        </w:rPr>
        <w:t>ar brošiūrose</w:t>
      </w:r>
      <w:r w:rsidR="00611935" w:rsidRPr="00544C4F">
        <w:rPr>
          <w:rFonts w:ascii="Times New Roman" w:hAnsi="Times New Roman" w:cs="Times New Roman"/>
          <w:kern w:val="0"/>
          <w:lang w:val="lt-LT"/>
          <w14:ligatures w14:val="none"/>
        </w:rPr>
        <w:t xml:space="preserve"> neišsamiai atsispindi</w:t>
      </w:r>
      <w:r w:rsidR="00304163">
        <w:rPr>
          <w:rFonts w:ascii="Times New Roman" w:hAnsi="Times New Roman" w:cs="Times New Roman"/>
          <w:kern w:val="0"/>
          <w:lang w:val="lt-LT"/>
          <w14:ligatures w14:val="none"/>
        </w:rPr>
        <w:t xml:space="preserve"> arba nėra nurodyta</w:t>
      </w:r>
      <w:r w:rsidR="00611935" w:rsidRPr="00544C4F">
        <w:rPr>
          <w:rFonts w:ascii="Times New Roman" w:hAnsi="Times New Roman" w:cs="Times New Roman"/>
          <w:kern w:val="0"/>
          <w:lang w:val="lt-LT"/>
          <w14:ligatures w14:val="none"/>
        </w:rPr>
        <w:t xml:space="preserve"> siūlomos įrangos atitikimas techninės specifikacijos reikalavimams</w:t>
      </w:r>
      <w:r w:rsidR="00611935">
        <w:rPr>
          <w:rFonts w:ascii="Times New Roman" w:hAnsi="Times New Roman" w:cs="Times New Roman"/>
          <w:kern w:val="0"/>
          <w:lang w:val="lt-LT"/>
          <w14:ligatures w14:val="none"/>
        </w:rPr>
        <w:t xml:space="preserve">, </w:t>
      </w:r>
      <w:r w:rsidR="00AD6980">
        <w:rPr>
          <w:rFonts w:ascii="Times New Roman" w:hAnsi="Times New Roman" w:cs="Times New Roman"/>
          <w:kern w:val="0"/>
          <w:lang w:val="lt-LT"/>
          <w14:ligatures w14:val="none"/>
        </w:rPr>
        <w:t xml:space="preserve">galima teikti </w:t>
      </w:r>
      <w:r w:rsidRPr="00544C4F">
        <w:rPr>
          <w:rFonts w:ascii="Times New Roman" w:hAnsi="Times New Roman" w:cs="Times New Roman"/>
          <w:kern w:val="0"/>
          <w:lang w:val="lt-LT"/>
          <w14:ligatures w14:val="none"/>
        </w:rPr>
        <w:t>siūlomos įrangos techninių charakteristikų aprašymus</w:t>
      </w:r>
      <w:r w:rsidR="00B82870" w:rsidRPr="00500F0E">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t.</w:t>
      </w:r>
      <w:r w:rsidR="003B56FA" w:rsidRPr="00564A13">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 xml:space="preserve">y. </w:t>
      </w:r>
      <w:r w:rsidR="00B82870" w:rsidRPr="00564A13">
        <w:rPr>
          <w:rFonts w:ascii="Times New Roman" w:eastAsia="MS Mincho" w:hAnsi="Times New Roman" w:cs="Times New Roman"/>
          <w:kern w:val="0"/>
          <w:lang w:val="lt-LT"/>
          <w14:ligatures w14:val="none"/>
        </w:rPr>
        <w:t xml:space="preserve">tiekėjo </w:t>
      </w:r>
      <w:r w:rsidR="003B56FA" w:rsidRPr="00564A13">
        <w:rPr>
          <w:rFonts w:ascii="Times New Roman" w:eastAsia="MS Mincho" w:hAnsi="Times New Roman" w:cs="Times New Roman"/>
          <w:kern w:val="0"/>
          <w:lang w:val="lt-LT"/>
          <w14:ligatures w14:val="none"/>
        </w:rPr>
        <w:t xml:space="preserve">ar gamintojo </w:t>
      </w:r>
      <w:r w:rsidR="00B82870" w:rsidRPr="00564A13">
        <w:rPr>
          <w:rFonts w:ascii="Times New Roman" w:eastAsia="MS Mincho" w:hAnsi="Times New Roman" w:cs="Times New Roman"/>
          <w:kern w:val="0"/>
          <w:lang w:val="lt-LT"/>
          <w14:ligatures w14:val="none"/>
        </w:rPr>
        <w:t>parengt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komplektacijos apraša</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arba kit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lygiaver</w:t>
      </w:r>
      <w:r w:rsidR="00730AE8" w:rsidRPr="00564A13">
        <w:rPr>
          <w:rFonts w:ascii="Times New Roman" w:eastAsia="MS Mincho" w:hAnsi="Times New Roman" w:cs="Times New Roman"/>
          <w:kern w:val="0"/>
          <w:lang w:val="lt-LT"/>
          <w14:ligatures w14:val="none"/>
        </w:rPr>
        <w:t xml:space="preserve">čiai </w:t>
      </w:r>
      <w:r w:rsidR="00B82870" w:rsidRPr="00564A13">
        <w:rPr>
          <w:rFonts w:ascii="Times New Roman" w:eastAsia="MS Mincho" w:hAnsi="Times New Roman" w:cs="Times New Roman"/>
          <w:kern w:val="0"/>
          <w:lang w:val="lt-LT"/>
          <w14:ligatures w14:val="none"/>
        </w:rPr>
        <w:t>dokumenta</w:t>
      </w:r>
      <w:r w:rsidR="00730AE8" w:rsidRPr="00564A13">
        <w:rPr>
          <w:rFonts w:ascii="Times New Roman" w:eastAsia="MS Mincho" w:hAnsi="Times New Roman" w:cs="Times New Roman"/>
          <w:kern w:val="0"/>
          <w:lang w:val="lt-LT"/>
          <w14:ligatures w14:val="none"/>
        </w:rPr>
        <w:t>i</w:t>
      </w:r>
      <w:r w:rsidRPr="00544C4F">
        <w:rPr>
          <w:rFonts w:ascii="Times New Roman" w:hAnsi="Times New Roman" w:cs="Times New Roman"/>
          <w:kern w:val="0"/>
          <w:lang w:val="lt-LT"/>
          <w14:ligatures w14:val="none"/>
        </w:rPr>
        <w:t xml:space="preserve"> </w:t>
      </w:r>
      <w:r w:rsidR="00C013D9" w:rsidRPr="00544C4F">
        <w:rPr>
          <w:rFonts w:ascii="Times New Roman" w:hAnsi="Times New Roman" w:cs="Times New Roman"/>
          <w:kern w:val="0"/>
          <w:lang w:val="lt-LT"/>
          <w14:ligatures w14:val="none"/>
        </w:rPr>
        <w:t>(</w:t>
      </w:r>
      <w:r w:rsidR="00C013D9" w:rsidRPr="00544C4F">
        <w:rPr>
          <w:rFonts w:ascii="Times New Roman" w:hAnsi="Times New Roman" w:cs="Times New Roman"/>
          <w:b/>
          <w:bCs/>
          <w:kern w:val="0"/>
          <w:lang w:val="lt-LT"/>
          <w14:ligatures w14:val="none"/>
        </w:rPr>
        <w:t>toliau – pagrindžiantys dokumentai</w:t>
      </w:r>
      <w:r w:rsidR="00C013D9" w:rsidRPr="00544C4F">
        <w:rPr>
          <w:rFonts w:ascii="Times New Roman" w:hAnsi="Times New Roman" w:cs="Times New Roman"/>
          <w:kern w:val="0"/>
          <w:lang w:val="lt-LT"/>
          <w14:ligatures w14:val="none"/>
        </w:rPr>
        <w:t>)</w:t>
      </w:r>
      <w:r w:rsidR="00813B1B">
        <w:rPr>
          <w:rFonts w:ascii="Times New Roman" w:hAnsi="Times New Roman" w:cs="Times New Roman"/>
          <w:kern w:val="0"/>
          <w:lang w:val="lt-LT"/>
          <w14:ligatures w14:val="none"/>
        </w:rPr>
        <w:t xml:space="preserve">. </w:t>
      </w:r>
      <w:r w:rsidRPr="00544C4F">
        <w:rPr>
          <w:rFonts w:ascii="Times New Roman" w:hAnsi="Times New Roman" w:cs="Times New Roman"/>
          <w:kern w:val="0"/>
          <w:lang w:val="lt-LT"/>
          <w14:ligatures w14:val="none"/>
        </w:rPr>
        <w:t>Šiuose dokumentuose tiekėjas turi grafiškai nurodyti (t. y. pastebimai pažymėti – spalvotai žymėti ir / ar nurodyti rodyklėmis</w:t>
      </w:r>
      <w:r w:rsidRPr="00E0718B">
        <w:rPr>
          <w:rFonts w:ascii="Times New Roman" w:hAnsi="Times New Roman" w:cs="Times New Roman"/>
          <w:kern w:val="0"/>
          <w:lang w:val="lt-LT"/>
          <w14:ligatures w14:val="none"/>
        </w:rPr>
        <w:t xml:space="preserve">, ir / ar pabraukti) konkrečias teikiamų dokumentų vietas, kur aprašomos reikalaujamų techninių charakteristikų reikšmės, bei įrašyti, kurį techninių reikalavimų punktą jos atitinka. </w:t>
      </w:r>
    </w:p>
    <w:p w14:paraId="305D26BC" w14:textId="77777777" w:rsidR="002518F8" w:rsidRPr="001D033C" w:rsidRDefault="002518F8" w:rsidP="002518F8">
      <w:pPr>
        <w:pStyle w:val="ListParagraph"/>
        <w:ind w:left="1080"/>
        <w:rPr>
          <w:lang w:val="lt-LT"/>
        </w:rPr>
      </w:pPr>
    </w:p>
    <w:tbl>
      <w:tblPr>
        <w:tblStyle w:val="TableGrid"/>
        <w:tblW w:w="9634" w:type="dxa"/>
        <w:tblLook w:val="04A0" w:firstRow="1" w:lastRow="0" w:firstColumn="1" w:lastColumn="0" w:noHBand="0" w:noVBand="1"/>
      </w:tblPr>
      <w:tblGrid>
        <w:gridCol w:w="590"/>
        <w:gridCol w:w="1891"/>
        <w:gridCol w:w="3159"/>
        <w:gridCol w:w="3994"/>
      </w:tblGrid>
      <w:tr w:rsidR="00C93FF4" w:rsidRPr="00233C8D" w14:paraId="3F305A33" w14:textId="77777777" w:rsidTr="00E66CEE">
        <w:tc>
          <w:tcPr>
            <w:tcW w:w="0" w:type="auto"/>
            <w:hideMark/>
          </w:tcPr>
          <w:p w14:paraId="6068318D" w14:textId="77777777" w:rsidR="00693619" w:rsidRPr="002518F8" w:rsidRDefault="00693619" w:rsidP="002518F8">
            <w:pPr>
              <w:jc w:val="center"/>
              <w:rPr>
                <w:rFonts w:ascii="Times New Roman" w:hAnsi="Times New Roman" w:cs="Times New Roman"/>
                <w:b/>
                <w:bCs/>
              </w:rPr>
            </w:pPr>
            <w:r w:rsidRPr="002518F8">
              <w:rPr>
                <w:rFonts w:ascii="Times New Roman" w:hAnsi="Times New Roman" w:cs="Times New Roman"/>
                <w:b/>
                <w:bCs/>
              </w:rPr>
              <w:t>Eil. Nr.</w:t>
            </w:r>
          </w:p>
        </w:tc>
        <w:tc>
          <w:tcPr>
            <w:tcW w:w="0" w:type="auto"/>
            <w:hideMark/>
          </w:tcPr>
          <w:p w14:paraId="1841CA63"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Parametrai</w:t>
            </w:r>
            <w:proofErr w:type="spellEnd"/>
          </w:p>
        </w:tc>
        <w:tc>
          <w:tcPr>
            <w:tcW w:w="0" w:type="auto"/>
            <w:hideMark/>
          </w:tcPr>
          <w:p w14:paraId="2EFDFB7A"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Reikalavimai</w:t>
            </w:r>
            <w:proofErr w:type="spellEnd"/>
            <w:r w:rsidRPr="002518F8">
              <w:rPr>
                <w:rFonts w:ascii="Times New Roman" w:hAnsi="Times New Roman" w:cs="Times New Roman"/>
                <w:b/>
                <w:bCs/>
              </w:rPr>
              <w:t xml:space="preserve"> </w:t>
            </w:r>
            <w:proofErr w:type="spellStart"/>
            <w:r w:rsidRPr="002518F8">
              <w:rPr>
                <w:rFonts w:ascii="Times New Roman" w:hAnsi="Times New Roman" w:cs="Times New Roman"/>
                <w:b/>
                <w:bCs/>
              </w:rPr>
              <w:t>parametrams</w:t>
            </w:r>
            <w:proofErr w:type="spellEnd"/>
          </w:p>
        </w:tc>
        <w:tc>
          <w:tcPr>
            <w:tcW w:w="3994" w:type="dxa"/>
            <w:hideMark/>
          </w:tcPr>
          <w:p w14:paraId="5734E5B0" w14:textId="77777777" w:rsidR="00693619" w:rsidRPr="00EC5966" w:rsidRDefault="00693619" w:rsidP="00EC5966">
            <w:pPr>
              <w:jc w:val="both"/>
              <w:rPr>
                <w:rFonts w:ascii="Times New Roman" w:hAnsi="Times New Roman" w:cs="Times New Roman"/>
                <w:b/>
                <w:bCs/>
                <w:lang w:val="pl-PL"/>
              </w:rPr>
            </w:pPr>
            <w:proofErr w:type="spellStart"/>
            <w:r w:rsidRPr="00EC5966">
              <w:rPr>
                <w:rFonts w:ascii="Times New Roman" w:hAnsi="Times New Roman" w:cs="Times New Roman"/>
                <w:b/>
                <w:bCs/>
                <w:lang w:val="pl-PL"/>
              </w:rPr>
              <w:t>Tiekėjo</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siūloma</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charakteristika</w:t>
            </w:r>
            <w:proofErr w:type="spellEnd"/>
          </w:p>
          <w:p w14:paraId="64409855" w14:textId="77777777" w:rsidR="004D4016" w:rsidRPr="00E031B5" w:rsidRDefault="004D4016" w:rsidP="00010E98">
            <w:pPr>
              <w:jc w:val="center"/>
              <w:rPr>
                <w:rFonts w:ascii="Times New Roman" w:hAnsi="Times New Roman" w:cs="Times New Roman"/>
                <w:b/>
                <w:bCs/>
                <w:i/>
                <w:iCs/>
                <w:u w:val="single"/>
                <w:lang w:val="pl-PL"/>
              </w:rPr>
            </w:pPr>
            <w:r w:rsidRPr="00E031B5">
              <w:rPr>
                <w:rFonts w:ascii="Times New Roman" w:hAnsi="Times New Roman" w:cs="Times New Roman"/>
                <w:b/>
                <w:bCs/>
                <w:i/>
                <w:iCs/>
                <w:u w:val="single"/>
                <w:lang w:val="pl-PL"/>
              </w:rPr>
              <w:t>(</w:t>
            </w:r>
            <w:proofErr w:type="spellStart"/>
            <w:r w:rsidRPr="00E031B5">
              <w:rPr>
                <w:rFonts w:ascii="Times New Roman" w:hAnsi="Times New Roman" w:cs="Times New Roman"/>
                <w:b/>
                <w:bCs/>
                <w:i/>
                <w:iCs/>
                <w:u w:val="single"/>
                <w:lang w:val="pl-PL"/>
              </w:rPr>
              <w:t>pildo</w:t>
            </w:r>
            <w:proofErr w:type="spellEnd"/>
            <w:r w:rsidRPr="00E031B5">
              <w:rPr>
                <w:rFonts w:ascii="Times New Roman" w:hAnsi="Times New Roman" w:cs="Times New Roman"/>
                <w:b/>
                <w:bCs/>
                <w:i/>
                <w:iCs/>
                <w:u w:val="single"/>
                <w:lang w:val="pl-PL"/>
              </w:rPr>
              <w:t xml:space="preserve"> </w:t>
            </w:r>
            <w:proofErr w:type="spellStart"/>
            <w:r w:rsidRPr="00E031B5">
              <w:rPr>
                <w:rFonts w:ascii="Times New Roman" w:hAnsi="Times New Roman" w:cs="Times New Roman"/>
                <w:b/>
                <w:bCs/>
                <w:i/>
                <w:iCs/>
                <w:u w:val="single"/>
                <w:lang w:val="pl-PL"/>
              </w:rPr>
              <w:t>tiekėjas</w:t>
            </w:r>
            <w:proofErr w:type="spellEnd"/>
            <w:r w:rsidRPr="00E031B5">
              <w:rPr>
                <w:rFonts w:ascii="Times New Roman" w:hAnsi="Times New Roman" w:cs="Times New Roman"/>
                <w:b/>
                <w:bCs/>
                <w:i/>
                <w:iCs/>
                <w:u w:val="single"/>
                <w:lang w:val="pl-PL"/>
              </w:rPr>
              <w:t>)</w:t>
            </w:r>
          </w:p>
          <w:p w14:paraId="4E6D96AD" w14:textId="77777777" w:rsidR="006017AB" w:rsidRPr="00EC5966" w:rsidRDefault="006017AB" w:rsidP="00010E98">
            <w:pPr>
              <w:jc w:val="center"/>
              <w:rPr>
                <w:rFonts w:ascii="Times New Roman" w:hAnsi="Times New Roman" w:cs="Times New Roman"/>
                <w:b/>
                <w:bCs/>
                <w:u w:val="single"/>
                <w:lang w:val="pl-PL"/>
              </w:rPr>
            </w:pPr>
          </w:p>
          <w:p w14:paraId="063DC5FD" w14:textId="77777777" w:rsidR="002B7BB2" w:rsidRPr="00EC5966" w:rsidRDefault="002B7BB2" w:rsidP="00EC5966">
            <w:pPr>
              <w:spacing w:line="259" w:lineRule="auto"/>
              <w:jc w:val="both"/>
              <w:rPr>
                <w:rFonts w:ascii="Times New Roman" w:eastAsia="Aptos" w:hAnsi="Times New Roman" w:cs="Times New Roman"/>
                <w:b/>
                <w:bCs/>
                <w:lang w:val="lt-LT" w:eastAsia="lt-LT"/>
              </w:rPr>
            </w:pPr>
            <w:r w:rsidRPr="00EC5966">
              <w:rPr>
                <w:rFonts w:ascii="Times New Roman" w:eastAsia="Aptos" w:hAnsi="Times New Roman" w:cs="Times New Roman"/>
                <w:b/>
                <w:bCs/>
                <w:lang w:val="sv-SE" w:eastAsia="lt-LT"/>
              </w:rPr>
              <w:t>Tiekėjas pildo kiekvien</w:t>
            </w:r>
            <w:r w:rsidRPr="00EC5966">
              <w:rPr>
                <w:rFonts w:ascii="Times New Roman" w:eastAsia="Aptos" w:hAnsi="Times New Roman" w:cs="Times New Roman"/>
                <w:b/>
                <w:bCs/>
                <w:lang w:val="lt-LT" w:eastAsia="lt-LT"/>
              </w:rPr>
              <w:t>ą reikalavimą su atitinkama siūloma reikšme.</w:t>
            </w:r>
          </w:p>
          <w:p w14:paraId="60A5440C" w14:textId="7904BF60" w:rsidR="002B7BB2" w:rsidRPr="00B401D2" w:rsidRDefault="002B7BB2" w:rsidP="00EC5966">
            <w:pPr>
              <w:jc w:val="both"/>
              <w:rPr>
                <w:rFonts w:ascii="Times New Roman" w:hAnsi="Times New Roman" w:cs="Times New Roman"/>
                <w:b/>
                <w:bCs/>
                <w:lang w:val="lt-LT"/>
              </w:rPr>
            </w:pPr>
            <w:r w:rsidRPr="00EC5966">
              <w:rPr>
                <w:rFonts w:ascii="Times New Roman" w:eastAsia="Aptos" w:hAnsi="Times New Roman" w:cs="Times New Roman"/>
                <w:lang w:val="lt-LT" w:eastAsia="lt-LT"/>
              </w:rPr>
              <w:t xml:space="preserve">Prie kiekvieno reikalavimo </w:t>
            </w:r>
            <w:r w:rsidR="00C93FF4" w:rsidRPr="00EC5966">
              <w:rPr>
                <w:rFonts w:ascii="Times New Roman" w:eastAsia="Aptos" w:hAnsi="Times New Roman" w:cs="Times New Roman"/>
                <w:lang w:val="lt-LT" w:eastAsia="lt-LT"/>
              </w:rPr>
              <w:t xml:space="preserve">(jeigu žemiau nenurodyta kitaip) </w:t>
            </w:r>
            <w:r w:rsidRPr="00EC5966">
              <w:rPr>
                <w:rFonts w:ascii="Times New Roman" w:eastAsia="Aptos" w:hAnsi="Times New Roman" w:cs="Times New Roman"/>
                <w:lang w:val="lt-LT" w:eastAsia="lt-LT"/>
              </w:rPr>
              <w:t xml:space="preserve">pateikiamas  techninę charakteristiką pagrindžiantis dokumentas </w:t>
            </w:r>
            <w:r w:rsidRPr="00EC5966">
              <w:rPr>
                <w:rFonts w:ascii="Times New Roman" w:eastAsia="Aptos" w:hAnsi="Times New Roman" w:cs="Times New Roman"/>
                <w:highlight w:val="yellow"/>
                <w:lang w:val="lt-LT" w:eastAsia="lt-LT"/>
              </w:rPr>
              <w:t>_______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 pateikiamą dokumentą</w:t>
            </w:r>
            <w:r w:rsidRPr="00EC5966">
              <w:rPr>
                <w:rFonts w:ascii="Times New Roman" w:eastAsia="Aptos" w:hAnsi="Times New Roman" w:cs="Times New Roman"/>
                <w:lang w:val="lt-LT" w:eastAsia="lt-LT"/>
              </w:rPr>
              <w:t xml:space="preserve">), kurio </w:t>
            </w:r>
            <w:r w:rsidRPr="00EC5966">
              <w:rPr>
                <w:rFonts w:ascii="Times New Roman" w:eastAsia="Aptos" w:hAnsi="Times New Roman" w:cs="Times New Roman"/>
                <w:highlight w:val="yellow"/>
                <w:lang w:val="lt-LT" w:eastAsia="lt-LT"/>
              </w:rPr>
              <w:t>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w:t>
            </w:r>
            <w:r w:rsidRPr="00EC5966">
              <w:rPr>
                <w:rFonts w:ascii="Times New Roman" w:eastAsia="Aptos" w:hAnsi="Times New Roman" w:cs="Times New Roman"/>
                <w:lang w:val="lt-LT" w:eastAsia="lt-LT"/>
              </w:rPr>
              <w:t>) puslapyje pateikta atžyma apie parametro reikšmę</w:t>
            </w:r>
          </w:p>
        </w:tc>
      </w:tr>
      <w:tr w:rsidR="00C93FF4" w:rsidRPr="00BE5AF8" w14:paraId="359F8E21" w14:textId="77777777" w:rsidTr="00E66CEE">
        <w:tc>
          <w:tcPr>
            <w:tcW w:w="0" w:type="auto"/>
          </w:tcPr>
          <w:p w14:paraId="7C2ADECA" w14:textId="2C47EAAC" w:rsidR="004D4016" w:rsidRPr="002518F8" w:rsidRDefault="004D4016" w:rsidP="00EE7C84">
            <w:pPr>
              <w:jc w:val="center"/>
              <w:rPr>
                <w:rFonts w:ascii="Times New Roman" w:hAnsi="Times New Roman" w:cs="Times New Roman"/>
                <w:b/>
                <w:bCs/>
              </w:rPr>
            </w:pPr>
            <w:r>
              <w:rPr>
                <w:rFonts w:ascii="Times New Roman" w:hAnsi="Times New Roman" w:cs="Times New Roman"/>
                <w:b/>
                <w:bCs/>
              </w:rPr>
              <w:t>1</w:t>
            </w:r>
          </w:p>
        </w:tc>
        <w:tc>
          <w:tcPr>
            <w:tcW w:w="0" w:type="auto"/>
          </w:tcPr>
          <w:p w14:paraId="13B1D376" w14:textId="21F1FDF8" w:rsidR="004D4016" w:rsidRPr="002518F8" w:rsidRDefault="004D4016" w:rsidP="00EE7C84">
            <w:pPr>
              <w:jc w:val="center"/>
              <w:rPr>
                <w:rFonts w:ascii="Times New Roman" w:hAnsi="Times New Roman" w:cs="Times New Roman"/>
                <w:b/>
                <w:bCs/>
              </w:rPr>
            </w:pPr>
            <w:r>
              <w:rPr>
                <w:rFonts w:ascii="Times New Roman" w:hAnsi="Times New Roman" w:cs="Times New Roman"/>
                <w:b/>
                <w:bCs/>
              </w:rPr>
              <w:t>2</w:t>
            </w:r>
          </w:p>
        </w:tc>
        <w:tc>
          <w:tcPr>
            <w:tcW w:w="0" w:type="auto"/>
          </w:tcPr>
          <w:p w14:paraId="280A14E2" w14:textId="5E0CD0EC" w:rsidR="004D4016" w:rsidRPr="002518F8" w:rsidRDefault="004D4016" w:rsidP="00EE7C84">
            <w:pPr>
              <w:jc w:val="center"/>
              <w:rPr>
                <w:rFonts w:ascii="Times New Roman" w:hAnsi="Times New Roman" w:cs="Times New Roman"/>
                <w:b/>
                <w:bCs/>
              </w:rPr>
            </w:pPr>
            <w:r>
              <w:rPr>
                <w:rFonts w:ascii="Times New Roman" w:hAnsi="Times New Roman" w:cs="Times New Roman"/>
                <w:b/>
                <w:bCs/>
              </w:rPr>
              <w:t>3</w:t>
            </w:r>
          </w:p>
        </w:tc>
        <w:tc>
          <w:tcPr>
            <w:tcW w:w="3994" w:type="dxa"/>
          </w:tcPr>
          <w:p w14:paraId="25CFF2BA" w14:textId="556A78EF" w:rsidR="004D4016" w:rsidRPr="002518F8" w:rsidRDefault="004D4016" w:rsidP="00EE7C84">
            <w:pPr>
              <w:jc w:val="center"/>
              <w:rPr>
                <w:rFonts w:ascii="Times New Roman" w:hAnsi="Times New Roman" w:cs="Times New Roman"/>
                <w:b/>
                <w:bCs/>
              </w:rPr>
            </w:pPr>
            <w:r>
              <w:rPr>
                <w:rFonts w:ascii="Times New Roman" w:hAnsi="Times New Roman" w:cs="Times New Roman"/>
                <w:b/>
                <w:bCs/>
              </w:rPr>
              <w:t>4</w:t>
            </w:r>
          </w:p>
        </w:tc>
      </w:tr>
      <w:tr w:rsidR="00C93FF4" w:rsidRPr="005D3BFD" w14:paraId="2106EA39" w14:textId="77777777" w:rsidTr="00E66CEE">
        <w:tc>
          <w:tcPr>
            <w:tcW w:w="0" w:type="auto"/>
            <w:hideMark/>
          </w:tcPr>
          <w:p w14:paraId="3D012833"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1.</w:t>
            </w:r>
          </w:p>
        </w:tc>
        <w:tc>
          <w:tcPr>
            <w:tcW w:w="0" w:type="auto"/>
            <w:hideMark/>
          </w:tcPr>
          <w:p w14:paraId="707005EA"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Paskirtis</w:t>
            </w:r>
            <w:proofErr w:type="spellEnd"/>
          </w:p>
        </w:tc>
        <w:tc>
          <w:tcPr>
            <w:tcW w:w="0" w:type="auto"/>
            <w:hideMark/>
          </w:tcPr>
          <w:p w14:paraId="149FD699" w14:textId="7D87F81E"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charakterizavimo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sistema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skystoje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terpėje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suspenduotų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vienadaleliam</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nustatymui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šviesos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sklaidos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00B401D2">
              <w:rPr>
                <w:rFonts w:ascii="Times New Roman" w:hAnsi="Times New Roman" w:cs="Times New Roman"/>
              </w:rPr>
              <w:t>funkcija</w:t>
            </w:r>
            <w:proofErr w:type="spellEnd"/>
          </w:p>
        </w:tc>
        <w:tc>
          <w:tcPr>
            <w:tcW w:w="3994" w:type="dxa"/>
            <w:hideMark/>
          </w:tcPr>
          <w:p w14:paraId="52F87755" w14:textId="224F1AFC" w:rsidR="00693619" w:rsidRPr="00EC5966" w:rsidRDefault="00693619" w:rsidP="002518F8">
            <w:pPr>
              <w:rPr>
                <w:rFonts w:ascii="Times New Roman" w:hAnsi="Times New Roman" w:cs="Times New Roman"/>
              </w:rPr>
            </w:pPr>
          </w:p>
        </w:tc>
      </w:tr>
      <w:tr w:rsidR="00C93FF4" w:rsidRPr="005D3BFD" w14:paraId="305EB2C2" w14:textId="77777777" w:rsidTr="00E66CEE">
        <w:tc>
          <w:tcPr>
            <w:tcW w:w="0" w:type="auto"/>
            <w:hideMark/>
          </w:tcPr>
          <w:p w14:paraId="2154473A"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2.</w:t>
            </w:r>
          </w:p>
        </w:tc>
        <w:tc>
          <w:tcPr>
            <w:tcW w:w="0" w:type="auto"/>
            <w:hideMark/>
          </w:tcPr>
          <w:p w14:paraId="393D509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principas</w:t>
            </w:r>
            <w:proofErr w:type="spellEnd"/>
          </w:p>
        </w:tc>
        <w:tc>
          <w:tcPr>
            <w:tcW w:w="0" w:type="auto"/>
            <w:hideMark/>
          </w:tcPr>
          <w:p w14:paraId="00498681" w14:textId="001C96F1" w:rsidR="00FF2A89" w:rsidRPr="00FF2A89" w:rsidRDefault="00FF2A89" w:rsidP="00EE7880">
            <w:pPr>
              <w:jc w:val="both"/>
              <w:rPr>
                <w:rFonts w:ascii="Times New Roman" w:hAnsi="Times New Roman" w:cs="Times New Roman"/>
              </w:rPr>
            </w:pPr>
            <w:proofErr w:type="spellStart"/>
            <w:r w:rsidRPr="00334E48">
              <w:rPr>
                <w:rFonts w:ascii="Times New Roman" w:hAnsi="Times New Roman" w:cs="Times New Roman"/>
              </w:rPr>
              <w:t>Matavimo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principas</w:t>
            </w:r>
            <w:proofErr w:type="spellEnd"/>
            <w:r w:rsidRPr="00334E48">
              <w:rPr>
                <w:rFonts w:ascii="Times New Roman" w:hAnsi="Times New Roman" w:cs="Times New Roman"/>
              </w:rPr>
              <w:t xml:space="preserve"> – </w:t>
            </w:r>
            <w:proofErr w:type="spellStart"/>
            <w:r w:rsidRPr="00334E48">
              <w:rPr>
                <w:rFonts w:ascii="Times New Roman" w:hAnsi="Times New Roman" w:cs="Times New Roman"/>
              </w:rPr>
              <w:t>nanodalelių</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(NTA) </w:t>
            </w:r>
            <w:proofErr w:type="spellStart"/>
            <w:r w:rsidRPr="00334E48">
              <w:rPr>
                <w:rFonts w:ascii="Times New Roman" w:hAnsi="Times New Roman" w:cs="Times New Roman"/>
              </w:rPr>
              <w:t>arba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kita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lygiavertė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vienadalelė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optinė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leidžianti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realiu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laiku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vizualizuoti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ir</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atskiras</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daleles</w:t>
            </w:r>
            <w:proofErr w:type="spellEnd"/>
            <w:r w:rsidRPr="00334E48">
              <w:rPr>
                <w:rFonts w:ascii="Times New Roman" w:hAnsi="Times New Roman" w:cs="Times New Roman"/>
              </w:rPr>
              <w:t>.</w:t>
            </w:r>
          </w:p>
        </w:tc>
        <w:tc>
          <w:tcPr>
            <w:tcW w:w="3994" w:type="dxa"/>
            <w:hideMark/>
          </w:tcPr>
          <w:p w14:paraId="1FB9A795" w14:textId="47A13837" w:rsidR="00693619" w:rsidRPr="00334E48" w:rsidRDefault="00693619" w:rsidP="002518F8">
            <w:pPr>
              <w:rPr>
                <w:rFonts w:ascii="Times New Roman" w:hAnsi="Times New Roman" w:cs="Times New Roman"/>
              </w:rPr>
            </w:pPr>
          </w:p>
        </w:tc>
      </w:tr>
      <w:tr w:rsidR="00C93FF4" w:rsidRPr="00900FED" w14:paraId="79F92F3C" w14:textId="77777777" w:rsidTr="00E66CEE">
        <w:tc>
          <w:tcPr>
            <w:tcW w:w="0" w:type="auto"/>
            <w:hideMark/>
          </w:tcPr>
          <w:p w14:paraId="3BFC841C"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3.</w:t>
            </w:r>
          </w:p>
        </w:tc>
        <w:tc>
          <w:tcPr>
            <w:tcW w:w="0" w:type="auto"/>
            <w:hideMark/>
          </w:tcPr>
          <w:p w14:paraId="6164F28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Matuojami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parametrai</w:t>
            </w:r>
            <w:proofErr w:type="spellEnd"/>
          </w:p>
        </w:tc>
        <w:tc>
          <w:tcPr>
            <w:tcW w:w="0" w:type="auto"/>
            <w:hideMark/>
          </w:tcPr>
          <w:p w14:paraId="78B8DC0A" w14:textId="5A98714E" w:rsidR="00693619" w:rsidRPr="002C6A79" w:rsidRDefault="00693619" w:rsidP="00EC5966">
            <w:pPr>
              <w:jc w:val="both"/>
              <w:rPr>
                <w:rFonts w:ascii="Times New Roman" w:hAnsi="Times New Roman" w:cs="Times New Roman"/>
                <w:lang w:val="es-ES"/>
              </w:rPr>
            </w:pPr>
            <w:r w:rsidRPr="002C6A79">
              <w:rPr>
                <w:rFonts w:ascii="Times New Roman" w:hAnsi="Times New Roman" w:cs="Times New Roman"/>
                <w:lang w:val="es-ES"/>
              </w:rPr>
              <w:t xml:space="preserve">Sistema </w:t>
            </w:r>
            <w:proofErr w:type="spellStart"/>
            <w:r w:rsidRPr="002C6A79">
              <w:rPr>
                <w:rFonts w:ascii="Times New Roman" w:hAnsi="Times New Roman" w:cs="Times New Roman"/>
                <w:lang w:val="es-ES"/>
              </w:rPr>
              <w:t>turi</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nustatyti</w:t>
            </w:r>
            <w:proofErr w:type="spellEnd"/>
            <w:r w:rsidR="002C6A79"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nanodalelių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dydžio</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pasiskirstymą</w:t>
            </w:r>
            <w:proofErr w:type="spellEnd"/>
            <w:r w:rsidRPr="002C6A79">
              <w:rPr>
                <w:rFonts w:ascii="Times New Roman" w:hAnsi="Times New Roman" w:cs="Times New Roman"/>
                <w:lang w:val="es-ES"/>
              </w:rPr>
              <w:t xml:space="preserve"> ir </w:t>
            </w:r>
            <w:proofErr w:type="spellStart"/>
            <w:r w:rsidRPr="002C6A79">
              <w:rPr>
                <w:rFonts w:ascii="Times New Roman" w:hAnsi="Times New Roman" w:cs="Times New Roman"/>
                <w:lang w:val="es-ES"/>
              </w:rPr>
              <w:t>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koncentraciją</w:t>
            </w:r>
            <w:proofErr w:type="spellEnd"/>
          </w:p>
        </w:tc>
        <w:tc>
          <w:tcPr>
            <w:tcW w:w="3994" w:type="dxa"/>
            <w:hideMark/>
          </w:tcPr>
          <w:p w14:paraId="66DE51E8" w14:textId="2E9F27ED" w:rsidR="00693619" w:rsidRPr="002518F8" w:rsidRDefault="00693619" w:rsidP="002518F8">
            <w:pPr>
              <w:rPr>
                <w:rFonts w:ascii="Times New Roman" w:hAnsi="Times New Roman" w:cs="Times New Roman"/>
                <w:lang w:val="es-ES"/>
              </w:rPr>
            </w:pPr>
          </w:p>
        </w:tc>
      </w:tr>
      <w:tr w:rsidR="00C93FF4" w:rsidRPr="005D3BFD" w14:paraId="6BB7BD59" w14:textId="77777777" w:rsidTr="00E66CEE">
        <w:tc>
          <w:tcPr>
            <w:tcW w:w="0" w:type="auto"/>
            <w:hideMark/>
          </w:tcPr>
          <w:p w14:paraId="6795F799"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4.</w:t>
            </w:r>
          </w:p>
        </w:tc>
        <w:tc>
          <w:tcPr>
            <w:tcW w:w="0" w:type="auto"/>
            <w:hideMark/>
          </w:tcPr>
          <w:p w14:paraId="7F488A83"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1CF6ACF1"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10–1000 nm</w:t>
            </w:r>
          </w:p>
        </w:tc>
        <w:tc>
          <w:tcPr>
            <w:tcW w:w="3994" w:type="dxa"/>
            <w:hideMark/>
          </w:tcPr>
          <w:p w14:paraId="3E555C03" w14:textId="2B97C3F9" w:rsidR="00693619" w:rsidRPr="002518F8" w:rsidRDefault="00693619" w:rsidP="002518F8">
            <w:pPr>
              <w:rPr>
                <w:rFonts w:ascii="Times New Roman" w:hAnsi="Times New Roman" w:cs="Times New Roman"/>
                <w:lang w:val="es-ES"/>
              </w:rPr>
            </w:pPr>
          </w:p>
        </w:tc>
      </w:tr>
      <w:tr w:rsidR="00C93FF4" w:rsidRPr="005D3BFD" w14:paraId="58552552" w14:textId="77777777" w:rsidTr="00E66CEE">
        <w:tc>
          <w:tcPr>
            <w:tcW w:w="0" w:type="auto"/>
            <w:hideMark/>
          </w:tcPr>
          <w:p w14:paraId="02E7EC82"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5.</w:t>
            </w:r>
          </w:p>
        </w:tc>
        <w:tc>
          <w:tcPr>
            <w:tcW w:w="0" w:type="auto"/>
            <w:hideMark/>
          </w:tcPr>
          <w:p w14:paraId="1668DD5E"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50012416"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10^6–10^9 </w:t>
            </w:r>
            <w:proofErr w:type="spellStart"/>
            <w:r w:rsidRPr="00A21ABC">
              <w:rPr>
                <w:rFonts w:ascii="Times New Roman" w:hAnsi="Times New Roman" w:cs="Times New Roman"/>
              </w:rPr>
              <w:t>dalelių</w:t>
            </w:r>
            <w:proofErr w:type="spellEnd"/>
            <w:r w:rsidRPr="00A21ABC">
              <w:rPr>
                <w:rFonts w:ascii="Times New Roman" w:hAnsi="Times New Roman" w:cs="Times New Roman"/>
              </w:rPr>
              <w:t>/ml</w:t>
            </w:r>
          </w:p>
        </w:tc>
        <w:tc>
          <w:tcPr>
            <w:tcW w:w="3994" w:type="dxa"/>
            <w:hideMark/>
          </w:tcPr>
          <w:p w14:paraId="56D22EAA" w14:textId="5C102E9B" w:rsidR="00693619" w:rsidRPr="00EC5966" w:rsidRDefault="00693619" w:rsidP="002518F8">
            <w:pPr>
              <w:rPr>
                <w:rFonts w:ascii="Times New Roman" w:hAnsi="Times New Roman" w:cs="Times New Roman"/>
              </w:rPr>
            </w:pPr>
          </w:p>
        </w:tc>
      </w:tr>
      <w:tr w:rsidR="00C93FF4" w:rsidRPr="00BE5AF8" w14:paraId="4ECD168C" w14:textId="77777777" w:rsidTr="00E66CEE">
        <w:tc>
          <w:tcPr>
            <w:tcW w:w="0" w:type="auto"/>
            <w:hideMark/>
          </w:tcPr>
          <w:p w14:paraId="321FCD8D" w14:textId="6D67C0BE" w:rsidR="00693619" w:rsidRPr="005D3BFD" w:rsidRDefault="002D3529" w:rsidP="005D3BFD">
            <w:pPr>
              <w:rPr>
                <w:rFonts w:ascii="Times New Roman" w:hAnsi="Times New Roman" w:cs="Times New Roman"/>
              </w:rPr>
            </w:pPr>
            <w:r>
              <w:rPr>
                <w:rFonts w:ascii="Times New Roman" w:hAnsi="Times New Roman" w:cs="Times New Roman"/>
              </w:rPr>
              <w:t>6</w:t>
            </w:r>
            <w:r w:rsidR="00693619" w:rsidRPr="005D3BFD">
              <w:rPr>
                <w:rFonts w:ascii="Times New Roman" w:hAnsi="Times New Roman" w:cs="Times New Roman"/>
              </w:rPr>
              <w:t>.</w:t>
            </w:r>
          </w:p>
        </w:tc>
        <w:tc>
          <w:tcPr>
            <w:tcW w:w="0" w:type="auto"/>
            <w:hideMark/>
          </w:tcPr>
          <w:p w14:paraId="091D64C8"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Vizualizacija</w:t>
            </w:r>
            <w:proofErr w:type="spellEnd"/>
          </w:p>
        </w:tc>
        <w:tc>
          <w:tcPr>
            <w:tcW w:w="0" w:type="auto"/>
            <w:hideMark/>
          </w:tcPr>
          <w:p w14:paraId="47AFF5DE"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Sistema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užtikrinti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atskirų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vaizdavimą</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realiu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metu</w:t>
            </w:r>
            <w:proofErr w:type="spellEnd"/>
          </w:p>
        </w:tc>
        <w:tc>
          <w:tcPr>
            <w:tcW w:w="3994" w:type="dxa"/>
            <w:hideMark/>
          </w:tcPr>
          <w:p w14:paraId="44781BBE" w14:textId="1204659F" w:rsidR="00693619" w:rsidRPr="002518F8" w:rsidRDefault="00693619" w:rsidP="002518F8">
            <w:pPr>
              <w:rPr>
                <w:rFonts w:ascii="Times New Roman" w:hAnsi="Times New Roman" w:cs="Times New Roman"/>
              </w:rPr>
            </w:pPr>
          </w:p>
        </w:tc>
      </w:tr>
      <w:tr w:rsidR="00C93FF4" w:rsidRPr="00EC5966" w14:paraId="630723BA" w14:textId="77777777" w:rsidTr="00E66CEE">
        <w:tc>
          <w:tcPr>
            <w:tcW w:w="0" w:type="auto"/>
            <w:hideMark/>
          </w:tcPr>
          <w:p w14:paraId="2CE6E07D" w14:textId="405A2705" w:rsidR="00693619" w:rsidRPr="002518F8" w:rsidRDefault="002D3529" w:rsidP="002518F8">
            <w:pPr>
              <w:rPr>
                <w:rFonts w:ascii="Times New Roman" w:hAnsi="Times New Roman" w:cs="Times New Roman"/>
              </w:rPr>
            </w:pPr>
            <w:r>
              <w:rPr>
                <w:rFonts w:ascii="Times New Roman" w:hAnsi="Times New Roman" w:cs="Times New Roman"/>
              </w:rPr>
              <w:t>7</w:t>
            </w:r>
            <w:r w:rsidR="00693619" w:rsidRPr="002518F8">
              <w:rPr>
                <w:rFonts w:ascii="Times New Roman" w:hAnsi="Times New Roman" w:cs="Times New Roman"/>
              </w:rPr>
              <w:t>.</w:t>
            </w:r>
          </w:p>
        </w:tc>
        <w:tc>
          <w:tcPr>
            <w:tcW w:w="0" w:type="auto"/>
            <w:hideMark/>
          </w:tcPr>
          <w:p w14:paraId="303ED6E8"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Kamera / </w:t>
            </w:r>
            <w:proofErr w:type="spellStart"/>
            <w:r w:rsidRPr="002518F8">
              <w:rPr>
                <w:rFonts w:ascii="Times New Roman" w:hAnsi="Times New Roman" w:cs="Times New Roman"/>
              </w:rPr>
              <w:t>detekcija</w:t>
            </w:r>
            <w:proofErr w:type="spellEnd"/>
          </w:p>
        </w:tc>
        <w:tc>
          <w:tcPr>
            <w:tcW w:w="0" w:type="auto"/>
            <w:hideMark/>
          </w:tcPr>
          <w:p w14:paraId="75C73E4C" w14:textId="51983B6A" w:rsidR="00A5741F" w:rsidRPr="00EC5966" w:rsidRDefault="00A5741F" w:rsidP="00EC5966">
            <w:pPr>
              <w:jc w:val="both"/>
              <w:rPr>
                <w:rFonts w:ascii="Times New Roman" w:hAnsi="Times New Roman" w:cs="Times New Roman"/>
                <w:lang w:val="lt-LT"/>
              </w:rPr>
            </w:pPr>
            <w:r>
              <w:rPr>
                <w:rFonts w:ascii="Times New Roman" w:hAnsi="Times New Roman" w:cs="Times New Roman"/>
                <w:lang w:val="lt-LT"/>
              </w:rPr>
              <w:t>T</w:t>
            </w:r>
            <w:r w:rsidRPr="007B3351">
              <w:rPr>
                <w:rFonts w:ascii="Times New Roman" w:hAnsi="Times New Roman" w:cs="Times New Roman"/>
                <w:lang w:val="lt-LT"/>
              </w:rPr>
              <w:t xml:space="preserve">uri turėti kamerą arba kitą lygiavertę optinės detekcijos sistemą, tinkamą darbui šviesos sklaidos ir fluorescencijos režimais, leidžiančią realiu laiku vizualizuoti atskiras daleles ir atlikti jų analizę ne siauresniame kaip 10–1000 </w:t>
            </w:r>
            <w:proofErr w:type="spellStart"/>
            <w:r w:rsidRPr="007B3351">
              <w:rPr>
                <w:rFonts w:ascii="Times New Roman" w:hAnsi="Times New Roman" w:cs="Times New Roman"/>
                <w:lang w:val="lt-LT"/>
              </w:rPr>
              <w:t>nm</w:t>
            </w:r>
            <w:proofErr w:type="spellEnd"/>
            <w:r w:rsidRPr="007B3351">
              <w:rPr>
                <w:rFonts w:ascii="Times New Roman" w:hAnsi="Times New Roman" w:cs="Times New Roman"/>
                <w:lang w:val="lt-LT"/>
              </w:rPr>
              <w:t xml:space="preserve"> dydžio intervale.</w:t>
            </w:r>
          </w:p>
        </w:tc>
        <w:tc>
          <w:tcPr>
            <w:tcW w:w="3994" w:type="dxa"/>
            <w:hideMark/>
          </w:tcPr>
          <w:p w14:paraId="77ADD667" w14:textId="6446A52F" w:rsidR="00693619" w:rsidRPr="00EC5966" w:rsidRDefault="00693619" w:rsidP="002518F8">
            <w:pPr>
              <w:rPr>
                <w:rFonts w:ascii="Times New Roman" w:hAnsi="Times New Roman" w:cs="Times New Roman"/>
                <w:lang w:val="lt-LT"/>
              </w:rPr>
            </w:pPr>
          </w:p>
        </w:tc>
      </w:tr>
      <w:tr w:rsidR="00C93FF4" w:rsidRPr="00BE5AF8" w14:paraId="637A4CEC" w14:textId="77777777" w:rsidTr="00E66CEE">
        <w:tc>
          <w:tcPr>
            <w:tcW w:w="0" w:type="auto"/>
            <w:hideMark/>
          </w:tcPr>
          <w:p w14:paraId="23F28F95" w14:textId="5D97B72B" w:rsidR="00693619" w:rsidRPr="002518F8" w:rsidRDefault="002D3529" w:rsidP="002518F8">
            <w:pPr>
              <w:rPr>
                <w:rFonts w:ascii="Times New Roman" w:hAnsi="Times New Roman" w:cs="Times New Roman"/>
              </w:rPr>
            </w:pPr>
            <w:r>
              <w:rPr>
                <w:rFonts w:ascii="Times New Roman" w:hAnsi="Times New Roman" w:cs="Times New Roman"/>
              </w:rPr>
              <w:t>8</w:t>
            </w:r>
            <w:r w:rsidR="00693619" w:rsidRPr="002518F8">
              <w:rPr>
                <w:rFonts w:ascii="Times New Roman" w:hAnsi="Times New Roman" w:cs="Times New Roman"/>
              </w:rPr>
              <w:t>.</w:t>
            </w:r>
          </w:p>
        </w:tc>
        <w:tc>
          <w:tcPr>
            <w:tcW w:w="0" w:type="auto"/>
            <w:hideMark/>
          </w:tcPr>
          <w:p w14:paraId="2B7B0805"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29EF66D5" w14:textId="4946CBB3"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Turi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režimas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leidžiantis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aptikti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fluorescenciškai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pažymėtas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subpopuliacijas</w:t>
            </w:r>
            <w:proofErr w:type="spellEnd"/>
            <w:r w:rsidR="00216D8D">
              <w:rPr>
                <w:rFonts w:ascii="Times New Roman" w:hAnsi="Times New Roman" w:cs="Times New Roman"/>
              </w:rPr>
              <w:t>.</w:t>
            </w:r>
          </w:p>
        </w:tc>
        <w:tc>
          <w:tcPr>
            <w:tcW w:w="3994" w:type="dxa"/>
            <w:hideMark/>
          </w:tcPr>
          <w:p w14:paraId="6048CA00" w14:textId="053BF9E2" w:rsidR="00693619" w:rsidRPr="002518F8" w:rsidRDefault="00693619" w:rsidP="002518F8">
            <w:pPr>
              <w:rPr>
                <w:rFonts w:ascii="Times New Roman" w:hAnsi="Times New Roman" w:cs="Times New Roman"/>
              </w:rPr>
            </w:pPr>
          </w:p>
        </w:tc>
      </w:tr>
      <w:tr w:rsidR="00C93FF4" w:rsidRPr="00900FED" w14:paraId="77ACD5B7" w14:textId="77777777" w:rsidTr="00E66CEE">
        <w:tc>
          <w:tcPr>
            <w:tcW w:w="0" w:type="auto"/>
            <w:hideMark/>
          </w:tcPr>
          <w:p w14:paraId="65E5DB4A" w14:textId="205AC9FC" w:rsidR="00693619" w:rsidRPr="002518F8" w:rsidRDefault="002D3529" w:rsidP="002518F8">
            <w:pPr>
              <w:rPr>
                <w:rFonts w:ascii="Times New Roman" w:hAnsi="Times New Roman" w:cs="Times New Roman"/>
              </w:rPr>
            </w:pPr>
            <w:r>
              <w:rPr>
                <w:rFonts w:ascii="Times New Roman" w:hAnsi="Times New Roman" w:cs="Times New Roman"/>
              </w:rPr>
              <w:t>9</w:t>
            </w:r>
            <w:r w:rsidR="00693619" w:rsidRPr="002518F8">
              <w:rPr>
                <w:rFonts w:ascii="Times New Roman" w:hAnsi="Times New Roman" w:cs="Times New Roman"/>
              </w:rPr>
              <w:t>.</w:t>
            </w:r>
          </w:p>
        </w:tc>
        <w:tc>
          <w:tcPr>
            <w:tcW w:w="0" w:type="auto"/>
            <w:hideMark/>
          </w:tcPr>
          <w:p w14:paraId="3E1A92C1" w14:textId="6096EE62" w:rsidR="00693619" w:rsidRPr="00BC3B9A" w:rsidRDefault="00BC1D64" w:rsidP="00EC5966">
            <w:pPr>
              <w:jc w:val="both"/>
              <w:rPr>
                <w:rFonts w:ascii="Times New Roman" w:hAnsi="Times New Roman" w:cs="Times New Roman"/>
              </w:rPr>
            </w:pPr>
            <w:proofErr w:type="spellStart"/>
            <w:r w:rsidRPr="00515D02">
              <w:rPr>
                <w:rFonts w:ascii="Times New Roman" w:hAnsi="Times New Roman" w:cs="Times New Roman"/>
              </w:rPr>
              <w:t>Fluorescencijos</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sužadinimo</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šaltinis</w:t>
            </w:r>
            <w:proofErr w:type="spellEnd"/>
            <w:r w:rsidR="006D0B98" w:rsidRPr="00515D02">
              <w:rPr>
                <w:rFonts w:ascii="Times New Roman" w:hAnsi="Times New Roman" w:cs="Times New Roman"/>
              </w:rPr>
              <w:t>*</w:t>
            </w:r>
          </w:p>
        </w:tc>
        <w:tc>
          <w:tcPr>
            <w:tcW w:w="0" w:type="auto"/>
            <w:hideMark/>
          </w:tcPr>
          <w:p w14:paraId="1C7CCD08" w14:textId="6D819E78" w:rsidR="00693619" w:rsidRPr="00BC3B9A" w:rsidRDefault="00900FED" w:rsidP="00900FED">
            <w:pPr>
              <w:jc w:val="both"/>
              <w:rPr>
                <w:rFonts w:ascii="Times New Roman" w:hAnsi="Times New Roman" w:cs="Times New Roman"/>
              </w:rPr>
            </w:pPr>
            <w:r w:rsidRPr="00515D02">
              <w:rPr>
                <w:rFonts w:ascii="Times New Roman" w:hAnsi="Times New Roman" w:cs="Times New Roman"/>
                <w:lang w:val="lt-LT"/>
              </w:rPr>
              <w:t xml:space="preserve">Komplekte turi būti fluorescencijos sužadinimo </w:t>
            </w:r>
            <w:r w:rsidR="0043060A" w:rsidRPr="00515D02">
              <w:rPr>
                <w:rFonts w:ascii="Times New Roman" w:hAnsi="Times New Roman" w:cs="Times New Roman"/>
                <w:lang w:val="lt-LT"/>
              </w:rPr>
              <w:t>šaltinis</w:t>
            </w:r>
            <w:r w:rsidRPr="00515D02">
              <w:rPr>
                <w:rFonts w:ascii="Times New Roman" w:hAnsi="Times New Roman" w:cs="Times New Roman"/>
                <w:lang w:val="lt-LT"/>
              </w:rPr>
              <w:t xml:space="preserve">, skirtas </w:t>
            </w:r>
            <w:proofErr w:type="spellStart"/>
            <w:r w:rsidRPr="00515D02">
              <w:rPr>
                <w:rFonts w:ascii="Times New Roman" w:hAnsi="Times New Roman" w:cs="Times New Roman"/>
                <w:lang w:val="lt-LT"/>
              </w:rPr>
              <w:t>fluorescenciškai</w:t>
            </w:r>
            <w:proofErr w:type="spellEnd"/>
            <w:r w:rsidRPr="00515D02">
              <w:rPr>
                <w:rFonts w:ascii="Times New Roman" w:hAnsi="Times New Roman" w:cs="Times New Roman"/>
                <w:lang w:val="lt-LT"/>
              </w:rPr>
              <w:t xml:space="preserve"> pažymėtų </w:t>
            </w:r>
            <w:proofErr w:type="spellStart"/>
            <w:r w:rsidRPr="00515D02">
              <w:rPr>
                <w:rFonts w:ascii="Times New Roman" w:hAnsi="Times New Roman" w:cs="Times New Roman"/>
                <w:lang w:val="lt-LT"/>
              </w:rPr>
              <w:lastRenderedPageBreak/>
              <w:t>nanodalelių</w:t>
            </w:r>
            <w:proofErr w:type="spellEnd"/>
            <w:r w:rsidRPr="00515D02">
              <w:rPr>
                <w:rFonts w:ascii="Times New Roman" w:hAnsi="Times New Roman" w:cs="Times New Roman"/>
                <w:lang w:val="lt-LT"/>
              </w:rPr>
              <w:t xml:space="preserve"> </w:t>
            </w:r>
            <w:proofErr w:type="spellStart"/>
            <w:r w:rsidRPr="00515D02">
              <w:rPr>
                <w:rFonts w:ascii="Times New Roman" w:hAnsi="Times New Roman" w:cs="Times New Roman"/>
                <w:lang w:val="lt-LT"/>
              </w:rPr>
              <w:t>subpopuliacijų</w:t>
            </w:r>
            <w:proofErr w:type="spellEnd"/>
            <w:r w:rsidRPr="00515D02">
              <w:rPr>
                <w:rFonts w:ascii="Times New Roman" w:hAnsi="Times New Roman" w:cs="Times New Roman"/>
                <w:lang w:val="lt-LT"/>
              </w:rPr>
              <w:t xml:space="preserve"> analizei.</w:t>
            </w:r>
          </w:p>
        </w:tc>
        <w:tc>
          <w:tcPr>
            <w:tcW w:w="3994" w:type="dxa"/>
            <w:hideMark/>
          </w:tcPr>
          <w:p w14:paraId="7AD27A5A" w14:textId="68EE059A" w:rsidR="00693619" w:rsidRPr="00AC33A8" w:rsidRDefault="00693619" w:rsidP="002518F8">
            <w:pPr>
              <w:rPr>
                <w:rFonts w:ascii="Times New Roman" w:hAnsi="Times New Roman" w:cs="Times New Roman"/>
              </w:rPr>
            </w:pPr>
          </w:p>
        </w:tc>
      </w:tr>
      <w:tr w:rsidR="00C93FF4" w:rsidRPr="00233C8D" w14:paraId="6389EF1A" w14:textId="77777777" w:rsidTr="00E66CEE">
        <w:tc>
          <w:tcPr>
            <w:tcW w:w="0" w:type="auto"/>
            <w:hideMark/>
          </w:tcPr>
          <w:p w14:paraId="3C8FB39C" w14:textId="20A95523"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0</w:t>
            </w:r>
            <w:r w:rsidRPr="002518F8">
              <w:rPr>
                <w:rFonts w:ascii="Times New Roman" w:hAnsi="Times New Roman" w:cs="Times New Roman"/>
              </w:rPr>
              <w:t>.</w:t>
            </w:r>
          </w:p>
        </w:tc>
        <w:tc>
          <w:tcPr>
            <w:tcW w:w="0" w:type="auto"/>
            <w:hideMark/>
          </w:tcPr>
          <w:p w14:paraId="6FEA3153" w14:textId="15631F33" w:rsidR="00693619" w:rsidRPr="00BC3B9A" w:rsidRDefault="00693619" w:rsidP="00EC5966">
            <w:pPr>
              <w:jc w:val="both"/>
              <w:rPr>
                <w:rFonts w:ascii="Times New Roman" w:hAnsi="Times New Roman" w:cs="Times New Roman"/>
                <w:lang w:val="es-ES"/>
              </w:rPr>
            </w:pPr>
            <w:proofErr w:type="spellStart"/>
            <w:r w:rsidRPr="00515D02">
              <w:rPr>
                <w:rFonts w:ascii="Times New Roman" w:hAnsi="Times New Roman" w:cs="Times New Roman"/>
                <w:lang w:val="es-ES"/>
              </w:rPr>
              <w:t>Fluorescencinis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filtravimas</w:t>
            </w:r>
            <w:proofErr w:type="spellEnd"/>
            <w:r w:rsidR="00143AC2" w:rsidRPr="00515D02">
              <w:rPr>
                <w:rFonts w:ascii="Times New Roman" w:hAnsi="Times New Roman" w:cs="Times New Roman"/>
                <w:lang w:val="es-ES"/>
              </w:rPr>
              <w:t xml:space="preserve"> ir </w:t>
            </w:r>
            <w:proofErr w:type="spellStart"/>
            <w:r w:rsidR="00143AC2" w:rsidRPr="00515D02">
              <w:rPr>
                <w:rFonts w:ascii="Times New Roman" w:hAnsi="Times New Roman" w:cs="Times New Roman"/>
                <w:lang w:val="es-ES"/>
              </w:rPr>
              <w:t>signalo</w:t>
            </w:r>
            <w:proofErr w:type="spellEnd"/>
            <w:r w:rsidR="00143AC2" w:rsidRPr="00515D02">
              <w:rPr>
                <w:rFonts w:ascii="Times New Roman" w:hAnsi="Times New Roman" w:cs="Times New Roman"/>
                <w:lang w:val="es-ES"/>
              </w:rPr>
              <w:t xml:space="preserve"> </w:t>
            </w:r>
            <w:proofErr w:type="spellStart"/>
            <w:r w:rsidR="00143AC2" w:rsidRPr="00515D02">
              <w:rPr>
                <w:rFonts w:ascii="Times New Roman" w:hAnsi="Times New Roman" w:cs="Times New Roman"/>
                <w:lang w:val="es-ES"/>
              </w:rPr>
              <w:t>surinkimas</w:t>
            </w:r>
            <w:proofErr w:type="spellEnd"/>
            <w:r w:rsidR="006D0B98" w:rsidRPr="00515D02">
              <w:rPr>
                <w:rFonts w:ascii="Times New Roman" w:hAnsi="Times New Roman" w:cs="Times New Roman"/>
                <w:lang w:val="es-ES"/>
              </w:rPr>
              <w:t>*</w:t>
            </w:r>
          </w:p>
        </w:tc>
        <w:tc>
          <w:tcPr>
            <w:tcW w:w="0" w:type="auto"/>
            <w:hideMark/>
          </w:tcPr>
          <w:p w14:paraId="06732C33" w14:textId="47D37F72" w:rsidR="00693619" w:rsidRPr="00BC3B9A" w:rsidRDefault="00BC1D64" w:rsidP="00EC5966">
            <w:pPr>
              <w:jc w:val="both"/>
              <w:rPr>
                <w:rFonts w:ascii="Times New Roman" w:hAnsi="Times New Roman" w:cs="Times New Roman"/>
                <w:lang w:val="es-ES"/>
              </w:rPr>
            </w:pPr>
            <w:proofErr w:type="spellStart"/>
            <w:r w:rsidRPr="00515D02">
              <w:rPr>
                <w:rFonts w:ascii="Times New Roman" w:hAnsi="Times New Roman" w:cs="Times New Roman"/>
                <w:lang w:val="es-ES"/>
              </w:rPr>
              <w:t>Komplekte</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turi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būti</w:t>
            </w:r>
            <w:proofErr w:type="spellEnd"/>
            <w:r w:rsidRPr="00515D02">
              <w:rPr>
                <w:rFonts w:ascii="Times New Roman" w:hAnsi="Times New Roman" w:cs="Times New Roman"/>
                <w:lang w:val="es-ES"/>
              </w:rPr>
              <w:t xml:space="preserve"> su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sužadinimo</w:t>
            </w:r>
            <w:proofErr w:type="spellEnd"/>
            <w:r w:rsidRPr="00515D02">
              <w:rPr>
                <w:rFonts w:ascii="Times New Roman" w:hAnsi="Times New Roman" w:cs="Times New Roman"/>
                <w:lang w:val="es-ES"/>
              </w:rPr>
              <w:t xml:space="preserve"> </w:t>
            </w:r>
            <w:proofErr w:type="spellStart"/>
            <w:r w:rsidR="000D1D6F" w:rsidRPr="00515D02">
              <w:rPr>
                <w:rFonts w:ascii="Times New Roman" w:hAnsi="Times New Roman" w:cs="Times New Roman"/>
                <w:lang w:val="es-ES"/>
              </w:rPr>
              <w:t>šaltiniu</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suderintas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filtravimo</w:t>
            </w:r>
            <w:proofErr w:type="spellEnd"/>
            <w:r w:rsidRPr="00515D02">
              <w:rPr>
                <w:rFonts w:ascii="Times New Roman" w:hAnsi="Times New Roman" w:cs="Times New Roman"/>
                <w:lang w:val="es-ES"/>
              </w:rPr>
              <w:t xml:space="preserve"> ir </w:t>
            </w:r>
            <w:proofErr w:type="spellStart"/>
            <w:r w:rsidRPr="00515D02">
              <w:rPr>
                <w:rFonts w:ascii="Times New Roman" w:hAnsi="Times New Roman" w:cs="Times New Roman"/>
                <w:lang w:val="es-ES"/>
              </w:rPr>
              <w:t>detekcijos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sprendinys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skirtas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signalui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surinkti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fluorescenciškai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pažymėtų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nanodalelių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subpopuliacijų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analizei</w:t>
            </w:r>
            <w:proofErr w:type="spellEnd"/>
            <w:r w:rsidRPr="00515D02">
              <w:rPr>
                <w:rFonts w:ascii="Times New Roman" w:hAnsi="Times New Roman" w:cs="Times New Roman"/>
                <w:lang w:val="es-ES"/>
              </w:rPr>
              <w:t>.</w:t>
            </w:r>
            <w:r w:rsidRPr="00BC3B9A">
              <w:rPr>
                <w:rFonts w:ascii="Times New Roman" w:hAnsi="Times New Roman" w:cs="Times New Roman"/>
                <w:lang w:val="es-ES"/>
              </w:rPr>
              <w:t xml:space="preserve"> </w:t>
            </w:r>
          </w:p>
        </w:tc>
        <w:tc>
          <w:tcPr>
            <w:tcW w:w="3994" w:type="dxa"/>
            <w:hideMark/>
          </w:tcPr>
          <w:p w14:paraId="0B735B80" w14:textId="0E59CF1F" w:rsidR="00693619" w:rsidRPr="000D1D6F" w:rsidRDefault="00693619" w:rsidP="002518F8">
            <w:pPr>
              <w:rPr>
                <w:rFonts w:ascii="Times New Roman" w:hAnsi="Times New Roman" w:cs="Times New Roman"/>
                <w:lang w:val="es-ES"/>
              </w:rPr>
            </w:pPr>
          </w:p>
        </w:tc>
      </w:tr>
      <w:tr w:rsidR="00C93FF4" w:rsidRPr="00900FED" w14:paraId="02F71BCB" w14:textId="77777777" w:rsidTr="00E66CEE">
        <w:tc>
          <w:tcPr>
            <w:tcW w:w="0" w:type="auto"/>
            <w:hideMark/>
          </w:tcPr>
          <w:p w14:paraId="3DA69BBA" w14:textId="17CD0BBD"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1</w:t>
            </w:r>
            <w:r w:rsidRPr="002518F8">
              <w:rPr>
                <w:rFonts w:ascii="Times New Roman" w:hAnsi="Times New Roman" w:cs="Times New Roman"/>
              </w:rPr>
              <w:t>.</w:t>
            </w:r>
          </w:p>
        </w:tc>
        <w:tc>
          <w:tcPr>
            <w:tcW w:w="0" w:type="auto"/>
            <w:hideMark/>
          </w:tcPr>
          <w:p w14:paraId="3BB0FBE6" w14:textId="77777777" w:rsidR="00693619" w:rsidRPr="00BC3B9A" w:rsidRDefault="00693619" w:rsidP="00EC5966">
            <w:pPr>
              <w:jc w:val="both"/>
              <w:rPr>
                <w:rFonts w:ascii="Times New Roman" w:hAnsi="Times New Roman" w:cs="Times New Roman"/>
              </w:rPr>
            </w:pPr>
            <w:proofErr w:type="spellStart"/>
            <w:r w:rsidRPr="00BC3B9A">
              <w:rPr>
                <w:rFonts w:ascii="Times New Roman" w:hAnsi="Times New Roman" w:cs="Times New Roman"/>
              </w:rPr>
              <w:t>Matavimo</w:t>
            </w:r>
            <w:proofErr w:type="spellEnd"/>
            <w:r w:rsidRPr="00BC3B9A">
              <w:rPr>
                <w:rFonts w:ascii="Times New Roman" w:hAnsi="Times New Roman" w:cs="Times New Roman"/>
              </w:rPr>
              <w:t xml:space="preserve"> </w:t>
            </w:r>
            <w:proofErr w:type="spellStart"/>
            <w:r w:rsidRPr="00BC3B9A">
              <w:rPr>
                <w:rFonts w:ascii="Times New Roman" w:hAnsi="Times New Roman" w:cs="Times New Roman"/>
              </w:rPr>
              <w:t>režimai</w:t>
            </w:r>
            <w:proofErr w:type="spellEnd"/>
          </w:p>
        </w:tc>
        <w:tc>
          <w:tcPr>
            <w:tcW w:w="0" w:type="auto"/>
            <w:hideMark/>
          </w:tcPr>
          <w:p w14:paraId="0FBC6B6B" w14:textId="026F8224" w:rsidR="00693619" w:rsidRPr="00BC3B9A" w:rsidRDefault="00693619" w:rsidP="00EC5966">
            <w:pPr>
              <w:jc w:val="both"/>
              <w:rPr>
                <w:rFonts w:ascii="Times New Roman" w:hAnsi="Times New Roman" w:cs="Times New Roman"/>
                <w:lang w:val="es-ES"/>
              </w:rPr>
            </w:pPr>
            <w:r w:rsidRPr="00BC3B9A">
              <w:rPr>
                <w:rFonts w:ascii="Times New Roman" w:hAnsi="Times New Roman" w:cs="Times New Roman"/>
                <w:lang w:val="es-ES"/>
              </w:rPr>
              <w:t xml:space="preserve">Turi </w:t>
            </w:r>
            <w:proofErr w:type="spellStart"/>
            <w:r w:rsidRPr="00BC3B9A">
              <w:rPr>
                <w:rFonts w:ascii="Times New Roman" w:hAnsi="Times New Roman" w:cs="Times New Roman"/>
                <w:lang w:val="es-ES"/>
              </w:rPr>
              <w:t>būti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g</w:t>
            </w:r>
            <w:r w:rsidR="00DB154E" w:rsidRPr="00BC3B9A">
              <w:rPr>
                <w:rFonts w:ascii="Times New Roman" w:hAnsi="Times New Roman" w:cs="Times New Roman"/>
                <w:lang w:val="es-ES"/>
              </w:rPr>
              <w:t>alima</w:t>
            </w:r>
            <w:proofErr w:type="spellEnd"/>
            <w:r w:rsidR="00DB154E"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atlikti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matavimus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šviesos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sklaidos</w:t>
            </w:r>
            <w:proofErr w:type="spellEnd"/>
            <w:r w:rsidRPr="00BC3B9A">
              <w:rPr>
                <w:rFonts w:ascii="Times New Roman" w:hAnsi="Times New Roman" w:cs="Times New Roman"/>
                <w:lang w:val="es-ES"/>
              </w:rPr>
              <w:t xml:space="preserve"> ir </w:t>
            </w:r>
            <w:proofErr w:type="spellStart"/>
            <w:r w:rsidRPr="00BC3B9A">
              <w:rPr>
                <w:rFonts w:ascii="Times New Roman" w:hAnsi="Times New Roman" w:cs="Times New Roman"/>
                <w:lang w:val="es-ES"/>
              </w:rPr>
              <w:t>fluorescencijos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režimais</w:t>
            </w:r>
            <w:proofErr w:type="spellEnd"/>
          </w:p>
        </w:tc>
        <w:tc>
          <w:tcPr>
            <w:tcW w:w="3994" w:type="dxa"/>
            <w:hideMark/>
          </w:tcPr>
          <w:p w14:paraId="4A719893" w14:textId="36B8189F" w:rsidR="00693619" w:rsidRPr="00EC5966" w:rsidRDefault="00693619" w:rsidP="002518F8">
            <w:pPr>
              <w:rPr>
                <w:rFonts w:ascii="Times New Roman" w:hAnsi="Times New Roman" w:cs="Times New Roman"/>
                <w:lang w:val="es-ES"/>
              </w:rPr>
            </w:pPr>
          </w:p>
        </w:tc>
      </w:tr>
      <w:tr w:rsidR="00C93FF4" w:rsidRPr="005D3BFD" w14:paraId="54D1BAA8" w14:textId="77777777" w:rsidTr="00E66CEE">
        <w:tc>
          <w:tcPr>
            <w:tcW w:w="0" w:type="auto"/>
            <w:hideMark/>
          </w:tcPr>
          <w:p w14:paraId="5CF1ECCC" w14:textId="3048048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2</w:t>
            </w:r>
            <w:r w:rsidRPr="002518F8">
              <w:rPr>
                <w:rFonts w:ascii="Times New Roman" w:hAnsi="Times New Roman" w:cs="Times New Roman"/>
              </w:rPr>
              <w:t>.</w:t>
            </w:r>
          </w:p>
        </w:tc>
        <w:tc>
          <w:tcPr>
            <w:tcW w:w="0" w:type="auto"/>
            <w:hideMark/>
          </w:tcPr>
          <w:p w14:paraId="481634D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p>
        </w:tc>
        <w:tc>
          <w:tcPr>
            <w:tcW w:w="0" w:type="auto"/>
            <w:hideMark/>
          </w:tcPr>
          <w:p w14:paraId="16F5E7B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valdymui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surinkimui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skaičiavimui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rezultatų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vizualizacijai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generavimui</w:t>
            </w:r>
            <w:proofErr w:type="spellEnd"/>
          </w:p>
        </w:tc>
        <w:tc>
          <w:tcPr>
            <w:tcW w:w="3994" w:type="dxa"/>
            <w:hideMark/>
          </w:tcPr>
          <w:p w14:paraId="72C6EF28" w14:textId="3F281E84" w:rsidR="00693619" w:rsidRPr="00EC5966" w:rsidRDefault="00693619" w:rsidP="002518F8">
            <w:pPr>
              <w:rPr>
                <w:rFonts w:ascii="Times New Roman" w:hAnsi="Times New Roman" w:cs="Times New Roman"/>
              </w:rPr>
            </w:pPr>
          </w:p>
        </w:tc>
      </w:tr>
      <w:tr w:rsidR="00C93FF4" w:rsidRPr="00BE5AF8" w14:paraId="367C7B9B" w14:textId="77777777" w:rsidTr="00E66CEE">
        <w:tc>
          <w:tcPr>
            <w:tcW w:w="0" w:type="auto"/>
            <w:hideMark/>
          </w:tcPr>
          <w:p w14:paraId="68D456F0" w14:textId="55E2E26C"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3</w:t>
            </w:r>
            <w:r w:rsidRPr="002518F8">
              <w:rPr>
                <w:rFonts w:ascii="Times New Roman" w:hAnsi="Times New Roman" w:cs="Times New Roman"/>
              </w:rPr>
              <w:t>.</w:t>
            </w:r>
          </w:p>
        </w:tc>
        <w:tc>
          <w:tcPr>
            <w:tcW w:w="0" w:type="auto"/>
            <w:hideMark/>
          </w:tcPr>
          <w:p w14:paraId="351819AB"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789D7ED9" w14:textId="0398A1C6"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r w:rsidR="00B401D2">
              <w:rPr>
                <w:rFonts w:ascii="Times New Roman" w:hAnsi="Times New Roman" w:cs="Times New Roman"/>
              </w:rPr>
              <w:t>tur</w:t>
            </w:r>
            <w:proofErr w:type="spellStart"/>
            <w:r w:rsidR="00B401D2">
              <w:rPr>
                <w:rFonts w:ascii="Times New Roman" w:hAnsi="Times New Roman" w:cs="Times New Roman"/>
                <w:lang w:val="lt-LT"/>
              </w:rPr>
              <w:t>ėti</w:t>
            </w:r>
            <w:proofErr w:type="spellEnd"/>
            <w:r w:rsidR="00B401D2">
              <w:rPr>
                <w:rFonts w:ascii="Times New Roman" w:hAnsi="Times New Roman" w:cs="Times New Roman"/>
                <w:lang w:val="lt-LT"/>
              </w:rPr>
              <w:t xml:space="preserve"> </w:t>
            </w:r>
            <w:r w:rsidR="005A1020">
              <w:rPr>
                <w:rFonts w:ascii="Times New Roman" w:hAnsi="Times New Roman" w:cs="Times New Roman"/>
              </w:rPr>
              <w:t xml:space="preserve">ne </w:t>
            </w:r>
            <w:proofErr w:type="spellStart"/>
            <w:r w:rsidR="005A1020">
              <w:rPr>
                <w:rFonts w:ascii="Times New Roman" w:hAnsi="Times New Roman" w:cs="Times New Roman"/>
              </w:rPr>
              <w:t>mažiau</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kaip</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dviejų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matavimų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palyginim</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parengim</w:t>
            </w:r>
            <w:r w:rsidR="00B401D2">
              <w:rPr>
                <w:rFonts w:ascii="Times New Roman" w:hAnsi="Times New Roman" w:cs="Times New Roman"/>
              </w:rPr>
              <w:t>o</w:t>
            </w:r>
            <w:proofErr w:type="spellEnd"/>
            <w:r w:rsidR="00B401D2">
              <w:rPr>
                <w:rFonts w:ascii="Times New Roman" w:hAnsi="Times New Roman" w:cs="Times New Roman"/>
              </w:rPr>
              <w:t xml:space="preserve"> </w:t>
            </w:r>
            <w:r w:rsidR="00B401D2">
              <w:rPr>
                <w:rFonts w:ascii="Times New Roman" w:hAnsi="Times New Roman" w:cs="Times New Roman"/>
                <w:lang w:val="lt-LT"/>
              </w:rPr>
              <w:t>funkciją.</w:t>
            </w:r>
            <w:r w:rsidR="00B401D2" w:rsidRPr="002518F8" w:rsidDel="00B401D2">
              <w:rPr>
                <w:rFonts w:ascii="Times New Roman" w:hAnsi="Times New Roman" w:cs="Times New Roman"/>
              </w:rPr>
              <w:t xml:space="preserve"> </w:t>
            </w:r>
          </w:p>
        </w:tc>
        <w:tc>
          <w:tcPr>
            <w:tcW w:w="3994" w:type="dxa"/>
            <w:hideMark/>
          </w:tcPr>
          <w:p w14:paraId="4D1840D8" w14:textId="30B309EC" w:rsidR="00693619" w:rsidRPr="002518F8" w:rsidRDefault="00693619" w:rsidP="002518F8">
            <w:pPr>
              <w:rPr>
                <w:rFonts w:ascii="Times New Roman" w:hAnsi="Times New Roman" w:cs="Times New Roman"/>
              </w:rPr>
            </w:pPr>
          </w:p>
        </w:tc>
      </w:tr>
      <w:tr w:rsidR="00C93FF4" w:rsidRPr="00BE5AF8" w14:paraId="7D36DA05" w14:textId="77777777" w:rsidTr="00E66CEE">
        <w:tc>
          <w:tcPr>
            <w:tcW w:w="0" w:type="auto"/>
            <w:hideMark/>
          </w:tcPr>
          <w:p w14:paraId="609EBAAE" w14:textId="7C151D3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4</w:t>
            </w:r>
            <w:r w:rsidRPr="002518F8">
              <w:rPr>
                <w:rFonts w:ascii="Times New Roman" w:hAnsi="Times New Roman" w:cs="Times New Roman"/>
              </w:rPr>
              <w:t>.</w:t>
            </w:r>
          </w:p>
        </w:tc>
        <w:tc>
          <w:tcPr>
            <w:tcW w:w="0" w:type="auto"/>
            <w:hideMark/>
          </w:tcPr>
          <w:p w14:paraId="446C891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eksportas</w:t>
            </w:r>
            <w:proofErr w:type="spellEnd"/>
          </w:p>
        </w:tc>
        <w:tc>
          <w:tcPr>
            <w:tcW w:w="0" w:type="auto"/>
            <w:hideMark/>
          </w:tcPr>
          <w:p w14:paraId="12D41611" w14:textId="7DF7516A" w:rsidR="00693619" w:rsidRPr="002C6A79" w:rsidRDefault="00693619" w:rsidP="00EC5966">
            <w:pPr>
              <w:jc w:val="both"/>
              <w:rPr>
                <w:rFonts w:ascii="Times New Roman" w:hAnsi="Times New Roman" w:cs="Times New Roman"/>
              </w:rPr>
            </w:pPr>
            <w:proofErr w:type="spellStart"/>
            <w:r w:rsidRPr="002C6A79">
              <w:rPr>
                <w:rFonts w:ascii="Times New Roman" w:hAnsi="Times New Roman" w:cs="Times New Roman"/>
              </w:rPr>
              <w:t>Duomenys</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turi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būti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eksportuojami</w:t>
            </w:r>
            <w:proofErr w:type="spellEnd"/>
            <w:r w:rsidRPr="002C6A79">
              <w:rPr>
                <w:rFonts w:ascii="Times New Roman" w:hAnsi="Times New Roman" w:cs="Times New Roman"/>
              </w:rPr>
              <w:t xml:space="preserve"> į</w:t>
            </w:r>
            <w:r w:rsidR="002C6A79" w:rsidRPr="002C6A79">
              <w:rPr>
                <w:rFonts w:ascii="Times New Roman" w:hAnsi="Times New Roman" w:cs="Times New Roman"/>
              </w:rPr>
              <w:t xml:space="preserve"> </w:t>
            </w:r>
            <w:proofErr w:type="spellStart"/>
            <w:r w:rsidRPr="002C6A79">
              <w:rPr>
                <w:rFonts w:ascii="Times New Roman" w:hAnsi="Times New Roman" w:cs="Times New Roman"/>
              </w:rPr>
              <w:t>ataskaitų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ir</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lentelių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formatus</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kuri</w:t>
            </w:r>
            <w:r w:rsidR="004B5904">
              <w:rPr>
                <w:rFonts w:ascii="Times New Roman" w:hAnsi="Times New Roman" w:cs="Times New Roman"/>
              </w:rPr>
              <w:t>e</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b</w:t>
            </w:r>
            <w:r w:rsidR="00B401D2">
              <w:rPr>
                <w:rFonts w:ascii="Times New Roman" w:hAnsi="Times New Roman" w:cs="Times New Roman"/>
              </w:rPr>
              <w:t>ūtų</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suderinam</w:t>
            </w:r>
            <w:r w:rsidR="004B5904">
              <w:rPr>
                <w:rFonts w:ascii="Times New Roman" w:hAnsi="Times New Roman" w:cs="Times New Roman"/>
              </w:rPr>
              <w:t>i</w:t>
            </w:r>
            <w:proofErr w:type="spellEnd"/>
            <w:r w:rsidR="00B401D2">
              <w:rPr>
                <w:rFonts w:ascii="Times New Roman" w:hAnsi="Times New Roman" w:cs="Times New Roman"/>
              </w:rPr>
              <w:t xml:space="preserve"> </w:t>
            </w:r>
            <w:proofErr w:type="spellStart"/>
            <w:r w:rsidR="00F35F89">
              <w:rPr>
                <w:rFonts w:ascii="Times New Roman" w:hAnsi="Times New Roman" w:cs="Times New Roman"/>
              </w:rPr>
              <w:t>micr</w:t>
            </w:r>
            <w:r w:rsidR="000E4FD2">
              <w:rPr>
                <w:rFonts w:ascii="Times New Roman" w:hAnsi="Times New Roman" w:cs="Times New Roman"/>
              </w:rPr>
              <w:t>osoft</w:t>
            </w:r>
            <w:proofErr w:type="spellEnd"/>
            <w:r w:rsidR="000E4FD2">
              <w:rPr>
                <w:rFonts w:ascii="Times New Roman" w:hAnsi="Times New Roman" w:cs="Times New Roman"/>
              </w:rPr>
              <w:t xml:space="preserve"> office</w:t>
            </w:r>
            <w:r w:rsidR="00B401D2">
              <w:rPr>
                <w:rFonts w:ascii="Times New Roman" w:hAnsi="Times New Roman" w:cs="Times New Roman"/>
              </w:rPr>
              <w:t xml:space="preserve"> </w:t>
            </w:r>
            <w:proofErr w:type="spellStart"/>
            <w:r w:rsidR="00B401D2">
              <w:rPr>
                <w:rFonts w:ascii="Times New Roman" w:hAnsi="Times New Roman" w:cs="Times New Roman"/>
              </w:rPr>
              <w:t>programinės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įrangos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formatais</w:t>
            </w:r>
            <w:proofErr w:type="spellEnd"/>
          </w:p>
        </w:tc>
        <w:tc>
          <w:tcPr>
            <w:tcW w:w="3994" w:type="dxa"/>
            <w:hideMark/>
          </w:tcPr>
          <w:p w14:paraId="6D5F546D" w14:textId="2918738E" w:rsidR="00693619" w:rsidRPr="002518F8" w:rsidRDefault="00693619" w:rsidP="002518F8">
            <w:pPr>
              <w:rPr>
                <w:rFonts w:ascii="Times New Roman" w:hAnsi="Times New Roman" w:cs="Times New Roman"/>
              </w:rPr>
            </w:pPr>
          </w:p>
        </w:tc>
      </w:tr>
      <w:tr w:rsidR="00C93FF4" w:rsidRPr="00BC3B9A" w14:paraId="1132AB32" w14:textId="77777777" w:rsidTr="00E66CEE">
        <w:tc>
          <w:tcPr>
            <w:tcW w:w="0" w:type="auto"/>
            <w:hideMark/>
          </w:tcPr>
          <w:p w14:paraId="3C56FEE8" w14:textId="510F2BA9"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5</w:t>
            </w:r>
            <w:r w:rsidRPr="002518F8">
              <w:rPr>
                <w:rFonts w:ascii="Times New Roman" w:hAnsi="Times New Roman" w:cs="Times New Roman"/>
              </w:rPr>
              <w:t>.</w:t>
            </w:r>
          </w:p>
        </w:tc>
        <w:tc>
          <w:tcPr>
            <w:tcW w:w="0" w:type="auto"/>
            <w:hideMark/>
          </w:tcPr>
          <w:p w14:paraId="707DE551" w14:textId="0D66C3E8"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Mėginio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padavimo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būdas</w:t>
            </w:r>
            <w:proofErr w:type="spellEnd"/>
            <w:r w:rsidR="006D0B98">
              <w:rPr>
                <w:rFonts w:ascii="Times New Roman" w:hAnsi="Times New Roman" w:cs="Times New Roman"/>
              </w:rPr>
              <w:t>*</w:t>
            </w:r>
          </w:p>
        </w:tc>
        <w:tc>
          <w:tcPr>
            <w:tcW w:w="0" w:type="auto"/>
            <w:hideMark/>
          </w:tcPr>
          <w:p w14:paraId="28D348DE" w14:textId="627C2A35" w:rsidR="00693619" w:rsidRPr="00AC33A8" w:rsidRDefault="00693619" w:rsidP="00EC5966">
            <w:pPr>
              <w:jc w:val="both"/>
              <w:rPr>
                <w:rFonts w:ascii="Times New Roman" w:hAnsi="Times New Roman" w:cs="Times New Roman"/>
                <w:lang w:val="es-ES"/>
              </w:rPr>
            </w:pPr>
            <w:r w:rsidRPr="00AC33A8">
              <w:rPr>
                <w:rFonts w:ascii="Times New Roman" w:hAnsi="Times New Roman" w:cs="Times New Roman"/>
                <w:lang w:val="es-ES"/>
              </w:rPr>
              <w:t xml:space="preserve">Sistema </w:t>
            </w:r>
            <w:proofErr w:type="spellStart"/>
            <w:r w:rsidRPr="00AC33A8">
              <w:rPr>
                <w:rFonts w:ascii="Times New Roman" w:hAnsi="Times New Roman" w:cs="Times New Roman"/>
                <w:lang w:val="es-ES"/>
              </w:rPr>
              <w:t>turi</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turėti</w:t>
            </w:r>
            <w:proofErr w:type="spellEnd"/>
            <w:r w:rsidRPr="00AC33A8">
              <w:rPr>
                <w:rFonts w:ascii="Times New Roman" w:hAnsi="Times New Roman" w:cs="Times New Roman"/>
                <w:lang w:val="es-ES"/>
              </w:rPr>
              <w:t xml:space="preserve"> </w:t>
            </w:r>
            <w:proofErr w:type="spellStart"/>
            <w:proofErr w:type="gramStart"/>
            <w:r w:rsidRPr="00AC33A8">
              <w:rPr>
                <w:rFonts w:ascii="Times New Roman" w:hAnsi="Times New Roman" w:cs="Times New Roman"/>
                <w:lang w:val="es-ES"/>
              </w:rPr>
              <w:t>statinį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arba</w:t>
            </w:r>
            <w:proofErr w:type="spellEnd"/>
            <w:proofErr w:type="gram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srautinį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mėginio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matavimo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režimą</w:t>
            </w:r>
            <w:proofErr w:type="spellEnd"/>
            <w:r w:rsidR="00ED0CCD" w:rsidRPr="00AC33A8">
              <w:rPr>
                <w:rFonts w:ascii="Times New Roman" w:hAnsi="Times New Roman" w:cs="Times New Roman"/>
                <w:lang w:val="es-ES"/>
              </w:rPr>
              <w:t xml:space="preserve">. </w:t>
            </w:r>
          </w:p>
        </w:tc>
        <w:tc>
          <w:tcPr>
            <w:tcW w:w="3994" w:type="dxa"/>
            <w:hideMark/>
          </w:tcPr>
          <w:p w14:paraId="4C9F2A9D" w14:textId="7113890B" w:rsidR="00693619" w:rsidRPr="00AC33A8" w:rsidRDefault="00693619" w:rsidP="002518F8">
            <w:pPr>
              <w:rPr>
                <w:rFonts w:ascii="Times New Roman" w:hAnsi="Times New Roman" w:cs="Times New Roman"/>
                <w:lang w:val="es-ES"/>
              </w:rPr>
            </w:pPr>
          </w:p>
        </w:tc>
      </w:tr>
      <w:tr w:rsidR="00C93FF4" w:rsidRPr="00787D70" w14:paraId="717320DD" w14:textId="77777777" w:rsidTr="00E66CEE">
        <w:tc>
          <w:tcPr>
            <w:tcW w:w="0" w:type="auto"/>
            <w:hideMark/>
          </w:tcPr>
          <w:p w14:paraId="5FDE4EB1" w14:textId="1D90F76E"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6</w:t>
            </w:r>
            <w:r w:rsidRPr="002518F8">
              <w:rPr>
                <w:rFonts w:ascii="Times New Roman" w:hAnsi="Times New Roman" w:cs="Times New Roman"/>
              </w:rPr>
              <w:t>.</w:t>
            </w:r>
          </w:p>
        </w:tc>
        <w:tc>
          <w:tcPr>
            <w:tcW w:w="0" w:type="auto"/>
            <w:hideMark/>
          </w:tcPr>
          <w:p w14:paraId="6E7DB89C"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Komplektacija</w:t>
            </w:r>
            <w:proofErr w:type="spellEnd"/>
          </w:p>
        </w:tc>
        <w:tc>
          <w:tcPr>
            <w:tcW w:w="0" w:type="auto"/>
            <w:hideMark/>
          </w:tcPr>
          <w:p w14:paraId="6820307B" w14:textId="10464079"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00470F3B">
              <w:rPr>
                <w:rFonts w:ascii="Times New Roman" w:hAnsi="Times New Roman" w:cs="Times New Roman"/>
              </w:rPr>
              <w:t xml:space="preserve"> ne </w:t>
            </w:r>
            <w:proofErr w:type="spellStart"/>
            <w:r w:rsidR="00470F3B">
              <w:rPr>
                <w:rFonts w:ascii="Times New Roman" w:hAnsi="Times New Roman" w:cs="Times New Roman"/>
              </w:rPr>
              <w:t>mažiau</w:t>
            </w:r>
            <w:proofErr w:type="spellEnd"/>
            <w:r w:rsidR="00470F3B">
              <w:rPr>
                <w:rFonts w:ascii="Times New Roman" w:hAnsi="Times New Roman" w:cs="Times New Roman"/>
              </w:rPr>
              <w:t xml:space="preserve"> </w:t>
            </w:r>
            <w:proofErr w:type="spellStart"/>
            <w:r w:rsidR="00470F3B">
              <w:rPr>
                <w:rFonts w:ascii="Times New Roman" w:hAnsi="Times New Roman" w:cs="Times New Roman"/>
              </w:rPr>
              <w:t>kaip</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pagrindinis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prietaisas</w:t>
            </w:r>
            <w:proofErr w:type="spellEnd"/>
            <w:r w:rsidRPr="00EC5966">
              <w:rPr>
                <w:rFonts w:ascii="Times New Roman" w:hAnsi="Times New Roman" w:cs="Times New Roman"/>
              </w:rPr>
              <w:t xml:space="preserve">, </w:t>
            </w:r>
            <w:proofErr w:type="spellStart"/>
            <w:r w:rsidR="00AF563A">
              <w:rPr>
                <w:rFonts w:ascii="Times New Roman" w:hAnsi="Times New Roman" w:cs="Times New Roman"/>
              </w:rPr>
              <w:t>fluorescencijos</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sužadinimo</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šaltinis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priedas</w:t>
            </w:r>
            <w:proofErr w:type="spellEnd"/>
            <w:r w:rsidRPr="002518F8">
              <w:rPr>
                <w:rFonts w:ascii="Times New Roman" w:hAnsi="Times New Roman" w:cs="Times New Roman"/>
              </w:rPr>
              <w:t xml:space="preserve"> / </w:t>
            </w:r>
            <w:proofErr w:type="spellStart"/>
            <w:r w:rsidRPr="002518F8">
              <w:rPr>
                <w:rFonts w:ascii="Times New Roman" w:hAnsi="Times New Roman" w:cs="Times New Roman"/>
              </w:rPr>
              <w:t>filtravimo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rinkinys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licencija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visi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standartinei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eksploatacijai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būtini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kabeliai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laikikliai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jungtys</w:t>
            </w:r>
            <w:proofErr w:type="spellEnd"/>
          </w:p>
        </w:tc>
        <w:tc>
          <w:tcPr>
            <w:tcW w:w="3994" w:type="dxa"/>
            <w:hideMark/>
          </w:tcPr>
          <w:p w14:paraId="51665020" w14:textId="77777777" w:rsidR="00C013D9" w:rsidRDefault="00C013D9" w:rsidP="00C013D9">
            <w:pPr>
              <w:jc w:val="both"/>
              <w:rPr>
                <w:rFonts w:ascii="Times New Roman" w:eastAsia="MS Mincho" w:hAnsi="Times New Roman" w:cs="Times New Roman"/>
                <w:b/>
                <w:bCs/>
                <w:kern w:val="0"/>
                <w:lang w:val="lt-LT"/>
                <w14:ligatures w14:val="none"/>
              </w:rPr>
            </w:pPr>
          </w:p>
          <w:p w14:paraId="35F0C99B" w14:textId="28B8D32C" w:rsidR="00693619" w:rsidRPr="007B3351" w:rsidRDefault="00693619" w:rsidP="007B3351">
            <w:pPr>
              <w:jc w:val="both"/>
              <w:rPr>
                <w:rFonts w:ascii="Times New Roman" w:hAnsi="Times New Roman" w:cs="Times New Roman"/>
                <w:lang w:val="lt-LT"/>
              </w:rPr>
            </w:pPr>
          </w:p>
        </w:tc>
      </w:tr>
      <w:tr w:rsidR="00C93FF4" w:rsidRPr="00BE5AF8" w14:paraId="298F1198" w14:textId="77777777" w:rsidTr="00E66CEE">
        <w:tc>
          <w:tcPr>
            <w:tcW w:w="0" w:type="auto"/>
            <w:hideMark/>
          </w:tcPr>
          <w:p w14:paraId="29378463" w14:textId="18B1BB6D" w:rsidR="00693619" w:rsidRPr="002518F8" w:rsidRDefault="00EA0479" w:rsidP="002518F8">
            <w:pPr>
              <w:rPr>
                <w:rFonts w:ascii="Times New Roman" w:hAnsi="Times New Roman" w:cs="Times New Roman"/>
              </w:rPr>
            </w:pPr>
            <w:r>
              <w:rPr>
                <w:rFonts w:ascii="Times New Roman" w:hAnsi="Times New Roman" w:cs="Times New Roman"/>
              </w:rPr>
              <w:t>17</w:t>
            </w:r>
            <w:r w:rsidR="00693619" w:rsidRPr="002518F8">
              <w:rPr>
                <w:rFonts w:ascii="Times New Roman" w:hAnsi="Times New Roman" w:cs="Times New Roman"/>
              </w:rPr>
              <w:t>.</w:t>
            </w:r>
          </w:p>
        </w:tc>
        <w:tc>
          <w:tcPr>
            <w:tcW w:w="0" w:type="auto"/>
            <w:hideMark/>
          </w:tcPr>
          <w:p w14:paraId="51DE8D40"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Garantija</w:t>
            </w:r>
            <w:proofErr w:type="spellEnd"/>
          </w:p>
        </w:tc>
        <w:tc>
          <w:tcPr>
            <w:tcW w:w="0" w:type="auto"/>
            <w:hideMark/>
          </w:tcPr>
          <w:p w14:paraId="61DDAE6F" w14:textId="64916270" w:rsidR="00693619" w:rsidRPr="008113DD" w:rsidRDefault="00693619" w:rsidP="00EC5966">
            <w:pPr>
              <w:jc w:val="both"/>
              <w:rPr>
                <w:rFonts w:ascii="Times New Roman" w:hAnsi="Times New Roman" w:cs="Times New Roman"/>
              </w:rPr>
            </w:pPr>
            <w:r w:rsidRPr="008113DD">
              <w:rPr>
                <w:rFonts w:ascii="Times New Roman" w:hAnsi="Times New Roman" w:cs="Times New Roman"/>
              </w:rPr>
              <w:t xml:space="preserve">Ne </w:t>
            </w:r>
            <w:proofErr w:type="spellStart"/>
            <w:r w:rsidRPr="008113DD">
              <w:rPr>
                <w:rFonts w:ascii="Times New Roman" w:hAnsi="Times New Roman" w:cs="Times New Roman"/>
              </w:rPr>
              <w:t>mažiau</w:t>
            </w:r>
            <w:proofErr w:type="spellEnd"/>
            <w:r w:rsidRPr="008113DD">
              <w:rPr>
                <w:rFonts w:ascii="Times New Roman" w:hAnsi="Times New Roman" w:cs="Times New Roman"/>
              </w:rPr>
              <w:t xml:space="preserve"> </w:t>
            </w:r>
            <w:proofErr w:type="spellStart"/>
            <w:r w:rsidRPr="008113DD">
              <w:rPr>
                <w:rFonts w:ascii="Times New Roman" w:hAnsi="Times New Roman" w:cs="Times New Roman"/>
              </w:rPr>
              <w:t>kaip</w:t>
            </w:r>
            <w:proofErr w:type="spellEnd"/>
            <w:r w:rsidRPr="008113DD">
              <w:rPr>
                <w:rFonts w:ascii="Times New Roman" w:hAnsi="Times New Roman" w:cs="Times New Roman"/>
              </w:rPr>
              <w:t xml:space="preserve"> 12 </w:t>
            </w:r>
            <w:proofErr w:type="spellStart"/>
            <w:r w:rsidRPr="008113DD">
              <w:rPr>
                <w:rFonts w:ascii="Times New Roman" w:hAnsi="Times New Roman" w:cs="Times New Roman"/>
              </w:rPr>
              <w:t>mėn</w:t>
            </w:r>
            <w:proofErr w:type="spellEnd"/>
            <w:r w:rsidRPr="008113DD">
              <w:rPr>
                <w:rFonts w:ascii="Times New Roman" w:hAnsi="Times New Roman" w:cs="Times New Roman"/>
              </w:rPr>
              <w:t>.</w:t>
            </w:r>
          </w:p>
        </w:tc>
        <w:tc>
          <w:tcPr>
            <w:tcW w:w="3994" w:type="dxa"/>
            <w:hideMark/>
          </w:tcPr>
          <w:p w14:paraId="0C01BDBC" w14:textId="77777777" w:rsidR="00E66CEE" w:rsidRDefault="00E66CEE" w:rsidP="00E66CEE">
            <w:pPr>
              <w:jc w:val="both"/>
              <w:rPr>
                <w:rFonts w:ascii="Times New Roman" w:hAnsi="Times New Roman" w:cs="Times New Roman"/>
              </w:rPr>
            </w:pPr>
          </w:p>
          <w:p w14:paraId="6A7702EE" w14:textId="77777777" w:rsidR="00334E48" w:rsidRDefault="00334E48" w:rsidP="007B3351">
            <w:pPr>
              <w:jc w:val="both"/>
              <w:rPr>
                <w:rFonts w:ascii="Times New Roman" w:hAnsi="Times New Roman" w:cs="Times New Roman"/>
              </w:rPr>
            </w:pPr>
          </w:p>
          <w:p w14:paraId="1079BE88" w14:textId="0AB6A389" w:rsidR="00693619" w:rsidRPr="002518F8" w:rsidRDefault="00E66CEE" w:rsidP="00E66CEE">
            <w:pPr>
              <w:jc w:val="both"/>
              <w:rPr>
                <w:rFonts w:ascii="Times New Roman" w:hAnsi="Times New Roman" w:cs="Times New Roman"/>
              </w:rPr>
            </w:pPr>
            <w:proofErr w:type="spellStart"/>
            <w:r w:rsidRPr="00AC33A8">
              <w:rPr>
                <w:rFonts w:ascii="Times New Roman" w:hAnsi="Times New Roman" w:cs="Times New Roman"/>
                <w:b/>
                <w:bCs/>
              </w:rPr>
              <w:t>Pastaba</w:t>
            </w:r>
            <w:proofErr w:type="spellEnd"/>
            <w:r w:rsidRPr="00AC33A8">
              <w:rPr>
                <w:rFonts w:ascii="Times New Roman" w:hAnsi="Times New Roman" w:cs="Times New Roman"/>
                <w:b/>
                <w:bCs/>
              </w:rPr>
              <w:t>:</w:t>
            </w:r>
            <w:r w:rsidRPr="00AC33A8">
              <w:rPr>
                <w:rFonts w:ascii="Times New Roman" w:hAnsi="Times New Roman" w:cs="Times New Roman"/>
              </w:rPr>
              <w:t xml:space="preserve"> </w:t>
            </w:r>
            <w:proofErr w:type="spellStart"/>
            <w:r w:rsidRPr="00AC33A8">
              <w:rPr>
                <w:rFonts w:ascii="Times New Roman" w:hAnsi="Times New Roman" w:cs="Times New Roman"/>
              </w:rPr>
              <w:t>šio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atitiktį</w:t>
            </w:r>
            <w:proofErr w:type="spellEnd"/>
            <w:r w:rsidRPr="00AC33A8">
              <w:rPr>
                <w:rFonts w:ascii="Times New Roman" w:hAnsi="Times New Roman" w:cs="Times New Roman"/>
              </w:rPr>
              <w:t xml:space="preserve"> </w:t>
            </w:r>
            <w:proofErr w:type="spellStart"/>
            <w:r w:rsidR="00C013D9" w:rsidRPr="00AC33A8">
              <w:rPr>
                <w:rFonts w:ascii="Times New Roman" w:hAnsi="Times New Roman" w:cs="Times New Roman"/>
              </w:rPr>
              <w:t>pagrindžiančių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dokumentų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nereikia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pateikti</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pakanka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kad</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tiekėjas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užpildys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šį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techninės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specifikacijos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reikalavimą</w:t>
            </w:r>
            <w:proofErr w:type="spellEnd"/>
            <w:r w:rsidRPr="00AC33A8">
              <w:rPr>
                <w:rFonts w:ascii="Times New Roman" w:hAnsi="Times New Roman" w:cs="Times New Roman"/>
              </w:rPr>
              <w:t>.</w:t>
            </w:r>
          </w:p>
        </w:tc>
      </w:tr>
    </w:tbl>
    <w:p w14:paraId="2059EF89" w14:textId="77777777" w:rsidR="002518F8" w:rsidRPr="00233C8D" w:rsidRDefault="002518F8" w:rsidP="00693619">
      <w:pPr>
        <w:pStyle w:val="ListParagraph"/>
      </w:pPr>
    </w:p>
    <w:p w14:paraId="2BB91106" w14:textId="5DB85C49" w:rsidR="00B54505" w:rsidRPr="00160E50" w:rsidRDefault="00B54505" w:rsidP="00EA1500">
      <w:pPr>
        <w:spacing w:after="0" w:line="240" w:lineRule="auto"/>
        <w:ind w:firstLine="709"/>
        <w:jc w:val="both"/>
        <w:rPr>
          <w:rFonts w:ascii="Times New Roman" w:eastAsia="Calibri" w:hAnsi="Times New Roman" w:cs="Times New Roman"/>
          <w:b/>
          <w:bCs/>
          <w:i/>
          <w:iCs/>
          <w:kern w:val="0"/>
          <w:lang w:val="lt-LT"/>
          <w14:ligatures w14:val="none"/>
        </w:rPr>
      </w:pPr>
      <w:r w:rsidRPr="00160E50">
        <w:rPr>
          <w:rFonts w:ascii="Times New Roman" w:eastAsia="Calibri" w:hAnsi="Times New Roman" w:cs="Times New Roman"/>
          <w:b/>
          <w:bCs/>
          <w:i/>
          <w:iCs/>
          <w:kern w:val="0"/>
          <w:lang w:val="lt-LT"/>
          <w14:ligatures w14:val="none"/>
        </w:rPr>
        <w:t>Pastabos:</w:t>
      </w:r>
    </w:p>
    <w:p w14:paraId="75CED736" w14:textId="4BE364A7" w:rsidR="00B54505" w:rsidRPr="00B54505" w:rsidRDefault="00B54505" w:rsidP="00EA1500">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sidR="00D15731">
        <w:rPr>
          <w:rFonts w:ascii="Times New Roman" w:eastAsia="Calibri" w:hAnsi="Times New Roman" w:cs="Times New Roman"/>
          <w:i/>
          <w:iCs/>
          <w:kern w:val="0"/>
          <w:lang w:val="lt-LT"/>
          <w14:ligatures w14:val="none"/>
        </w:rPr>
        <w:t>2</w:t>
      </w:r>
      <w:r w:rsidR="00D15731" w:rsidRPr="00B54505">
        <w:rPr>
          <w:rFonts w:ascii="Times New Roman" w:eastAsia="Calibri" w:hAnsi="Times New Roman" w:cs="Times New Roman"/>
          <w:i/>
          <w:iCs/>
          <w:kern w:val="0"/>
          <w:lang w:val="lt-LT"/>
          <w14:ligatures w14:val="none"/>
        </w:rPr>
        <w:t xml:space="preserve"> </w:t>
      </w:r>
      <w:r w:rsidRPr="00B54505">
        <w:rPr>
          <w:rFonts w:ascii="Times New Roman" w:eastAsia="Calibri" w:hAnsi="Times New Roman" w:cs="Times New Roman"/>
          <w:i/>
          <w:iCs/>
          <w:kern w:val="0"/>
          <w:lang w:val="lt-LT"/>
          <w14:ligatures w14:val="none"/>
        </w:rPr>
        <w:t>proc.</w:t>
      </w:r>
    </w:p>
    <w:p w14:paraId="716EE22A" w14:textId="77777777" w:rsidR="00CC4264" w:rsidRPr="00CD2F2C" w:rsidRDefault="00CC4264" w:rsidP="00CD2F2C">
      <w:pPr>
        <w:pStyle w:val="ListParagraph"/>
        <w:spacing w:line="240" w:lineRule="auto"/>
        <w:rPr>
          <w:rFonts w:ascii="Times New Roman" w:hAnsi="Times New Roman" w:cs="Times New Roman"/>
          <w:lang w:val="lt-LT"/>
        </w:rPr>
      </w:pPr>
    </w:p>
    <w:p w14:paraId="4AE3A42E" w14:textId="7D984332" w:rsidR="005B1B15" w:rsidRPr="00160E50" w:rsidRDefault="005B1B15" w:rsidP="00CD2F2C">
      <w:pPr>
        <w:spacing w:line="240" w:lineRule="auto"/>
        <w:jc w:val="both"/>
        <w:rPr>
          <w:rFonts w:ascii="Times New Roman" w:hAnsi="Times New Roman" w:cs="Times New Roman"/>
          <w:u w:val="single"/>
          <w:lang w:val="lt-LT"/>
        </w:rPr>
      </w:pPr>
      <w:bookmarkStart w:id="0" w:name="x_x_x_x__Hlk158296136"/>
      <w:r w:rsidRPr="00160E50">
        <w:rPr>
          <w:rFonts w:ascii="Times New Roman" w:hAnsi="Times New Roman" w:cs="Times New Roman"/>
          <w:b/>
          <w:bCs/>
          <w:u w:val="single"/>
          <w:lang w:val="lt-LT"/>
        </w:rPr>
        <w:t>K</w:t>
      </w:r>
      <w:bookmarkEnd w:id="0"/>
      <w:r w:rsidRPr="00160E50">
        <w:rPr>
          <w:rFonts w:ascii="Times New Roman" w:hAnsi="Times New Roman" w:cs="Times New Roman"/>
          <w:b/>
          <w:bCs/>
          <w:u w:val="single"/>
          <w:lang w:val="lt-LT"/>
        </w:rPr>
        <w:t>ita informacija:</w:t>
      </w:r>
    </w:p>
    <w:p w14:paraId="5597BC38" w14:textId="77777777" w:rsidR="00CD2F2C" w:rsidRDefault="005B1B15" w:rsidP="00CD2F2C">
      <w:pPr>
        <w:spacing w:line="240" w:lineRule="auto"/>
        <w:jc w:val="both"/>
        <w:rPr>
          <w:rFonts w:ascii="Times New Roman" w:hAnsi="Times New Roman" w:cs="Times New Roman"/>
          <w:b/>
          <w:bCs/>
          <w:lang w:val="lt-LT"/>
        </w:rPr>
      </w:pPr>
      <w:r w:rsidRPr="00CD2F2C">
        <w:rPr>
          <w:rFonts w:ascii="Times New Roman" w:hAnsi="Times New Roman" w:cs="Times New Roman"/>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CD2F2C">
        <w:rPr>
          <w:rFonts w:ascii="Times New Roman" w:hAnsi="Times New Roman" w:cs="Times New Roman"/>
          <w:b/>
          <w:bCs/>
          <w:lang w:val="lt-LT"/>
        </w:rPr>
        <w:t>Pirkėjas šio reikalavimo atitiktį vertins prekių pristatymo metu.</w:t>
      </w:r>
    </w:p>
    <w:p w14:paraId="38BEB90E" w14:textId="3D276F99" w:rsidR="005B1B15" w:rsidRPr="00CD2F2C" w:rsidRDefault="005B1B15" w:rsidP="00CD2F2C">
      <w:pPr>
        <w:spacing w:line="240" w:lineRule="auto"/>
        <w:jc w:val="both"/>
        <w:rPr>
          <w:rFonts w:ascii="Times New Roman" w:hAnsi="Times New Roman" w:cs="Times New Roman"/>
          <w:lang w:val="lt-LT"/>
        </w:rPr>
      </w:pPr>
      <w:r w:rsidRPr="00CD2F2C">
        <w:rPr>
          <w:rFonts w:ascii="Times New Roman" w:hAnsi="Times New Roman" w:cs="Times New Roman"/>
          <w:b/>
          <w:bCs/>
          <w:u w:val="single"/>
          <w:lang w:val="lt-LT"/>
        </w:rPr>
        <w:t>Tiekėjas Sutarties vykdymo metu kartu su pristatomomis prekėmis privalo pateikti</w:t>
      </w:r>
      <w:r w:rsidR="00D866D4">
        <w:rPr>
          <w:rFonts w:ascii="Times New Roman" w:hAnsi="Times New Roman" w:cs="Times New Roman"/>
          <w:b/>
          <w:bCs/>
          <w:u w:val="single"/>
          <w:lang w:val="lt-LT"/>
        </w:rPr>
        <w:t>:</w:t>
      </w:r>
      <w:r w:rsidRPr="00CD2F2C">
        <w:rPr>
          <w:rFonts w:ascii="Times New Roman" w:hAnsi="Times New Roman" w:cs="Times New Roman"/>
          <w:b/>
          <w:bCs/>
          <w:u w:val="single"/>
          <w:lang w:val="lt-LT"/>
        </w:rPr>
        <w:t xml:space="preserve"> </w:t>
      </w:r>
      <w:r w:rsidR="00D6490C" w:rsidRPr="00160E50">
        <w:rPr>
          <w:rFonts w:ascii="Times New Roman" w:hAnsi="Times New Roman" w:cs="Times New Roman"/>
          <w:lang w:val="lt-LT"/>
        </w:rPr>
        <w:t xml:space="preserve">CE sertifikato, išduoto paskelbtosios (notifikuotos) įstaigos ir/arba ES atitikties (2009/125/EB ir/arba 2011/65/ES Direktyvoms) deklaracijos, arba gamintojo parengtos deklaracijos kopiją (pateikiama tai, kas taikoma </w:t>
      </w:r>
      <w:r w:rsidR="0077194E">
        <w:rPr>
          <w:rFonts w:ascii="Times New Roman" w:hAnsi="Times New Roman" w:cs="Times New Roman"/>
          <w:lang w:val="lt-LT"/>
        </w:rPr>
        <w:t>p</w:t>
      </w:r>
      <w:r w:rsidR="0077194E" w:rsidRPr="00160E50">
        <w:rPr>
          <w:rFonts w:ascii="Times New Roman" w:hAnsi="Times New Roman" w:cs="Times New Roman"/>
          <w:lang w:val="lt-LT"/>
        </w:rPr>
        <w:t xml:space="preserve">rekėms </w:t>
      </w:r>
      <w:r w:rsidR="00D6490C" w:rsidRPr="00160E50">
        <w:rPr>
          <w:rFonts w:ascii="Times New Roman" w:hAnsi="Times New Roman" w:cs="Times New Roman"/>
          <w:lang w:val="lt-LT"/>
        </w:rPr>
        <w:t>pagal teisės aktų reikalavimus)</w:t>
      </w:r>
      <w:r w:rsidRPr="00CD2F2C">
        <w:rPr>
          <w:rFonts w:ascii="Times New Roman" w:hAnsi="Times New Roman" w:cs="Times New Roman"/>
          <w:lang w:val="lt-LT"/>
        </w:rPr>
        <w:t>.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0A8284E9" w14:textId="3DF1B180" w:rsidR="005B1B15" w:rsidRPr="00CD2F2C" w:rsidRDefault="005B1B15" w:rsidP="00CD2F2C">
      <w:pPr>
        <w:spacing w:line="240" w:lineRule="auto"/>
        <w:jc w:val="both"/>
        <w:rPr>
          <w:rFonts w:ascii="Times New Roman" w:hAnsi="Times New Roman" w:cs="Times New Roman"/>
          <w:lang w:val="lt-LT"/>
        </w:rPr>
      </w:pPr>
      <w:r w:rsidRPr="00CD2F2C">
        <w:rPr>
          <w:rFonts w:ascii="Times New Roman" w:hAnsi="Times New Roman" w:cs="Times New Roman"/>
          <w:lang w:val="lt-LT"/>
        </w:rPr>
        <w:lastRenderedPageBreak/>
        <w:t>Jei prekėms pagal Europos Sąjungos teisės aktų reikalavimus nėra privalomas CE ženklinimas – </w:t>
      </w:r>
      <w:r w:rsidRPr="00CD2F2C">
        <w:rPr>
          <w:rFonts w:ascii="Times New Roman" w:hAnsi="Times New Roman" w:cs="Times New Roman"/>
          <w:b/>
          <w:bCs/>
          <w:lang w:val="lt-LT"/>
        </w:rPr>
        <w:t>Tiekėjas laisva rašytine forma turi pagrįsti, kad prekių neprivaloma ženklinti CE ženklu pagal teisės aktų reikalavimus.</w:t>
      </w:r>
    </w:p>
    <w:p w14:paraId="4C31A274" w14:textId="77777777" w:rsidR="005B1B15" w:rsidRPr="00CD2F2C" w:rsidRDefault="005B1B15" w:rsidP="00CD2F2C">
      <w:pPr>
        <w:spacing w:line="240" w:lineRule="auto"/>
        <w:jc w:val="both"/>
        <w:rPr>
          <w:rFonts w:ascii="Times New Roman" w:hAnsi="Times New Roman" w:cs="Times New Roman"/>
          <w:lang w:val="lt-LT"/>
        </w:rPr>
      </w:pPr>
      <w:r w:rsidRPr="00CD2F2C">
        <w:rPr>
          <w:rFonts w:ascii="Times New Roman" w:hAnsi="Times New Roman" w:cs="Times New Roman"/>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CD2F2C">
        <w:rPr>
          <w:rFonts w:ascii="Times New Roman" w:hAnsi="Times New Roman" w:cs="Times New Roman"/>
          <w:b/>
          <w:bCs/>
          <w:lang w:val="lt-LT"/>
        </w:rPr>
        <w:t>nėra taikomos – tokiu atveju Tiekėjas laisva rašytine forma turi pagrįsti dėl Direktyvų netaikymo.</w:t>
      </w:r>
    </w:p>
    <w:p w14:paraId="3A884002" w14:textId="39EC6014" w:rsidR="00F6494D" w:rsidRPr="005B1B15" w:rsidRDefault="00F6494D" w:rsidP="00F36F73">
      <w:pPr>
        <w:rPr>
          <w:lang w:val="lt-LT"/>
        </w:rPr>
      </w:pPr>
    </w:p>
    <w:p w14:paraId="5B95D660" w14:textId="77777777" w:rsidR="00F171CD" w:rsidRPr="00160E50" w:rsidRDefault="00F171CD" w:rsidP="00F171CD">
      <w:pPr>
        <w:spacing w:line="240" w:lineRule="auto"/>
        <w:jc w:val="both"/>
        <w:rPr>
          <w:rFonts w:ascii="Times New Roman" w:eastAsia="Times New Roman" w:hAnsi="Times New Roman" w:cs="Times New Roman"/>
          <w:b/>
          <w:color w:val="000000"/>
          <w:u w:val="single"/>
          <w:lang w:val="lt-LT"/>
        </w:rPr>
      </w:pPr>
      <w:r w:rsidRPr="00160E50">
        <w:rPr>
          <w:rFonts w:ascii="Times New Roman" w:eastAsia="Times New Roman" w:hAnsi="Times New Roman" w:cs="Times New Roman"/>
          <w:b/>
          <w:color w:val="000000"/>
          <w:u w:val="single"/>
          <w:lang w:val="lt-LT"/>
        </w:rPr>
        <w:t>Žalieji reikalavimai:</w:t>
      </w:r>
    </w:p>
    <w:p w14:paraId="4807B729" w14:textId="77777777" w:rsidR="00137073" w:rsidRPr="00AC33A8" w:rsidRDefault="00F171CD" w:rsidP="00137073">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Taikom</w:t>
      </w:r>
      <w:r w:rsidR="00E61D4B" w:rsidRPr="00AC33A8">
        <w:rPr>
          <w:rFonts w:ascii="Times New Roman" w:eastAsia="Calibri" w:hAnsi="Times New Roman" w:cs="Times New Roman"/>
          <w:b/>
          <w:bCs/>
          <w:lang w:val="lt-LT"/>
        </w:rPr>
        <w:t>i žemiau nurodyti</w:t>
      </w:r>
      <w:r w:rsidRPr="00AC33A8">
        <w:rPr>
          <w:rFonts w:ascii="Times New Roman" w:eastAsia="Calibri" w:hAnsi="Times New Roman" w:cs="Times New Roman"/>
          <w:b/>
          <w:bCs/>
          <w:lang w:val="lt-LT"/>
        </w:rPr>
        <w:t xml:space="preserve"> Lietuvos Respublikos aplinkos ministro 2011 m. birželio 28 d. įsakymu Nr. D1-508 „Dėl aplinkos apsaugos kriterijų taikymo, vykdant žaliuosius pirkimus, tvarkos aprašo patvirtinimo“ (aktualia redakcija)</w:t>
      </w:r>
      <w:r w:rsidR="000151F9" w:rsidRPr="00AC33A8">
        <w:rPr>
          <w:rFonts w:ascii="Times New Roman" w:eastAsia="Calibri" w:hAnsi="Times New Roman" w:cs="Times New Roman"/>
          <w:b/>
          <w:bCs/>
          <w:lang w:val="lt-LT"/>
        </w:rPr>
        <w:t xml:space="preserve"> reikala</w:t>
      </w:r>
      <w:r w:rsidR="004F7D18" w:rsidRPr="00AC33A8">
        <w:rPr>
          <w:rFonts w:ascii="Times New Roman" w:eastAsia="Calibri" w:hAnsi="Times New Roman" w:cs="Times New Roman"/>
          <w:b/>
          <w:bCs/>
          <w:lang w:val="lt-LT"/>
        </w:rPr>
        <w:t>vimai:</w:t>
      </w:r>
    </w:p>
    <w:p w14:paraId="34FEDD75" w14:textId="77777777" w:rsidR="00F171CD" w:rsidRPr="00AC33A8" w:rsidRDefault="00F171CD" w:rsidP="00F171CD">
      <w:pPr>
        <w:spacing w:after="0" w:line="276" w:lineRule="auto"/>
        <w:jc w:val="both"/>
        <w:rPr>
          <w:rFonts w:ascii="Times New Roman" w:eastAsia="Calibri" w:hAnsi="Times New Roman" w:cs="Times New Roman"/>
          <w:b/>
          <w:bCs/>
          <w:lang w:val="lt-LT"/>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F171CD" w:rsidRPr="00233C8D" w14:paraId="6BA3E7BF"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3082A6B3"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1F41E8A9"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3E8767BF"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F171CD" w:rsidRPr="00F171CD" w14:paraId="061BCFC2"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09FE70AB" w14:textId="77777777" w:rsidR="00F171CD" w:rsidRPr="00270561" w:rsidRDefault="00F171CD" w:rsidP="007C03E2">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3E5A51D9" w14:textId="77777777" w:rsidR="001D033C" w:rsidRDefault="001D033C" w:rsidP="00D60F59">
            <w:pPr>
              <w:spacing w:after="0" w:line="276" w:lineRule="auto"/>
              <w:jc w:val="both"/>
              <w:rPr>
                <w:rFonts w:ascii="Times New Roman" w:eastAsia="Calibri" w:hAnsi="Times New Roman" w:cs="Times New Roman"/>
                <w:b/>
                <w:bCs/>
                <w:lang w:val="lt-LT"/>
              </w:rPr>
            </w:pPr>
          </w:p>
          <w:p w14:paraId="2C299037" w14:textId="77777777" w:rsidR="001D033C" w:rsidRDefault="00D60F59" w:rsidP="007C03E2">
            <w:pPr>
              <w:pStyle w:val="NormalWeb"/>
              <w:spacing w:before="60" w:beforeAutospacing="0" w:after="0" w:afterAutospacing="0"/>
              <w:jc w:val="both"/>
              <w:rPr>
                <w:rFonts w:eastAsia="Calibri"/>
                <w:b/>
                <w:bCs/>
              </w:rPr>
            </w:pPr>
            <w:r w:rsidRPr="00591861">
              <w:rPr>
                <w:rFonts w:eastAsia="Calibri"/>
                <w:b/>
                <w:bCs/>
              </w:rPr>
              <w:t>4 punkto 4.4.4.2. papunktis:</w:t>
            </w:r>
          </w:p>
          <w:p w14:paraId="0135015A" w14:textId="2AE4F220" w:rsidR="00F171CD" w:rsidRPr="00270561" w:rsidRDefault="00FC7F8F" w:rsidP="007C03E2">
            <w:pPr>
              <w:pStyle w:val="NormalWeb"/>
              <w:spacing w:before="60" w:beforeAutospacing="0" w:after="0" w:afterAutospacing="0"/>
              <w:jc w:val="both"/>
              <w:rPr>
                <w:rFonts w:eastAsia="Calibri"/>
              </w:rPr>
            </w:pPr>
            <w:r w:rsidRPr="00FC7F8F">
              <w:rPr>
                <w:rFonts w:eastAsia="Calibri"/>
              </w:rPr>
              <w:t xml:space="preserve">Tiekėjas įsipareigoja parengti mokymus pirkimo vykdytojo darbuotojams, kuriuose būtų aptarti </w:t>
            </w:r>
            <w:r w:rsidRPr="005B7EAB">
              <w:rPr>
                <w:rFonts w:eastAsia="Calibri"/>
                <w:b/>
                <w:bCs/>
              </w:rPr>
              <w:t>įrangos elektros energijos</w:t>
            </w:r>
            <w:r w:rsidRPr="00FC7F8F">
              <w:rPr>
                <w:rFonts w:eastAsia="Calibri"/>
              </w:rPr>
              <w:t xml:space="preserve"> vartojimo efektyvumo didinimo aspektai (parametrų reguliavimas, tikslinimas, režimų </w:t>
            </w:r>
            <w:r w:rsidRPr="00F36BDF">
              <w:rPr>
                <w:rFonts w:eastAsia="Calibri"/>
              </w:rPr>
              <w:t xml:space="preserve">pasirinkimas ir kt.). Tiekėjas įsipareigoja apmokyti ne mažiau kaip </w:t>
            </w:r>
            <w:r w:rsidR="00B401D2" w:rsidRPr="00F36BDF">
              <w:rPr>
                <w:rFonts w:eastAsia="Calibri"/>
              </w:rPr>
              <w:t>3</w:t>
            </w:r>
            <w:r w:rsidRPr="00F36BDF">
              <w:rPr>
                <w:rFonts w:eastAsia="Calibri"/>
              </w:rPr>
              <w:t xml:space="preserve"> </w:t>
            </w:r>
            <w:r w:rsidR="00F36BDF" w:rsidRPr="00F36BDF">
              <w:rPr>
                <w:rFonts w:eastAsia="Calibri"/>
              </w:rPr>
              <w:t xml:space="preserve">pirkėjo </w:t>
            </w:r>
            <w:r w:rsidRPr="00F36BDF">
              <w:rPr>
                <w:rFonts w:eastAsia="Calibri"/>
              </w:rPr>
              <w:t xml:space="preserve">specialistus, ne trumpiau  kaip </w:t>
            </w:r>
            <w:r w:rsidR="00B401D2" w:rsidRPr="00F36BDF">
              <w:rPr>
                <w:rFonts w:eastAsia="Calibri"/>
              </w:rPr>
              <w:t xml:space="preserve">4 </w:t>
            </w:r>
            <w:r w:rsidRPr="00F36BDF">
              <w:rPr>
                <w:rFonts w:eastAsia="Calibri"/>
              </w:rPr>
              <w:t>valand</w:t>
            </w:r>
            <w:r w:rsidR="00B401D2" w:rsidRPr="00F36BDF">
              <w:rPr>
                <w:rFonts w:eastAsia="Calibri"/>
              </w:rPr>
              <w:t>as</w:t>
            </w:r>
            <w:r w:rsidRPr="00F36BDF">
              <w:rPr>
                <w:rFonts w:eastAsia="Calibri"/>
              </w:rPr>
              <w:t>.</w:t>
            </w:r>
          </w:p>
        </w:tc>
        <w:tc>
          <w:tcPr>
            <w:tcW w:w="3520" w:type="dxa"/>
            <w:tcBorders>
              <w:top w:val="single" w:sz="4" w:space="0" w:color="auto"/>
              <w:left w:val="single" w:sz="4" w:space="0" w:color="auto"/>
              <w:bottom w:val="single" w:sz="4" w:space="0" w:color="auto"/>
              <w:right w:val="single" w:sz="4" w:space="0" w:color="auto"/>
            </w:tcBorders>
            <w:vAlign w:val="center"/>
          </w:tcPr>
          <w:p w14:paraId="69819A22" w14:textId="77777777" w:rsidR="00F171CD" w:rsidRPr="00270561" w:rsidRDefault="00F171CD" w:rsidP="007C03E2">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2C02EC49" w14:textId="77777777" w:rsidR="00F171CD" w:rsidRPr="00270561" w:rsidRDefault="00F171CD" w:rsidP="007C03E2">
            <w:pPr>
              <w:pStyle w:val="NormalWeb"/>
              <w:spacing w:before="0" w:beforeAutospacing="0" w:after="0" w:afterAutospacing="0" w:line="240" w:lineRule="atLeast"/>
              <w:rPr>
                <w:rFonts w:eastAsia="Calibri"/>
              </w:rPr>
            </w:pPr>
          </w:p>
          <w:p w14:paraId="072F7AF9" w14:textId="77777777" w:rsidR="00F171CD" w:rsidRPr="00270561" w:rsidRDefault="00F171CD"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38D5CC0" w14:textId="77777777" w:rsidR="00F171CD" w:rsidRDefault="00F171CD"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212C17BB" w14:textId="77777777" w:rsidR="00F171CD" w:rsidRDefault="00F171CD" w:rsidP="007C03E2">
            <w:pPr>
              <w:pStyle w:val="NormalWeb"/>
              <w:spacing w:before="0" w:beforeAutospacing="0" w:after="0" w:afterAutospacing="0" w:line="240" w:lineRule="atLeast"/>
              <w:jc w:val="center"/>
              <w:rPr>
                <w:rFonts w:eastAsia="Calibri"/>
              </w:rPr>
            </w:pPr>
          </w:p>
          <w:p w14:paraId="1CD72E66" w14:textId="77777777" w:rsidR="00F171CD" w:rsidRPr="0022154D" w:rsidRDefault="00F171CD" w:rsidP="00B401D2">
            <w:pPr>
              <w:pStyle w:val="NormalWeb"/>
              <w:spacing w:before="0" w:beforeAutospacing="0" w:after="0" w:afterAutospacing="0" w:line="240" w:lineRule="atLeast"/>
              <w:jc w:val="both"/>
              <w:rPr>
                <w:rFonts w:eastAsia="Calibri"/>
              </w:rPr>
            </w:pPr>
          </w:p>
        </w:tc>
      </w:tr>
      <w:tr w:rsidR="005151B6" w:rsidRPr="00F171CD" w14:paraId="6B3DFE13"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16E53460" w14:textId="4EC19E9D" w:rsidR="005151B6" w:rsidRPr="00270561" w:rsidRDefault="005151B6" w:rsidP="005151B6">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74EECBAB" w14:textId="499DE057" w:rsidR="005151B6" w:rsidRPr="00AC33A8"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4 punkto 4.4.4.4. papunktis</w:t>
            </w:r>
            <w:r w:rsidR="002B73F0">
              <w:rPr>
                <w:rFonts w:ascii="Times New Roman" w:eastAsia="Calibri" w:hAnsi="Times New Roman" w:cs="Times New Roman"/>
                <w:b/>
                <w:bCs/>
                <w:lang w:val="lt-LT"/>
              </w:rPr>
              <w:t>*</w:t>
            </w:r>
            <w:r w:rsidRPr="00AC33A8">
              <w:rPr>
                <w:rFonts w:ascii="Times New Roman" w:eastAsia="Calibri" w:hAnsi="Times New Roman" w:cs="Times New Roman"/>
                <w:b/>
                <w:bCs/>
                <w:lang w:val="lt-LT"/>
              </w:rPr>
              <w:t>:</w:t>
            </w:r>
          </w:p>
          <w:p w14:paraId="721712B3" w14:textId="06C29EE1" w:rsidR="005151B6" w:rsidRPr="005151B6"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lang w:val="lt-LT"/>
              </w:rPr>
              <w:t>perkama įranga yra ilgaamžė</w:t>
            </w:r>
            <w:r w:rsidR="00416489" w:rsidRPr="00AC33A8">
              <w:rPr>
                <w:rFonts w:ascii="Times New Roman" w:eastAsia="Calibri" w:hAnsi="Times New Roman" w:cs="Times New Roman"/>
                <w:lang w:val="lt-LT"/>
              </w:rPr>
              <w:t>,</w:t>
            </w:r>
            <w:r w:rsidRPr="00AC33A8">
              <w:rPr>
                <w:rFonts w:ascii="Times New Roman" w:eastAsia="Calibri" w:hAnsi="Times New Roman" w:cs="Times New Roman"/>
                <w:lang w:val="lt-LT"/>
              </w:rPr>
              <w:t xml:space="preserve"> t. y. tinkama naudoti daug kartų, o jos sudedamosios dalys lengvai pataisomos ir pakeičiamos</w:t>
            </w:r>
            <w:r w:rsidR="0098613A" w:rsidRPr="00AC33A8">
              <w:rPr>
                <w:rFonts w:ascii="Times New Roman" w:eastAsia="Calibri" w:hAnsi="Times New Roman" w:cs="Times New Roman"/>
                <w:lang w:val="lt-LT"/>
              </w:rPr>
              <w:t xml:space="preserve">, dėl perkamos įrangos </w:t>
            </w:r>
            <w:r w:rsidR="00DF7E85">
              <w:rPr>
                <w:rFonts w:ascii="Times New Roman" w:eastAsia="Calibri" w:hAnsi="Times New Roman" w:cs="Times New Roman"/>
                <w:b/>
                <w:bCs/>
                <w:lang w:val="lt-LT"/>
              </w:rPr>
              <w:t>9</w:t>
            </w:r>
            <w:r w:rsidR="0098613A" w:rsidRPr="00AC33A8">
              <w:rPr>
                <w:rFonts w:ascii="Times New Roman" w:eastAsia="Calibri" w:hAnsi="Times New Roman" w:cs="Times New Roman"/>
                <w:b/>
                <w:bCs/>
                <w:lang w:val="lt-LT"/>
              </w:rPr>
              <w:t xml:space="preserve">, </w:t>
            </w:r>
            <w:r w:rsidR="00DF7E85" w:rsidRPr="00AC33A8">
              <w:rPr>
                <w:rFonts w:ascii="Times New Roman" w:eastAsia="Calibri" w:hAnsi="Times New Roman" w:cs="Times New Roman"/>
                <w:b/>
                <w:bCs/>
                <w:lang w:val="lt-LT"/>
              </w:rPr>
              <w:t>1</w:t>
            </w:r>
            <w:r w:rsidR="00DF7E85">
              <w:rPr>
                <w:rFonts w:ascii="Times New Roman" w:eastAsia="Calibri" w:hAnsi="Times New Roman" w:cs="Times New Roman"/>
                <w:b/>
                <w:bCs/>
                <w:lang w:val="lt-LT"/>
              </w:rPr>
              <w:t>0</w:t>
            </w:r>
            <w:r w:rsidR="00DF7E85" w:rsidRPr="00AC33A8">
              <w:rPr>
                <w:rFonts w:ascii="Times New Roman" w:eastAsia="Calibri" w:hAnsi="Times New Roman" w:cs="Times New Roman"/>
                <w:b/>
                <w:bCs/>
                <w:lang w:val="lt-LT"/>
              </w:rPr>
              <w:t xml:space="preserve"> </w:t>
            </w:r>
            <w:r w:rsidR="0098613A" w:rsidRPr="00AC33A8">
              <w:rPr>
                <w:rFonts w:ascii="Times New Roman" w:eastAsia="Calibri" w:hAnsi="Times New Roman" w:cs="Times New Roman"/>
                <w:b/>
                <w:bCs/>
                <w:lang w:val="lt-LT"/>
              </w:rPr>
              <w:t xml:space="preserve">ir </w:t>
            </w:r>
            <w:r w:rsidR="00DF7E85" w:rsidRPr="00AC33A8">
              <w:rPr>
                <w:rFonts w:ascii="Times New Roman" w:eastAsia="Calibri" w:hAnsi="Times New Roman" w:cs="Times New Roman"/>
                <w:b/>
                <w:bCs/>
                <w:lang w:val="lt-LT"/>
              </w:rPr>
              <w:t>1</w:t>
            </w:r>
            <w:r w:rsidR="00DF7E85">
              <w:rPr>
                <w:rFonts w:ascii="Times New Roman" w:eastAsia="Calibri" w:hAnsi="Times New Roman" w:cs="Times New Roman"/>
                <w:b/>
                <w:bCs/>
                <w:lang w:val="lt-LT"/>
              </w:rPr>
              <w:t>5</w:t>
            </w:r>
            <w:r w:rsidR="00DF7E85" w:rsidRPr="00AC33A8">
              <w:rPr>
                <w:rFonts w:ascii="Times New Roman" w:eastAsia="Calibri" w:hAnsi="Times New Roman" w:cs="Times New Roman"/>
                <w:b/>
                <w:bCs/>
                <w:lang w:val="lt-LT"/>
              </w:rPr>
              <w:t xml:space="preserve"> </w:t>
            </w:r>
            <w:r w:rsidR="0098613A" w:rsidRPr="00AC33A8">
              <w:rPr>
                <w:rFonts w:ascii="Times New Roman" w:eastAsia="Calibri" w:hAnsi="Times New Roman" w:cs="Times New Roman"/>
                <w:b/>
                <w:bCs/>
                <w:lang w:val="lt-LT"/>
              </w:rPr>
              <w:t>punktų.</w:t>
            </w:r>
          </w:p>
        </w:tc>
        <w:tc>
          <w:tcPr>
            <w:tcW w:w="3520" w:type="dxa"/>
            <w:tcBorders>
              <w:top w:val="single" w:sz="4" w:space="0" w:color="auto"/>
              <w:left w:val="single" w:sz="4" w:space="0" w:color="auto"/>
              <w:bottom w:val="single" w:sz="4" w:space="0" w:color="auto"/>
              <w:right w:val="single" w:sz="4" w:space="0" w:color="auto"/>
            </w:tcBorders>
            <w:vAlign w:val="center"/>
          </w:tcPr>
          <w:p w14:paraId="67EFEAB1" w14:textId="1748C47F" w:rsidR="005151B6" w:rsidRPr="00270561" w:rsidRDefault="00843CB8" w:rsidP="005151B6">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 xml:space="preserve">agrindžiantys </w:t>
            </w:r>
            <w:r w:rsidR="005151B6" w:rsidRPr="00270561">
              <w:rPr>
                <w:rFonts w:eastAsia="Calibri"/>
              </w:rPr>
              <w:t>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 xml:space="preserve">kartu su pasiūlymu pateiktuose </w:t>
            </w:r>
            <w:r w:rsidR="00F04C1D" w:rsidRPr="00A65275">
              <w:rPr>
                <w:rFonts w:eastAsia="Calibri"/>
                <w:b/>
                <w:bCs/>
              </w:rPr>
              <w:t>pagrindžiančiuose dokumentuose</w:t>
            </w:r>
            <w:r w:rsidR="00AB7A39" w:rsidRPr="00A65275">
              <w:rPr>
                <w:rFonts w:eastAsia="Calibri"/>
                <w:b/>
                <w:bCs/>
              </w:rPr>
              <w:t>.</w:t>
            </w:r>
            <w:r w:rsidR="00F04C1D">
              <w:rPr>
                <w:rFonts w:eastAsia="Calibri"/>
              </w:rPr>
              <w:t xml:space="preserve"> </w:t>
            </w:r>
          </w:p>
          <w:p w14:paraId="7A0B76F7" w14:textId="77777777" w:rsidR="005151B6" w:rsidRPr="00270561" w:rsidRDefault="005151B6" w:rsidP="005151B6">
            <w:pPr>
              <w:pStyle w:val="NormalWeb"/>
              <w:spacing w:before="0" w:beforeAutospacing="0" w:after="0" w:afterAutospacing="0" w:line="240" w:lineRule="atLeast"/>
              <w:rPr>
                <w:rFonts w:eastAsia="Calibri"/>
              </w:rPr>
            </w:pPr>
          </w:p>
          <w:p w14:paraId="24DFECCD" w14:textId="77777777" w:rsidR="005151B6" w:rsidRPr="00270561" w:rsidRDefault="005151B6" w:rsidP="005151B6">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D8C2CBF" w14:textId="77777777" w:rsidR="005151B6" w:rsidRDefault="005151B6" w:rsidP="005151B6">
            <w:pPr>
              <w:pStyle w:val="NormalWeb"/>
              <w:spacing w:before="0" w:beforeAutospacing="0" w:after="0" w:afterAutospacing="0" w:line="240" w:lineRule="atLeast"/>
              <w:jc w:val="center"/>
              <w:rPr>
                <w:rFonts w:eastAsia="Calibri"/>
              </w:rPr>
            </w:pPr>
            <w:r w:rsidRPr="00270561">
              <w:rPr>
                <w:rFonts w:eastAsia="Calibri"/>
              </w:rPr>
              <w:t>(tinkamą pažymėti)</w:t>
            </w:r>
          </w:p>
          <w:p w14:paraId="7A355655" w14:textId="77777777" w:rsidR="005151B6" w:rsidRPr="00270561" w:rsidRDefault="005151B6" w:rsidP="005151B6">
            <w:pPr>
              <w:pStyle w:val="NormalWeb"/>
              <w:spacing w:before="0" w:beforeAutospacing="0" w:after="0" w:afterAutospacing="0" w:line="240" w:lineRule="atLeast"/>
              <w:jc w:val="both"/>
              <w:rPr>
                <w:rFonts w:eastAsia="Calibri"/>
              </w:rPr>
            </w:pPr>
          </w:p>
        </w:tc>
      </w:tr>
    </w:tbl>
    <w:p w14:paraId="0D02FEDA" w14:textId="77777777" w:rsidR="00B217F0" w:rsidRPr="00782A35" w:rsidRDefault="00B217F0">
      <w:pPr>
        <w:rPr>
          <w:lang w:val="lt-LT"/>
        </w:rPr>
      </w:pPr>
    </w:p>
    <w:sectPr w:rsidR="00B217F0" w:rsidRPr="00782A35" w:rsidSect="002518F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0079A9"/>
    <w:multiLevelType w:val="hybridMultilevel"/>
    <w:tmpl w:val="2BFE0EA6"/>
    <w:lvl w:ilvl="0" w:tplc="65585E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0786B5B"/>
    <w:multiLevelType w:val="hybridMultilevel"/>
    <w:tmpl w:val="E9FAA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0741701">
    <w:abstractNumId w:val="0"/>
  </w:num>
  <w:num w:numId="2" w16cid:durableId="2081826876">
    <w:abstractNumId w:val="1"/>
  </w:num>
  <w:num w:numId="3" w16cid:durableId="19465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19"/>
    <w:rsid w:val="00010BBC"/>
    <w:rsid w:val="00010E98"/>
    <w:rsid w:val="000151F9"/>
    <w:rsid w:val="00025923"/>
    <w:rsid w:val="000260D7"/>
    <w:rsid w:val="000411D4"/>
    <w:rsid w:val="00041581"/>
    <w:rsid w:val="00042F96"/>
    <w:rsid w:val="00057772"/>
    <w:rsid w:val="000B6F2D"/>
    <w:rsid w:val="000D1D6F"/>
    <w:rsid w:val="000D6467"/>
    <w:rsid w:val="000E351E"/>
    <w:rsid w:val="000E4FD2"/>
    <w:rsid w:val="0010523D"/>
    <w:rsid w:val="0011487C"/>
    <w:rsid w:val="0011655D"/>
    <w:rsid w:val="00116C40"/>
    <w:rsid w:val="00132651"/>
    <w:rsid w:val="00137073"/>
    <w:rsid w:val="00143AC2"/>
    <w:rsid w:val="00160E50"/>
    <w:rsid w:val="00160EB4"/>
    <w:rsid w:val="001A339E"/>
    <w:rsid w:val="001B07F6"/>
    <w:rsid w:val="001C28C2"/>
    <w:rsid w:val="001D033C"/>
    <w:rsid w:val="001F5D98"/>
    <w:rsid w:val="00216D8D"/>
    <w:rsid w:val="0022154D"/>
    <w:rsid w:val="00233C8D"/>
    <w:rsid w:val="002518F8"/>
    <w:rsid w:val="00265C0E"/>
    <w:rsid w:val="00276066"/>
    <w:rsid w:val="002867A2"/>
    <w:rsid w:val="002B73F0"/>
    <w:rsid w:val="002B7BB2"/>
    <w:rsid w:val="002C6A79"/>
    <w:rsid w:val="002D3529"/>
    <w:rsid w:val="002F3D0F"/>
    <w:rsid w:val="00304163"/>
    <w:rsid w:val="00306EB8"/>
    <w:rsid w:val="00316135"/>
    <w:rsid w:val="00334E48"/>
    <w:rsid w:val="00337F44"/>
    <w:rsid w:val="00386ECA"/>
    <w:rsid w:val="003B56FA"/>
    <w:rsid w:val="00416489"/>
    <w:rsid w:val="0043060A"/>
    <w:rsid w:val="00430DAC"/>
    <w:rsid w:val="00436316"/>
    <w:rsid w:val="00470F3B"/>
    <w:rsid w:val="0047324E"/>
    <w:rsid w:val="004B5904"/>
    <w:rsid w:val="004B7113"/>
    <w:rsid w:val="004C302B"/>
    <w:rsid w:val="004D4016"/>
    <w:rsid w:val="004E2A37"/>
    <w:rsid w:val="004F7D18"/>
    <w:rsid w:val="00500F0E"/>
    <w:rsid w:val="005151B6"/>
    <w:rsid w:val="00515D02"/>
    <w:rsid w:val="00544C4F"/>
    <w:rsid w:val="00550819"/>
    <w:rsid w:val="005518AF"/>
    <w:rsid w:val="00552660"/>
    <w:rsid w:val="00564A13"/>
    <w:rsid w:val="00591861"/>
    <w:rsid w:val="005954A6"/>
    <w:rsid w:val="005A1020"/>
    <w:rsid w:val="005A2033"/>
    <w:rsid w:val="005B1B15"/>
    <w:rsid w:val="005B3638"/>
    <w:rsid w:val="005B7EAB"/>
    <w:rsid w:val="005C161F"/>
    <w:rsid w:val="005C4AF3"/>
    <w:rsid w:val="005D3BFD"/>
    <w:rsid w:val="005F4E89"/>
    <w:rsid w:val="006017AB"/>
    <w:rsid w:val="0061147F"/>
    <w:rsid w:val="00611935"/>
    <w:rsid w:val="006371B3"/>
    <w:rsid w:val="006574E6"/>
    <w:rsid w:val="00677934"/>
    <w:rsid w:val="00677E74"/>
    <w:rsid w:val="00682383"/>
    <w:rsid w:val="00693619"/>
    <w:rsid w:val="006A44D0"/>
    <w:rsid w:val="006B71CB"/>
    <w:rsid w:val="006C5400"/>
    <w:rsid w:val="006D0B98"/>
    <w:rsid w:val="006D6C6D"/>
    <w:rsid w:val="00701618"/>
    <w:rsid w:val="00730AE8"/>
    <w:rsid w:val="007716A4"/>
    <w:rsid w:val="0077194E"/>
    <w:rsid w:val="00773502"/>
    <w:rsid w:val="00782A35"/>
    <w:rsid w:val="00787D70"/>
    <w:rsid w:val="007B3351"/>
    <w:rsid w:val="007B3717"/>
    <w:rsid w:val="007C2316"/>
    <w:rsid w:val="007E7595"/>
    <w:rsid w:val="007F4E49"/>
    <w:rsid w:val="008113DD"/>
    <w:rsid w:val="00813B1B"/>
    <w:rsid w:val="00822F61"/>
    <w:rsid w:val="00824974"/>
    <w:rsid w:val="0083101C"/>
    <w:rsid w:val="00837E16"/>
    <w:rsid w:val="00843CB8"/>
    <w:rsid w:val="00844C35"/>
    <w:rsid w:val="00847C77"/>
    <w:rsid w:val="00850366"/>
    <w:rsid w:val="008B1B5A"/>
    <w:rsid w:val="008E55E9"/>
    <w:rsid w:val="00900FED"/>
    <w:rsid w:val="00907BF5"/>
    <w:rsid w:val="009362A2"/>
    <w:rsid w:val="00943D92"/>
    <w:rsid w:val="009477FA"/>
    <w:rsid w:val="00960215"/>
    <w:rsid w:val="00980B39"/>
    <w:rsid w:val="0098613A"/>
    <w:rsid w:val="009A39F3"/>
    <w:rsid w:val="00A01110"/>
    <w:rsid w:val="00A21ABC"/>
    <w:rsid w:val="00A26D03"/>
    <w:rsid w:val="00A5741F"/>
    <w:rsid w:val="00A57988"/>
    <w:rsid w:val="00A65275"/>
    <w:rsid w:val="00A6758C"/>
    <w:rsid w:val="00A92DFF"/>
    <w:rsid w:val="00AA3CF5"/>
    <w:rsid w:val="00AB2D47"/>
    <w:rsid w:val="00AB7A39"/>
    <w:rsid w:val="00AC11AC"/>
    <w:rsid w:val="00AC33A8"/>
    <w:rsid w:val="00AC7EBD"/>
    <w:rsid w:val="00AD3952"/>
    <w:rsid w:val="00AD6980"/>
    <w:rsid w:val="00AF563A"/>
    <w:rsid w:val="00AF7AE1"/>
    <w:rsid w:val="00B217F0"/>
    <w:rsid w:val="00B25821"/>
    <w:rsid w:val="00B25943"/>
    <w:rsid w:val="00B401D2"/>
    <w:rsid w:val="00B445F5"/>
    <w:rsid w:val="00B51402"/>
    <w:rsid w:val="00B54505"/>
    <w:rsid w:val="00B64E32"/>
    <w:rsid w:val="00B6656E"/>
    <w:rsid w:val="00B82870"/>
    <w:rsid w:val="00BB17B0"/>
    <w:rsid w:val="00BB43BF"/>
    <w:rsid w:val="00BC1D64"/>
    <w:rsid w:val="00BC3B9A"/>
    <w:rsid w:val="00BD6594"/>
    <w:rsid w:val="00BE2FB2"/>
    <w:rsid w:val="00BE6A3D"/>
    <w:rsid w:val="00C013D9"/>
    <w:rsid w:val="00C34228"/>
    <w:rsid w:val="00C410DA"/>
    <w:rsid w:val="00C739F1"/>
    <w:rsid w:val="00C77D8D"/>
    <w:rsid w:val="00C87203"/>
    <w:rsid w:val="00C93FF4"/>
    <w:rsid w:val="00CC4264"/>
    <w:rsid w:val="00CC4676"/>
    <w:rsid w:val="00CD2F2C"/>
    <w:rsid w:val="00CE46FE"/>
    <w:rsid w:val="00D05910"/>
    <w:rsid w:val="00D15731"/>
    <w:rsid w:val="00D16DFE"/>
    <w:rsid w:val="00D16F75"/>
    <w:rsid w:val="00D25A72"/>
    <w:rsid w:val="00D46355"/>
    <w:rsid w:val="00D60F59"/>
    <w:rsid w:val="00D6490C"/>
    <w:rsid w:val="00D71A70"/>
    <w:rsid w:val="00D84315"/>
    <w:rsid w:val="00D866D4"/>
    <w:rsid w:val="00D97BD1"/>
    <w:rsid w:val="00DB154E"/>
    <w:rsid w:val="00DE600F"/>
    <w:rsid w:val="00DF7E85"/>
    <w:rsid w:val="00E031B5"/>
    <w:rsid w:val="00E043C8"/>
    <w:rsid w:val="00E16179"/>
    <w:rsid w:val="00E53EAB"/>
    <w:rsid w:val="00E61D4B"/>
    <w:rsid w:val="00E66CEE"/>
    <w:rsid w:val="00E84C35"/>
    <w:rsid w:val="00EA0479"/>
    <w:rsid w:val="00EA1500"/>
    <w:rsid w:val="00EC5966"/>
    <w:rsid w:val="00EC7454"/>
    <w:rsid w:val="00ED0CCD"/>
    <w:rsid w:val="00EE77F8"/>
    <w:rsid w:val="00EE7880"/>
    <w:rsid w:val="00EE7C84"/>
    <w:rsid w:val="00EF194D"/>
    <w:rsid w:val="00F04C1D"/>
    <w:rsid w:val="00F0604B"/>
    <w:rsid w:val="00F07AC7"/>
    <w:rsid w:val="00F10B58"/>
    <w:rsid w:val="00F171CD"/>
    <w:rsid w:val="00F216A9"/>
    <w:rsid w:val="00F2740D"/>
    <w:rsid w:val="00F30D66"/>
    <w:rsid w:val="00F35F89"/>
    <w:rsid w:val="00F36BDF"/>
    <w:rsid w:val="00F36F73"/>
    <w:rsid w:val="00F4139D"/>
    <w:rsid w:val="00F4351C"/>
    <w:rsid w:val="00F60046"/>
    <w:rsid w:val="00F643EE"/>
    <w:rsid w:val="00F644F3"/>
    <w:rsid w:val="00F6494D"/>
    <w:rsid w:val="00F70B6C"/>
    <w:rsid w:val="00FC6B7F"/>
    <w:rsid w:val="00FC7F8F"/>
    <w:rsid w:val="00FE6D63"/>
    <w:rsid w:val="00FF2A8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E4C5"/>
  <w15:chartTrackingRefBased/>
  <w15:docId w15:val="{06CAA681-2050-4541-BCD9-CB3A9DC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19"/>
    <w:pPr>
      <w:spacing w:line="278" w:lineRule="auto"/>
    </w:pPr>
    <w:rPr>
      <w:sz w:val="24"/>
      <w:szCs w:val="24"/>
      <w:lang w:val="en-US"/>
    </w:rPr>
  </w:style>
  <w:style w:type="paragraph" w:styleId="Heading1">
    <w:name w:val="heading 1"/>
    <w:basedOn w:val="Normal"/>
    <w:next w:val="Normal"/>
    <w:link w:val="Heading1Char"/>
    <w:uiPriority w:val="9"/>
    <w:qFormat/>
    <w:rsid w:val="006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19"/>
    <w:rPr>
      <w:rFonts w:eastAsiaTheme="majorEastAsia" w:cstheme="majorBidi"/>
      <w:color w:val="272727" w:themeColor="text1" w:themeTint="D8"/>
    </w:rPr>
  </w:style>
  <w:style w:type="paragraph" w:styleId="Title">
    <w:name w:val="Title"/>
    <w:basedOn w:val="Normal"/>
    <w:next w:val="Normal"/>
    <w:link w:val="TitleChar"/>
    <w:uiPriority w:val="10"/>
    <w:qFormat/>
    <w:rsid w:val="006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19"/>
    <w:pPr>
      <w:spacing w:before="160"/>
      <w:jc w:val="center"/>
    </w:pPr>
    <w:rPr>
      <w:i/>
      <w:iCs/>
      <w:color w:val="404040" w:themeColor="text1" w:themeTint="BF"/>
    </w:rPr>
  </w:style>
  <w:style w:type="character" w:customStyle="1" w:styleId="QuoteChar">
    <w:name w:val="Quote Char"/>
    <w:basedOn w:val="DefaultParagraphFont"/>
    <w:link w:val="Quote"/>
    <w:uiPriority w:val="29"/>
    <w:rsid w:val="00693619"/>
    <w:rPr>
      <w:i/>
      <w:iCs/>
      <w:color w:val="404040" w:themeColor="text1" w:themeTint="BF"/>
    </w:rPr>
  </w:style>
  <w:style w:type="paragraph" w:styleId="ListParagraph">
    <w:name w:val="List Paragraph"/>
    <w:basedOn w:val="Normal"/>
    <w:uiPriority w:val="34"/>
    <w:qFormat/>
    <w:rsid w:val="00693619"/>
    <w:pPr>
      <w:ind w:left="720"/>
      <w:contextualSpacing/>
    </w:pPr>
  </w:style>
  <w:style w:type="character" w:styleId="IntenseEmphasis">
    <w:name w:val="Intense Emphasis"/>
    <w:basedOn w:val="DefaultParagraphFont"/>
    <w:uiPriority w:val="21"/>
    <w:qFormat/>
    <w:rsid w:val="00693619"/>
    <w:rPr>
      <w:i/>
      <w:iCs/>
      <w:color w:val="0F4761" w:themeColor="accent1" w:themeShade="BF"/>
    </w:rPr>
  </w:style>
  <w:style w:type="paragraph" w:styleId="IntenseQuote">
    <w:name w:val="Intense Quote"/>
    <w:basedOn w:val="Normal"/>
    <w:next w:val="Normal"/>
    <w:link w:val="IntenseQuoteChar"/>
    <w:uiPriority w:val="30"/>
    <w:qFormat/>
    <w:rsid w:val="006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19"/>
    <w:rPr>
      <w:i/>
      <w:iCs/>
      <w:color w:val="0F4761" w:themeColor="accent1" w:themeShade="BF"/>
    </w:rPr>
  </w:style>
  <w:style w:type="character" w:styleId="IntenseReference">
    <w:name w:val="Intense Reference"/>
    <w:basedOn w:val="DefaultParagraphFont"/>
    <w:uiPriority w:val="32"/>
    <w:qFormat/>
    <w:rsid w:val="00693619"/>
    <w:rPr>
      <w:b/>
      <w:bCs/>
      <w:smallCaps/>
      <w:color w:val="0F4761" w:themeColor="accent1" w:themeShade="BF"/>
      <w:spacing w:val="5"/>
    </w:rPr>
  </w:style>
  <w:style w:type="table" w:styleId="TableGridLight">
    <w:name w:val="Grid Table Light"/>
    <w:basedOn w:val="TableNormal"/>
    <w:uiPriority w:val="40"/>
    <w:rsid w:val="0025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5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016"/>
    <w:pPr>
      <w:spacing w:after="0" w:line="240" w:lineRule="auto"/>
    </w:pPr>
    <w:rPr>
      <w:sz w:val="24"/>
      <w:szCs w:val="24"/>
      <w:lang w:val="en-US"/>
    </w:rPr>
  </w:style>
  <w:style w:type="character" w:styleId="CommentReference">
    <w:name w:val="annotation reference"/>
    <w:basedOn w:val="DefaultParagraphFont"/>
    <w:semiHidden/>
    <w:unhideWhenUsed/>
    <w:rsid w:val="006A44D0"/>
    <w:rPr>
      <w:sz w:val="16"/>
      <w:szCs w:val="16"/>
    </w:rPr>
  </w:style>
  <w:style w:type="paragraph" w:styleId="CommentText">
    <w:name w:val="annotation text"/>
    <w:basedOn w:val="Normal"/>
    <w:link w:val="CommentTextChar"/>
    <w:unhideWhenUsed/>
    <w:rsid w:val="006A44D0"/>
    <w:pPr>
      <w:spacing w:line="240" w:lineRule="auto"/>
    </w:pPr>
    <w:rPr>
      <w:sz w:val="20"/>
      <w:szCs w:val="20"/>
    </w:rPr>
  </w:style>
  <w:style w:type="character" w:customStyle="1" w:styleId="CommentTextChar">
    <w:name w:val="Comment Text Char"/>
    <w:basedOn w:val="DefaultParagraphFont"/>
    <w:link w:val="CommentText"/>
    <w:rsid w:val="006A44D0"/>
    <w:rPr>
      <w:sz w:val="20"/>
      <w:szCs w:val="20"/>
      <w:lang w:val="en-US"/>
    </w:rPr>
  </w:style>
  <w:style w:type="paragraph" w:styleId="CommentSubject">
    <w:name w:val="annotation subject"/>
    <w:basedOn w:val="CommentText"/>
    <w:next w:val="CommentText"/>
    <w:link w:val="CommentSubjectChar"/>
    <w:uiPriority w:val="99"/>
    <w:semiHidden/>
    <w:unhideWhenUsed/>
    <w:rsid w:val="006A44D0"/>
    <w:rPr>
      <w:b/>
      <w:bCs/>
    </w:rPr>
  </w:style>
  <w:style w:type="character" w:customStyle="1" w:styleId="CommentSubjectChar">
    <w:name w:val="Comment Subject Char"/>
    <w:basedOn w:val="CommentTextChar"/>
    <w:link w:val="CommentSubject"/>
    <w:uiPriority w:val="99"/>
    <w:semiHidden/>
    <w:rsid w:val="006A44D0"/>
    <w:rPr>
      <w:b/>
      <w:bCs/>
      <w:sz w:val="20"/>
      <w:szCs w:val="20"/>
      <w:lang w:val="en-US"/>
    </w:rPr>
  </w:style>
  <w:style w:type="character" w:customStyle="1" w:styleId="normaltextrun">
    <w:name w:val="normaltextrun"/>
    <w:basedOn w:val="DefaultParagraphFont"/>
    <w:rsid w:val="008B1B5A"/>
  </w:style>
  <w:style w:type="paragraph" w:styleId="NormalWeb">
    <w:name w:val="Normal (Web)"/>
    <w:basedOn w:val="Normal"/>
    <w:uiPriority w:val="99"/>
    <w:unhideWhenUsed/>
    <w:rsid w:val="00F171C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0A6B1-D89F-4C0C-BF84-00CDF14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5803</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Morta Vencevičienė</cp:lastModifiedBy>
  <cp:revision>14</cp:revision>
  <dcterms:created xsi:type="dcterms:W3CDTF">2026-06-30T11:21:00Z</dcterms:created>
  <dcterms:modified xsi:type="dcterms:W3CDTF">2026-06-30T11:33:00Z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3d5a3752-6d42-40bc-8fb8-3c8c11967a69</vt:lpwstr>
  </property>
</Properties>
</file>