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1DD4" w14:textId="148C2036" w:rsidR="00A27FBA" w:rsidRDefault="00A27FBA" w:rsidP="007B7719">
      <w:pPr>
        <w:jc w:val="right"/>
        <w:rPr>
          <w:rFonts w:ascii="Times New Roman" w:hAnsi="Times New Roman" w:cs="Times New Roman"/>
          <w:b/>
          <w:sz w:val="24"/>
          <w:szCs w:val="24"/>
          <w:lang w:val="lt-LT"/>
        </w:rPr>
      </w:pPr>
      <w:r w:rsidRPr="00A27FBA">
        <w:rPr>
          <w:rFonts w:ascii="Aptos" w:eastAsia="Aptos" w:hAnsi="Aptos" w:cs="Times New Roman"/>
          <w:noProof/>
          <w:kern w:val="2"/>
          <w14:ligatures w14:val="standardContextual"/>
        </w:rPr>
        <w:drawing>
          <wp:inline distT="0" distB="0" distL="0" distR="0" wp14:anchorId="5EBC823F" wp14:editId="00DD816F">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78D7B7BA" w14:textId="77777777" w:rsidR="00A27FBA" w:rsidRDefault="00D308B6" w:rsidP="007B7719">
      <w:pPr>
        <w:jc w:val="right"/>
        <w:rPr>
          <w:rFonts w:ascii="Times New Roman" w:hAnsi="Times New Roman" w:cs="Times New Roman"/>
          <w:b/>
          <w:sz w:val="24"/>
          <w:szCs w:val="24"/>
          <w:lang w:val="lt-LT"/>
        </w:rPr>
      </w:pPr>
      <w:r w:rsidRPr="002616A1">
        <w:rPr>
          <w:rFonts w:ascii="Times New Roman" w:hAnsi="Times New Roman" w:cs="Times New Roman"/>
          <w:b/>
          <w:sz w:val="24"/>
          <w:szCs w:val="24"/>
          <w:lang w:val="lt-LT"/>
        </w:rPr>
        <w:t>Priedas Nr. 1</w:t>
      </w:r>
    </w:p>
    <w:p w14:paraId="76ECCA1D" w14:textId="578A89DD" w:rsidR="006312B2" w:rsidRPr="002616A1" w:rsidRDefault="00D308B6" w:rsidP="00A27FBA">
      <w:pPr>
        <w:jc w:val="center"/>
        <w:rPr>
          <w:rFonts w:ascii="Times New Roman" w:hAnsi="Times New Roman" w:cs="Times New Roman"/>
          <w:sz w:val="24"/>
          <w:szCs w:val="24"/>
          <w:lang w:val="lt-LT"/>
        </w:rPr>
      </w:pPr>
      <w:r w:rsidRPr="002616A1">
        <w:rPr>
          <w:rFonts w:ascii="Times New Roman" w:hAnsi="Times New Roman" w:cs="Times New Roman"/>
          <w:b/>
          <w:sz w:val="24"/>
          <w:szCs w:val="24"/>
          <w:lang w:val="lt-LT"/>
        </w:rPr>
        <w:br/>
        <w:t>Techninė specifikacija</w:t>
      </w:r>
    </w:p>
    <w:p w14:paraId="73A472B9" w14:textId="1CCF0757" w:rsidR="00DC4B6F" w:rsidRPr="002616A1" w:rsidRDefault="00A347AB" w:rsidP="0012483D">
      <w:pPr>
        <w:pStyle w:val="ListParagraph"/>
        <w:spacing w:line="240" w:lineRule="auto"/>
        <w:jc w:val="both"/>
        <w:rPr>
          <w:rFonts w:ascii="Times New Roman" w:hAnsi="Times New Roman" w:cs="Times New Roman"/>
          <w:b/>
          <w:bCs/>
          <w:sz w:val="24"/>
          <w:szCs w:val="24"/>
          <w:lang w:val="lt-LT"/>
        </w:rPr>
      </w:pPr>
      <w:proofErr w:type="spellStart"/>
      <w:r>
        <w:rPr>
          <w:rFonts w:ascii="Times New Roman" w:hAnsi="Times New Roman" w:cs="Times New Roman"/>
          <w:b/>
          <w:bCs/>
          <w:sz w:val="24"/>
          <w:szCs w:val="24"/>
          <w:lang w:val="lt-LT"/>
        </w:rPr>
        <w:t>F</w:t>
      </w:r>
      <w:r w:rsidRPr="00A347AB">
        <w:rPr>
          <w:rFonts w:ascii="Times New Roman" w:hAnsi="Times New Roman" w:cs="Times New Roman"/>
          <w:b/>
          <w:bCs/>
          <w:sz w:val="24"/>
          <w:szCs w:val="24"/>
          <w:lang w:val="lt-LT"/>
        </w:rPr>
        <w:t>otoakustinis</w:t>
      </w:r>
      <w:proofErr w:type="spellEnd"/>
      <w:r w:rsidRPr="00A347AB">
        <w:rPr>
          <w:rFonts w:ascii="Times New Roman" w:hAnsi="Times New Roman" w:cs="Times New Roman"/>
          <w:b/>
          <w:bCs/>
          <w:sz w:val="24"/>
          <w:szCs w:val="24"/>
          <w:lang w:val="lt-LT"/>
        </w:rPr>
        <w:t xml:space="preserve"> dujų sudėties analizatorius</w:t>
      </w:r>
      <w:r w:rsidR="00520787" w:rsidRPr="002616A1">
        <w:rPr>
          <w:rFonts w:ascii="Times New Roman" w:hAnsi="Times New Roman" w:cs="Times New Roman"/>
          <w:b/>
          <w:bCs/>
          <w:sz w:val="24"/>
          <w:szCs w:val="24"/>
          <w:lang w:val="lt-LT"/>
        </w:rPr>
        <w:t xml:space="preserve"> – 1 </w:t>
      </w:r>
      <w:proofErr w:type="spellStart"/>
      <w:r w:rsidR="00520787" w:rsidRPr="002616A1">
        <w:rPr>
          <w:rFonts w:ascii="Times New Roman" w:hAnsi="Times New Roman" w:cs="Times New Roman"/>
          <w:b/>
          <w:bCs/>
          <w:sz w:val="24"/>
          <w:szCs w:val="24"/>
          <w:lang w:val="lt-LT"/>
        </w:rPr>
        <w:t>kompl</w:t>
      </w:r>
      <w:proofErr w:type="spellEnd"/>
      <w:r w:rsidR="00520787" w:rsidRPr="002616A1">
        <w:rPr>
          <w:rFonts w:ascii="Times New Roman" w:hAnsi="Times New Roman" w:cs="Times New Roman"/>
          <w:b/>
          <w:bCs/>
          <w:sz w:val="24"/>
          <w:szCs w:val="24"/>
          <w:lang w:val="lt-LT"/>
        </w:rPr>
        <w:t>.</w:t>
      </w:r>
    </w:p>
    <w:p w14:paraId="5D48714F" w14:textId="4EDE89FD" w:rsidR="00520787" w:rsidRPr="002616A1" w:rsidRDefault="00D308B6" w:rsidP="00DC4B6F">
      <w:pPr>
        <w:pStyle w:val="ListParagraph"/>
        <w:spacing w:line="240" w:lineRule="auto"/>
        <w:jc w:val="both"/>
        <w:rPr>
          <w:rFonts w:ascii="Times New Roman" w:hAnsi="Times New Roman" w:cs="Times New Roman"/>
          <w:b/>
          <w:bCs/>
          <w:sz w:val="24"/>
          <w:szCs w:val="24"/>
          <w:lang w:val="lt-LT"/>
        </w:rPr>
      </w:pPr>
      <w:r w:rsidRPr="002616A1">
        <w:rPr>
          <w:rFonts w:ascii="Times New Roman" w:hAnsi="Times New Roman" w:cs="Times New Roman"/>
          <w:sz w:val="24"/>
          <w:szCs w:val="24"/>
          <w:lang w:val="lt-LT"/>
        </w:rPr>
        <w:br/>
      </w:r>
      <w:r w:rsidR="00520787" w:rsidRPr="002616A1">
        <w:rPr>
          <w:rFonts w:ascii="Times New Roman" w:hAnsi="Times New Roman" w:cs="Times New Roman"/>
          <w:sz w:val="24"/>
          <w:szCs w:val="24"/>
          <w:lang w:val="lt-LT"/>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520787" w:rsidRPr="002616A1">
        <w:rPr>
          <w:rFonts w:ascii="Times New Roman" w:eastAsia="MS Mincho" w:hAnsi="Times New Roman" w:cs="Times New Roman"/>
          <w:sz w:val="24"/>
          <w:szCs w:val="24"/>
          <w:lang w:val="lt-LT"/>
        </w:rPr>
        <w:t>tiekėjo ar gamintojo parengti komplektacijos aprašai arba kiti lygiaverčiai dokumentai</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b/>
          <w:bCs/>
          <w:sz w:val="24"/>
          <w:szCs w:val="24"/>
          <w:lang w:val="lt-LT"/>
        </w:rPr>
        <w:t>toliau – pagrindžiantys dokumentai</w:t>
      </w:r>
      <w:r w:rsidR="00520787" w:rsidRPr="002616A1">
        <w:rPr>
          <w:rFonts w:ascii="Times New Roman" w:hAnsi="Times New Roman" w:cs="Times New Roman"/>
          <w:sz w:val="24"/>
          <w:szCs w:val="24"/>
          <w:lang w:val="lt-LT"/>
        </w:rPr>
        <w:t>)</w:t>
      </w:r>
      <w:r w:rsidR="007B7719">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bl>
      <w:tblPr>
        <w:tblStyle w:val="TableGrid"/>
        <w:tblW w:w="9209" w:type="dxa"/>
        <w:jc w:val="center"/>
        <w:tblLook w:val="04A0" w:firstRow="1" w:lastRow="0" w:firstColumn="1" w:lastColumn="0" w:noHBand="0" w:noVBand="1"/>
      </w:tblPr>
      <w:tblGrid>
        <w:gridCol w:w="709"/>
        <w:gridCol w:w="1842"/>
        <w:gridCol w:w="2830"/>
        <w:gridCol w:w="3828"/>
      </w:tblGrid>
      <w:tr w:rsidR="00520787" w:rsidRPr="00667FC3" w14:paraId="4DADFAE0" w14:textId="77777777" w:rsidTr="007915AC">
        <w:trPr>
          <w:jc w:val="center"/>
        </w:trPr>
        <w:tc>
          <w:tcPr>
            <w:tcW w:w="709" w:type="dxa"/>
          </w:tcPr>
          <w:p w14:paraId="6A6D5829" w14:textId="10DDD76D"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Eil. Nr.</w:t>
            </w:r>
          </w:p>
        </w:tc>
        <w:tc>
          <w:tcPr>
            <w:tcW w:w="1842" w:type="dxa"/>
          </w:tcPr>
          <w:p w14:paraId="7FDC1381" w14:textId="32FD3D06"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Parametrai</w:t>
            </w:r>
          </w:p>
        </w:tc>
        <w:tc>
          <w:tcPr>
            <w:tcW w:w="2830" w:type="dxa"/>
          </w:tcPr>
          <w:p w14:paraId="38E52A4F" w14:textId="79AF8A67"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Reikalavimai parametrams</w:t>
            </w:r>
          </w:p>
        </w:tc>
        <w:tc>
          <w:tcPr>
            <w:tcW w:w="3828" w:type="dxa"/>
          </w:tcPr>
          <w:p w14:paraId="43F6718C" w14:textId="77777777" w:rsidR="00520787" w:rsidRPr="002616A1" w:rsidRDefault="00520787" w:rsidP="00520787">
            <w:pPr>
              <w:jc w:val="both"/>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Tiekėjo siūloma charakteristika</w:t>
            </w:r>
          </w:p>
          <w:p w14:paraId="606EDFD3" w14:textId="77777777" w:rsidR="00520787" w:rsidRPr="002616A1" w:rsidRDefault="00520787" w:rsidP="00520787">
            <w:pPr>
              <w:jc w:val="center"/>
              <w:rPr>
                <w:rFonts w:ascii="Times New Roman" w:hAnsi="Times New Roman" w:cs="Times New Roman"/>
                <w:b/>
                <w:bCs/>
                <w:i/>
                <w:iCs/>
                <w:sz w:val="24"/>
                <w:szCs w:val="24"/>
                <w:u w:val="single"/>
                <w:lang w:val="lt-LT"/>
              </w:rPr>
            </w:pPr>
            <w:r w:rsidRPr="002616A1">
              <w:rPr>
                <w:rFonts w:ascii="Times New Roman" w:hAnsi="Times New Roman" w:cs="Times New Roman"/>
                <w:b/>
                <w:bCs/>
                <w:i/>
                <w:iCs/>
                <w:sz w:val="24"/>
                <w:szCs w:val="24"/>
                <w:u w:val="single"/>
                <w:lang w:val="lt-LT"/>
              </w:rPr>
              <w:t>(pildo tiekėjas)</w:t>
            </w:r>
          </w:p>
          <w:p w14:paraId="188D84EF" w14:textId="77777777" w:rsidR="00520787" w:rsidRPr="002616A1" w:rsidRDefault="00520787" w:rsidP="00520787">
            <w:pPr>
              <w:jc w:val="center"/>
              <w:rPr>
                <w:rFonts w:ascii="Times New Roman" w:hAnsi="Times New Roman" w:cs="Times New Roman"/>
                <w:b/>
                <w:bCs/>
                <w:sz w:val="24"/>
                <w:szCs w:val="24"/>
                <w:u w:val="single"/>
                <w:lang w:val="lt-LT"/>
              </w:rPr>
            </w:pPr>
          </w:p>
          <w:p w14:paraId="08319227" w14:textId="77777777" w:rsidR="00520787" w:rsidRPr="002616A1" w:rsidRDefault="00520787" w:rsidP="00520787">
            <w:pPr>
              <w:spacing w:line="259" w:lineRule="auto"/>
              <w:jc w:val="both"/>
              <w:rPr>
                <w:rFonts w:ascii="Times New Roman" w:eastAsia="Aptos" w:hAnsi="Times New Roman" w:cs="Times New Roman"/>
                <w:b/>
                <w:bCs/>
                <w:sz w:val="24"/>
                <w:szCs w:val="24"/>
                <w:lang w:val="lt-LT" w:eastAsia="lt-LT"/>
              </w:rPr>
            </w:pPr>
            <w:r w:rsidRPr="002616A1">
              <w:rPr>
                <w:rFonts w:ascii="Times New Roman" w:eastAsia="Aptos" w:hAnsi="Times New Roman" w:cs="Times New Roman"/>
                <w:b/>
                <w:bCs/>
                <w:sz w:val="24"/>
                <w:szCs w:val="24"/>
                <w:lang w:val="lt-LT" w:eastAsia="lt-LT"/>
              </w:rPr>
              <w:t>Tiekėjas pildo kiekvieną reikalavimą su atitinkama siūloma reikšme.</w:t>
            </w:r>
          </w:p>
          <w:p w14:paraId="4A94E8A6" w14:textId="70C0A706" w:rsidR="00520787" w:rsidRPr="002616A1" w:rsidRDefault="00520787" w:rsidP="00520787">
            <w:pPr>
              <w:rPr>
                <w:rFonts w:ascii="Times New Roman" w:hAnsi="Times New Roman" w:cs="Times New Roman"/>
                <w:sz w:val="24"/>
                <w:szCs w:val="24"/>
                <w:lang w:val="lt-LT"/>
              </w:rPr>
            </w:pPr>
            <w:r w:rsidRPr="002616A1">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2616A1">
              <w:rPr>
                <w:rFonts w:ascii="Times New Roman" w:eastAsia="Aptos" w:hAnsi="Times New Roman" w:cs="Times New Roman"/>
                <w:sz w:val="24"/>
                <w:szCs w:val="24"/>
                <w:highlight w:val="yellow"/>
                <w:lang w:val="lt-LT" w:eastAsia="lt-LT"/>
              </w:rPr>
              <w:t>_______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 pateikiamą dokumentą</w:t>
            </w:r>
            <w:r w:rsidRPr="002616A1">
              <w:rPr>
                <w:rFonts w:ascii="Times New Roman" w:eastAsia="Aptos" w:hAnsi="Times New Roman" w:cs="Times New Roman"/>
                <w:sz w:val="24"/>
                <w:szCs w:val="24"/>
                <w:lang w:val="lt-LT" w:eastAsia="lt-LT"/>
              </w:rPr>
              <w:t xml:space="preserve">), kurio </w:t>
            </w:r>
            <w:r w:rsidRPr="002616A1">
              <w:rPr>
                <w:rFonts w:ascii="Times New Roman" w:eastAsia="Aptos" w:hAnsi="Times New Roman" w:cs="Times New Roman"/>
                <w:sz w:val="24"/>
                <w:szCs w:val="24"/>
                <w:highlight w:val="yellow"/>
                <w:lang w:val="lt-LT" w:eastAsia="lt-LT"/>
              </w:rPr>
              <w:t>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w:t>
            </w:r>
            <w:r w:rsidRPr="002616A1">
              <w:rPr>
                <w:rFonts w:ascii="Times New Roman" w:eastAsia="Aptos" w:hAnsi="Times New Roman" w:cs="Times New Roman"/>
                <w:sz w:val="24"/>
                <w:szCs w:val="24"/>
                <w:lang w:val="lt-LT" w:eastAsia="lt-LT"/>
              </w:rPr>
              <w:t>) puslapyje pateikta atžyma apie parametro reikšmę</w:t>
            </w:r>
          </w:p>
        </w:tc>
      </w:tr>
      <w:tr w:rsidR="00520787" w:rsidRPr="002616A1" w14:paraId="7F725024" w14:textId="77777777" w:rsidTr="007915AC">
        <w:trPr>
          <w:jc w:val="center"/>
        </w:trPr>
        <w:tc>
          <w:tcPr>
            <w:tcW w:w="709" w:type="dxa"/>
          </w:tcPr>
          <w:p w14:paraId="6BF6ED75" w14:textId="5F7979A0"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1</w:t>
            </w:r>
          </w:p>
        </w:tc>
        <w:tc>
          <w:tcPr>
            <w:tcW w:w="1842" w:type="dxa"/>
          </w:tcPr>
          <w:p w14:paraId="7B0087ED" w14:textId="523BD567"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2</w:t>
            </w:r>
          </w:p>
        </w:tc>
        <w:tc>
          <w:tcPr>
            <w:tcW w:w="2830" w:type="dxa"/>
          </w:tcPr>
          <w:p w14:paraId="5E6B9AFD" w14:textId="5C76A7EF"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3</w:t>
            </w:r>
          </w:p>
        </w:tc>
        <w:tc>
          <w:tcPr>
            <w:tcW w:w="3828" w:type="dxa"/>
          </w:tcPr>
          <w:p w14:paraId="6125BA8B" w14:textId="4F155BA8"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4</w:t>
            </w:r>
          </w:p>
        </w:tc>
      </w:tr>
      <w:tr w:rsidR="006312B2" w:rsidRPr="00667FC3" w14:paraId="7C6DC355" w14:textId="77777777" w:rsidTr="007915AC">
        <w:trPr>
          <w:jc w:val="center"/>
        </w:trPr>
        <w:tc>
          <w:tcPr>
            <w:tcW w:w="709" w:type="dxa"/>
          </w:tcPr>
          <w:p w14:paraId="267E43A9" w14:textId="0A77CCA9"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sidR="00E17B9A">
              <w:rPr>
                <w:rFonts w:ascii="Times New Roman" w:hAnsi="Times New Roman" w:cs="Times New Roman"/>
                <w:sz w:val="24"/>
                <w:szCs w:val="24"/>
                <w:lang w:val="lt-LT"/>
              </w:rPr>
              <w:t>.</w:t>
            </w:r>
          </w:p>
        </w:tc>
        <w:tc>
          <w:tcPr>
            <w:tcW w:w="1842" w:type="dxa"/>
          </w:tcPr>
          <w:p w14:paraId="54F66D88"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Paskirtis</w:t>
            </w:r>
          </w:p>
        </w:tc>
        <w:tc>
          <w:tcPr>
            <w:tcW w:w="2830" w:type="dxa"/>
          </w:tcPr>
          <w:p w14:paraId="0CD4CAA8" w14:textId="76AF5871" w:rsidR="006312B2" w:rsidRPr="002616A1" w:rsidRDefault="00F5348D"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Turi būti skirta:</w:t>
            </w:r>
            <w:r w:rsidR="00520787" w:rsidRPr="002616A1">
              <w:rPr>
                <w:rFonts w:ascii="Times New Roman" w:hAnsi="Times New Roman" w:cs="Times New Roman"/>
                <w:sz w:val="24"/>
                <w:szCs w:val="24"/>
                <w:lang w:val="lt-LT"/>
              </w:rPr>
              <w:t xml:space="preserve"> metano (CH</w:t>
            </w:r>
            <w:r w:rsidR="005F0819" w:rsidRPr="002616A1">
              <w:rPr>
                <w:rFonts w:ascii="Times New Roman" w:hAnsi="Times New Roman" w:cs="Times New Roman"/>
                <w:sz w:val="24"/>
                <w:szCs w:val="24"/>
                <w:vertAlign w:val="subscript"/>
                <w:lang w:val="lt-LT"/>
              </w:rPr>
              <w:t>4</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azoto </w:t>
            </w:r>
            <w:proofErr w:type="spellStart"/>
            <w:r w:rsidR="00520787" w:rsidRPr="002616A1">
              <w:rPr>
                <w:rFonts w:ascii="Times New Roman" w:hAnsi="Times New Roman" w:cs="Times New Roman"/>
                <w:sz w:val="24"/>
                <w:szCs w:val="24"/>
                <w:lang w:val="lt-LT"/>
              </w:rPr>
              <w:t>suboksido</w:t>
            </w:r>
            <w:proofErr w:type="spellEnd"/>
            <w:r w:rsidR="005F0819" w:rsidRPr="002616A1">
              <w:rPr>
                <w:rFonts w:ascii="Times New Roman" w:hAnsi="Times New Roman" w:cs="Times New Roman"/>
                <w:sz w:val="24"/>
                <w:szCs w:val="24"/>
                <w:lang w:val="lt-LT"/>
              </w:rPr>
              <w:t xml:space="preserve"> (N</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O)</w:t>
            </w:r>
            <w:r w:rsidR="00520787" w:rsidRPr="002616A1">
              <w:rPr>
                <w:rFonts w:ascii="Times New Roman" w:hAnsi="Times New Roman" w:cs="Times New Roman"/>
                <w:sz w:val="24"/>
                <w:szCs w:val="24"/>
                <w:lang w:val="lt-LT"/>
              </w:rPr>
              <w:t>, anglies dioksido</w:t>
            </w:r>
            <w:r w:rsidR="005F0819" w:rsidRPr="002616A1">
              <w:rPr>
                <w:rFonts w:ascii="Times New Roman" w:hAnsi="Times New Roman" w:cs="Times New Roman"/>
                <w:sz w:val="24"/>
                <w:szCs w:val="24"/>
                <w:lang w:val="lt-LT"/>
              </w:rPr>
              <w:t xml:space="preserve"> (CO</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amoniako</w:t>
            </w:r>
            <w:r w:rsidR="005F0819" w:rsidRPr="002616A1">
              <w:rPr>
                <w:rFonts w:ascii="Times New Roman" w:hAnsi="Times New Roman" w:cs="Times New Roman"/>
                <w:sz w:val="24"/>
                <w:szCs w:val="24"/>
                <w:lang w:val="lt-LT"/>
              </w:rPr>
              <w:t xml:space="preserve"> (NH</w:t>
            </w:r>
            <w:r w:rsidR="005F0819" w:rsidRPr="002616A1">
              <w:rPr>
                <w:rFonts w:ascii="Times New Roman" w:hAnsi="Times New Roman" w:cs="Times New Roman"/>
                <w:sz w:val="24"/>
                <w:szCs w:val="24"/>
                <w:vertAlign w:val="subscript"/>
                <w:lang w:val="lt-LT"/>
              </w:rPr>
              <w:t>3</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lastRenderedPageBreak/>
              <w:t>dujų kiekybiniam matavimui.</w:t>
            </w:r>
            <w:r w:rsidR="00D630D1" w:rsidRPr="002616A1">
              <w:rPr>
                <w:rFonts w:ascii="Times New Roman" w:hAnsi="Times New Roman" w:cs="Times New Roman"/>
                <w:sz w:val="24"/>
                <w:szCs w:val="24"/>
                <w:lang w:val="lt-LT"/>
              </w:rPr>
              <w:t xml:space="preserve"> </w:t>
            </w:r>
          </w:p>
        </w:tc>
        <w:tc>
          <w:tcPr>
            <w:tcW w:w="3828" w:type="dxa"/>
          </w:tcPr>
          <w:p w14:paraId="5A6F571C" w14:textId="6C4B9B03" w:rsidR="006312B2" w:rsidRPr="002616A1" w:rsidRDefault="006312B2">
            <w:pPr>
              <w:rPr>
                <w:rFonts w:ascii="Times New Roman" w:hAnsi="Times New Roman" w:cs="Times New Roman"/>
                <w:sz w:val="24"/>
                <w:szCs w:val="24"/>
                <w:lang w:val="lt-LT"/>
              </w:rPr>
            </w:pPr>
          </w:p>
        </w:tc>
      </w:tr>
      <w:tr w:rsidR="006312B2" w:rsidRPr="00667FC3" w14:paraId="43945128" w14:textId="77777777" w:rsidTr="007915AC">
        <w:trPr>
          <w:jc w:val="center"/>
        </w:trPr>
        <w:tc>
          <w:tcPr>
            <w:tcW w:w="709" w:type="dxa"/>
          </w:tcPr>
          <w:p w14:paraId="19EB7EE1" w14:textId="30F320C6"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2</w:t>
            </w:r>
            <w:r w:rsidR="00E17B9A">
              <w:rPr>
                <w:rFonts w:ascii="Times New Roman" w:hAnsi="Times New Roman" w:cs="Times New Roman"/>
                <w:sz w:val="24"/>
                <w:szCs w:val="24"/>
                <w:lang w:val="lt-LT"/>
              </w:rPr>
              <w:t>.</w:t>
            </w:r>
          </w:p>
        </w:tc>
        <w:tc>
          <w:tcPr>
            <w:tcW w:w="1842" w:type="dxa"/>
          </w:tcPr>
          <w:p w14:paraId="7A6F3FE6"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Matavimo principas</w:t>
            </w:r>
          </w:p>
        </w:tc>
        <w:tc>
          <w:tcPr>
            <w:tcW w:w="2830" w:type="dxa"/>
          </w:tcPr>
          <w:p w14:paraId="18F3434F" w14:textId="63C72C58" w:rsidR="006312B2" w:rsidRPr="002616A1" w:rsidRDefault="00D308B6" w:rsidP="0012483D">
            <w:pPr>
              <w:jc w:val="both"/>
              <w:rPr>
                <w:rFonts w:ascii="Times New Roman" w:hAnsi="Times New Roman" w:cs="Times New Roman"/>
                <w:sz w:val="24"/>
                <w:szCs w:val="24"/>
                <w:lang w:val="lt-LT"/>
              </w:rPr>
            </w:pPr>
            <w:proofErr w:type="spellStart"/>
            <w:r w:rsidRPr="002616A1">
              <w:rPr>
                <w:rFonts w:ascii="Times New Roman" w:hAnsi="Times New Roman" w:cs="Times New Roman"/>
                <w:sz w:val="24"/>
                <w:szCs w:val="24"/>
                <w:lang w:val="lt-LT"/>
              </w:rPr>
              <w:t>Fotoakustinė</w:t>
            </w:r>
            <w:proofErr w:type="spellEnd"/>
            <w:r w:rsidRPr="002616A1">
              <w:rPr>
                <w:rFonts w:ascii="Times New Roman" w:hAnsi="Times New Roman" w:cs="Times New Roman"/>
                <w:sz w:val="24"/>
                <w:szCs w:val="24"/>
                <w:lang w:val="lt-LT"/>
              </w:rPr>
              <w:t xml:space="preserve"> spektroskopija</w:t>
            </w:r>
            <w:r w:rsidR="005F0819" w:rsidRPr="002616A1">
              <w:rPr>
                <w:rFonts w:ascii="Times New Roman" w:hAnsi="Times New Roman" w:cs="Times New Roman"/>
                <w:sz w:val="24"/>
                <w:szCs w:val="24"/>
                <w:lang w:val="lt-LT"/>
              </w:rPr>
              <w:t xml:space="preserve"> arba kitas </w:t>
            </w:r>
            <w:proofErr w:type="spellStart"/>
            <w:r w:rsidR="002616A1">
              <w:rPr>
                <w:rFonts w:ascii="Times New Roman" w:hAnsi="Times New Roman" w:cs="Times New Roman"/>
                <w:sz w:val="24"/>
                <w:szCs w:val="24"/>
                <w:lang w:val="lt-LT"/>
              </w:rPr>
              <w:t>fotoakustinei</w:t>
            </w:r>
            <w:proofErr w:type="spellEnd"/>
            <w:r w:rsidR="002616A1">
              <w:rPr>
                <w:rFonts w:ascii="Times New Roman" w:hAnsi="Times New Roman" w:cs="Times New Roman"/>
                <w:sz w:val="24"/>
                <w:szCs w:val="24"/>
                <w:lang w:val="lt-LT"/>
              </w:rPr>
              <w:t xml:space="preserve"> spektrometrijai </w:t>
            </w:r>
            <w:r w:rsidR="005F0819" w:rsidRPr="002616A1">
              <w:rPr>
                <w:rFonts w:ascii="Times New Roman" w:hAnsi="Times New Roman" w:cs="Times New Roman"/>
                <w:sz w:val="24"/>
                <w:szCs w:val="24"/>
                <w:lang w:val="lt-LT"/>
              </w:rPr>
              <w:t>lygiavertis</w:t>
            </w:r>
            <w:r w:rsidR="002616A1">
              <w:rPr>
                <w:rFonts w:ascii="Times New Roman" w:hAnsi="Times New Roman" w:cs="Times New Roman"/>
                <w:sz w:val="24"/>
                <w:szCs w:val="24"/>
                <w:lang w:val="lt-LT"/>
              </w:rPr>
              <w:t xml:space="preserve"> principas.</w:t>
            </w:r>
          </w:p>
        </w:tc>
        <w:tc>
          <w:tcPr>
            <w:tcW w:w="3828" w:type="dxa"/>
          </w:tcPr>
          <w:p w14:paraId="4769DEC7" w14:textId="68F319DE" w:rsidR="006312B2" w:rsidRPr="00F5348D" w:rsidRDefault="006312B2">
            <w:pPr>
              <w:rPr>
                <w:rFonts w:ascii="Times New Roman" w:hAnsi="Times New Roman" w:cs="Times New Roman"/>
                <w:sz w:val="24"/>
                <w:szCs w:val="24"/>
                <w:lang w:val="lt-LT"/>
              </w:rPr>
            </w:pPr>
          </w:p>
        </w:tc>
      </w:tr>
      <w:tr w:rsidR="008B0128" w:rsidRPr="00667FC3" w14:paraId="4AD5330D" w14:textId="77777777" w:rsidTr="007915AC">
        <w:trPr>
          <w:jc w:val="center"/>
        </w:trPr>
        <w:tc>
          <w:tcPr>
            <w:tcW w:w="709" w:type="dxa"/>
          </w:tcPr>
          <w:p w14:paraId="348E1388" w14:textId="7A3D1A4D" w:rsidR="008B0128"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3</w:t>
            </w:r>
            <w:r w:rsidR="00E17B9A">
              <w:rPr>
                <w:rFonts w:ascii="Times New Roman" w:hAnsi="Times New Roman" w:cs="Times New Roman"/>
                <w:sz w:val="24"/>
                <w:szCs w:val="24"/>
                <w:lang w:val="lt-LT"/>
              </w:rPr>
              <w:t>.</w:t>
            </w:r>
          </w:p>
        </w:tc>
        <w:tc>
          <w:tcPr>
            <w:tcW w:w="1842" w:type="dxa"/>
          </w:tcPr>
          <w:p w14:paraId="499017FB" w14:textId="2E2D4125" w:rsidR="008B0128" w:rsidRPr="002616A1" w:rsidRDefault="00EC05C3">
            <w:pPr>
              <w:rPr>
                <w:rFonts w:ascii="Times New Roman" w:hAnsi="Times New Roman" w:cs="Times New Roman"/>
                <w:sz w:val="24"/>
                <w:szCs w:val="24"/>
                <w:lang w:val="lt-LT"/>
              </w:rPr>
            </w:pPr>
            <w:r w:rsidRPr="002616A1">
              <w:rPr>
                <w:rFonts w:ascii="Times New Roman" w:hAnsi="Times New Roman" w:cs="Times New Roman"/>
                <w:sz w:val="24"/>
                <w:szCs w:val="24"/>
                <w:lang w:val="lt-LT"/>
              </w:rPr>
              <w:t>Vienalaikis kelių dujų matavimas</w:t>
            </w:r>
          </w:p>
        </w:tc>
        <w:tc>
          <w:tcPr>
            <w:tcW w:w="2830" w:type="dxa"/>
          </w:tcPr>
          <w:p w14:paraId="37F4CE47" w14:textId="05B05651" w:rsidR="008B0128" w:rsidRPr="002616A1" w:rsidRDefault="00455DF2"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Prietaisas turi </w:t>
            </w:r>
            <w:r w:rsidR="00F901FD" w:rsidRPr="002616A1">
              <w:rPr>
                <w:rFonts w:ascii="Times New Roman" w:hAnsi="Times New Roman" w:cs="Times New Roman"/>
                <w:sz w:val="24"/>
                <w:szCs w:val="24"/>
                <w:lang w:val="lt-LT"/>
              </w:rPr>
              <w:t>vienu metu matuoti ne mažiau keturių pasirinktų dujų bei vandens garus</w:t>
            </w:r>
          </w:p>
        </w:tc>
        <w:tc>
          <w:tcPr>
            <w:tcW w:w="3828" w:type="dxa"/>
          </w:tcPr>
          <w:p w14:paraId="459A4851" w14:textId="3BA75C8F" w:rsidR="008B0128" w:rsidRPr="007915AC" w:rsidRDefault="008B0128">
            <w:pPr>
              <w:rPr>
                <w:rFonts w:ascii="Times New Roman" w:hAnsi="Times New Roman" w:cs="Times New Roman"/>
                <w:sz w:val="24"/>
                <w:szCs w:val="24"/>
                <w:lang w:val="lt-LT"/>
              </w:rPr>
            </w:pPr>
          </w:p>
        </w:tc>
      </w:tr>
      <w:tr w:rsidR="00FD2721" w:rsidRPr="002616A1" w14:paraId="5150018B" w14:textId="77777777" w:rsidTr="007915AC">
        <w:trPr>
          <w:jc w:val="center"/>
        </w:trPr>
        <w:tc>
          <w:tcPr>
            <w:tcW w:w="709" w:type="dxa"/>
          </w:tcPr>
          <w:p w14:paraId="55B437F2" w14:textId="1526FC07" w:rsidR="00FD2721"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4</w:t>
            </w:r>
            <w:r w:rsidR="00E17B9A">
              <w:rPr>
                <w:rFonts w:ascii="Times New Roman" w:hAnsi="Times New Roman" w:cs="Times New Roman"/>
                <w:sz w:val="24"/>
                <w:szCs w:val="24"/>
                <w:lang w:val="lt-LT"/>
              </w:rPr>
              <w:t>.</w:t>
            </w:r>
          </w:p>
        </w:tc>
        <w:tc>
          <w:tcPr>
            <w:tcW w:w="1842" w:type="dxa"/>
          </w:tcPr>
          <w:p w14:paraId="7DD319A6" w14:textId="59F091BE" w:rsidR="00FD2721" w:rsidRPr="002616A1" w:rsidRDefault="00E56774">
            <w:pPr>
              <w:rPr>
                <w:rFonts w:ascii="Times New Roman" w:hAnsi="Times New Roman" w:cs="Times New Roman"/>
                <w:sz w:val="24"/>
                <w:szCs w:val="24"/>
                <w:lang w:val="lt-LT"/>
              </w:rPr>
            </w:pPr>
            <w:r w:rsidRPr="002616A1">
              <w:rPr>
                <w:rFonts w:ascii="Times New Roman" w:hAnsi="Times New Roman" w:cs="Times New Roman"/>
                <w:sz w:val="24"/>
                <w:szCs w:val="24"/>
                <w:lang w:val="lt-LT"/>
              </w:rPr>
              <w:t>Tikslumas</w:t>
            </w:r>
          </w:p>
        </w:tc>
        <w:tc>
          <w:tcPr>
            <w:tcW w:w="2830" w:type="dxa"/>
          </w:tcPr>
          <w:p w14:paraId="268BF43C" w14:textId="215CB5F1" w:rsidR="00FD2721" w:rsidRPr="002616A1" w:rsidRDefault="00E56774"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Turi būti </w:t>
            </w:r>
            <w:r w:rsidR="009F1DF4" w:rsidRPr="002616A1">
              <w:rPr>
                <w:rFonts w:ascii="Times New Roman" w:hAnsi="Times New Roman" w:cs="Times New Roman"/>
                <w:sz w:val="24"/>
                <w:szCs w:val="24"/>
                <w:lang w:val="lt-LT"/>
              </w:rPr>
              <w:t>ne daugiau kaip</w:t>
            </w:r>
            <w:r w:rsidR="004072EC" w:rsidRPr="002616A1">
              <w:rPr>
                <w:rFonts w:ascii="Times New Roman" w:hAnsi="Times New Roman" w:cs="Times New Roman"/>
                <w:sz w:val="24"/>
                <w:szCs w:val="24"/>
                <w:lang w:val="lt-LT"/>
              </w:rPr>
              <w:t xml:space="preserve"> 1</w:t>
            </w:r>
            <w:r w:rsidR="005423E0">
              <w:rPr>
                <w:rFonts w:ascii="Times New Roman" w:hAnsi="Times New Roman" w:cs="Times New Roman"/>
                <w:sz w:val="24"/>
                <w:szCs w:val="24"/>
                <w:lang w:val="lt-LT"/>
              </w:rPr>
              <w:t>.0</w:t>
            </w:r>
            <w:r w:rsidR="004072EC" w:rsidRPr="002616A1">
              <w:rPr>
                <w:rFonts w:ascii="Times New Roman" w:hAnsi="Times New Roman" w:cs="Times New Roman"/>
                <w:sz w:val="24"/>
                <w:szCs w:val="24"/>
                <w:lang w:val="lt-LT"/>
              </w:rPr>
              <w:t xml:space="preserve"> % matavimo ver</w:t>
            </w:r>
            <w:r w:rsidR="00034525" w:rsidRPr="002616A1">
              <w:rPr>
                <w:rFonts w:ascii="Times New Roman" w:hAnsi="Times New Roman" w:cs="Times New Roman"/>
                <w:sz w:val="24"/>
                <w:szCs w:val="24"/>
                <w:lang w:val="lt-LT"/>
              </w:rPr>
              <w:t>tė</w:t>
            </w:r>
            <w:r w:rsidR="004072EC" w:rsidRPr="002616A1">
              <w:rPr>
                <w:rFonts w:ascii="Times New Roman" w:hAnsi="Times New Roman" w:cs="Times New Roman"/>
                <w:sz w:val="24"/>
                <w:szCs w:val="24"/>
                <w:lang w:val="lt-LT"/>
              </w:rPr>
              <w:t>s</w:t>
            </w:r>
          </w:p>
        </w:tc>
        <w:tc>
          <w:tcPr>
            <w:tcW w:w="3828" w:type="dxa"/>
          </w:tcPr>
          <w:p w14:paraId="6225703F" w14:textId="6213FBC2" w:rsidR="00FD2721" w:rsidRPr="007915AC" w:rsidRDefault="00FD2721">
            <w:pPr>
              <w:rPr>
                <w:rFonts w:ascii="Times New Roman" w:hAnsi="Times New Roman" w:cs="Times New Roman"/>
                <w:sz w:val="24"/>
                <w:szCs w:val="24"/>
                <w:lang w:val="lt-LT"/>
              </w:rPr>
            </w:pPr>
          </w:p>
        </w:tc>
      </w:tr>
      <w:tr w:rsidR="00B42BAC" w:rsidRPr="0001243E" w14:paraId="21E790B3" w14:textId="77777777" w:rsidTr="007915AC">
        <w:trPr>
          <w:jc w:val="center"/>
        </w:trPr>
        <w:tc>
          <w:tcPr>
            <w:tcW w:w="709" w:type="dxa"/>
            <w:vMerge w:val="restart"/>
          </w:tcPr>
          <w:p w14:paraId="2BFA55B5" w14:textId="139F5C5B"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5</w:t>
            </w:r>
            <w:r w:rsidR="00E17B9A">
              <w:rPr>
                <w:rFonts w:ascii="Times New Roman" w:hAnsi="Times New Roman" w:cs="Times New Roman"/>
                <w:sz w:val="24"/>
                <w:szCs w:val="24"/>
                <w:lang w:val="lt-LT"/>
              </w:rPr>
              <w:t>.</w:t>
            </w:r>
          </w:p>
        </w:tc>
        <w:tc>
          <w:tcPr>
            <w:tcW w:w="1842" w:type="dxa"/>
            <w:vMerge w:val="restart"/>
          </w:tcPr>
          <w:p w14:paraId="3DB6C2FE" w14:textId="04540DD0"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Matuojamos dujos ir aptikimo ribos</w:t>
            </w:r>
          </w:p>
        </w:tc>
        <w:tc>
          <w:tcPr>
            <w:tcW w:w="2830" w:type="dxa"/>
          </w:tcPr>
          <w:p w14:paraId="0B39AA63" w14:textId="6E372ECB"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Metanas (CH</w:t>
            </w:r>
            <w:r w:rsidRPr="002616A1">
              <w:rPr>
                <w:rFonts w:ascii="Times New Roman" w:hAnsi="Times New Roman" w:cs="Times New Roman"/>
                <w:sz w:val="24"/>
                <w:szCs w:val="24"/>
                <w:vertAlign w:val="subscript"/>
                <w:lang w:val="lt-LT"/>
              </w:rPr>
              <w:t>4</w:t>
            </w:r>
            <w:r w:rsidRPr="002616A1">
              <w:rPr>
                <w:rFonts w:ascii="Times New Roman" w:hAnsi="Times New Roman" w:cs="Times New Roman"/>
                <w:sz w:val="24"/>
                <w:szCs w:val="24"/>
                <w:lang w:val="lt-LT"/>
              </w:rPr>
              <w:t>) ne</w:t>
            </w:r>
            <w:r w:rsidRPr="007B7719">
              <w:rPr>
                <w:rFonts w:ascii="Times New Roman" w:hAnsi="Times New Roman" w:cs="Times New Roman"/>
                <w:sz w:val="24"/>
                <w:szCs w:val="24"/>
                <w:lang w:val="lt-LT"/>
              </w:rPr>
              <w:t xml:space="preserve"> </w:t>
            </w:r>
            <w:r w:rsidRPr="002616A1">
              <w:rPr>
                <w:rFonts w:ascii="Times New Roman" w:hAnsi="Times New Roman" w:cs="Times New Roman"/>
                <w:sz w:val="24"/>
                <w:szCs w:val="24"/>
                <w:lang w:val="lt-LT"/>
              </w:rPr>
              <w:t>daugiau</w:t>
            </w:r>
            <w:r w:rsidRPr="007B7719">
              <w:rPr>
                <w:rFonts w:ascii="Times New Roman" w:hAnsi="Times New Roman" w:cs="Times New Roman"/>
                <w:sz w:val="24"/>
                <w:szCs w:val="24"/>
                <w:lang w:val="lt-LT"/>
              </w:rPr>
              <w:t xml:space="preserve"> kai</w:t>
            </w:r>
            <w:r w:rsidRPr="002616A1">
              <w:rPr>
                <w:rFonts w:ascii="Times New Roman" w:hAnsi="Times New Roman" w:cs="Times New Roman"/>
                <w:sz w:val="24"/>
                <w:szCs w:val="24"/>
                <w:lang w:val="lt-LT"/>
              </w:rPr>
              <w:t>p 0.</w:t>
            </w:r>
            <w:r w:rsidR="005423E0">
              <w:rPr>
                <w:rFonts w:ascii="Times New Roman" w:hAnsi="Times New Roman" w:cs="Times New Roman"/>
                <w:sz w:val="24"/>
                <w:szCs w:val="24"/>
                <w:lang w:val="lt-LT"/>
              </w:rPr>
              <w:t>4</w:t>
            </w:r>
            <w:r w:rsidRPr="002616A1">
              <w:rPr>
                <w:rFonts w:ascii="Times New Roman" w:hAnsi="Times New Roman" w:cs="Times New Roman"/>
                <w:sz w:val="24"/>
                <w:szCs w:val="24"/>
                <w:lang w:val="lt-LT"/>
              </w:rPr>
              <w:t xml:space="preserve"> ppm</w:t>
            </w:r>
          </w:p>
          <w:p w14:paraId="276353A1" w14:textId="6B687C27" w:rsidR="00B42BAC" w:rsidRPr="002616A1" w:rsidRDefault="00B42BAC" w:rsidP="0012483D">
            <w:pPr>
              <w:jc w:val="both"/>
              <w:rPr>
                <w:rFonts w:ascii="Times New Roman" w:hAnsi="Times New Roman" w:cs="Times New Roman"/>
                <w:sz w:val="24"/>
                <w:szCs w:val="24"/>
                <w:lang w:val="lt-LT"/>
              </w:rPr>
            </w:pPr>
          </w:p>
        </w:tc>
        <w:tc>
          <w:tcPr>
            <w:tcW w:w="3828" w:type="dxa"/>
          </w:tcPr>
          <w:p w14:paraId="288C1AA9" w14:textId="4625AB21" w:rsidR="00B42BAC" w:rsidRPr="007915AC" w:rsidRDefault="00B42BAC" w:rsidP="004B37A3">
            <w:pPr>
              <w:rPr>
                <w:rFonts w:ascii="Times New Roman" w:hAnsi="Times New Roman" w:cs="Times New Roman"/>
                <w:sz w:val="24"/>
                <w:szCs w:val="24"/>
                <w:lang w:val="lt-LT"/>
              </w:rPr>
            </w:pPr>
          </w:p>
        </w:tc>
      </w:tr>
      <w:tr w:rsidR="00B42BAC" w:rsidRPr="00667FC3" w14:paraId="2CC2BF11" w14:textId="77777777" w:rsidTr="007915AC">
        <w:trPr>
          <w:jc w:val="center"/>
        </w:trPr>
        <w:tc>
          <w:tcPr>
            <w:tcW w:w="709" w:type="dxa"/>
            <w:vMerge/>
          </w:tcPr>
          <w:p w14:paraId="557DE74B" w14:textId="77777777" w:rsidR="00B42BAC" w:rsidRPr="002616A1" w:rsidRDefault="00B42BAC">
            <w:pPr>
              <w:rPr>
                <w:rFonts w:ascii="Times New Roman" w:hAnsi="Times New Roman" w:cs="Times New Roman"/>
                <w:sz w:val="24"/>
                <w:szCs w:val="24"/>
                <w:lang w:val="lt-LT"/>
              </w:rPr>
            </w:pPr>
          </w:p>
        </w:tc>
        <w:tc>
          <w:tcPr>
            <w:tcW w:w="1842" w:type="dxa"/>
            <w:vMerge/>
          </w:tcPr>
          <w:p w14:paraId="5A1F1138" w14:textId="77777777" w:rsidR="00B42BAC" w:rsidRPr="002616A1" w:rsidRDefault="00B42BAC">
            <w:pPr>
              <w:rPr>
                <w:rFonts w:ascii="Times New Roman" w:hAnsi="Times New Roman" w:cs="Times New Roman"/>
                <w:sz w:val="24"/>
                <w:szCs w:val="24"/>
                <w:lang w:val="lt-LT"/>
              </w:rPr>
            </w:pPr>
          </w:p>
        </w:tc>
        <w:tc>
          <w:tcPr>
            <w:tcW w:w="2830" w:type="dxa"/>
          </w:tcPr>
          <w:p w14:paraId="74E47D8A" w14:textId="00176796"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Azoto </w:t>
            </w:r>
            <w:proofErr w:type="spellStart"/>
            <w:r w:rsidRPr="002616A1">
              <w:rPr>
                <w:rFonts w:ascii="Times New Roman" w:hAnsi="Times New Roman" w:cs="Times New Roman"/>
                <w:sz w:val="24"/>
                <w:szCs w:val="24"/>
                <w:lang w:val="lt-LT"/>
              </w:rPr>
              <w:t>suboksidas</w:t>
            </w:r>
            <w:proofErr w:type="spellEnd"/>
            <w:r w:rsidRPr="002616A1">
              <w:rPr>
                <w:rFonts w:ascii="Times New Roman" w:hAnsi="Times New Roman" w:cs="Times New Roman"/>
                <w:sz w:val="24"/>
                <w:szCs w:val="24"/>
                <w:lang w:val="lt-LT"/>
              </w:rPr>
              <w:t xml:space="preserve"> (N</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ne daugiau kaip 0.0</w:t>
            </w:r>
            <w:r w:rsidR="005423E0">
              <w:rPr>
                <w:rFonts w:ascii="Times New Roman" w:hAnsi="Times New Roman" w:cs="Times New Roman"/>
                <w:sz w:val="24"/>
                <w:szCs w:val="24"/>
                <w:lang w:val="lt-LT"/>
              </w:rPr>
              <w:t>3</w:t>
            </w:r>
            <w:r w:rsidRPr="002616A1">
              <w:rPr>
                <w:rFonts w:ascii="Times New Roman" w:hAnsi="Times New Roman" w:cs="Times New Roman"/>
                <w:sz w:val="24"/>
                <w:szCs w:val="24"/>
                <w:lang w:val="lt-LT"/>
              </w:rPr>
              <w:t xml:space="preserve"> ppm</w:t>
            </w:r>
          </w:p>
        </w:tc>
        <w:tc>
          <w:tcPr>
            <w:tcW w:w="3828" w:type="dxa"/>
          </w:tcPr>
          <w:p w14:paraId="7CB0FC0F" w14:textId="391B73C6" w:rsidR="00B42BAC" w:rsidRPr="007915AC" w:rsidRDefault="00B42BAC">
            <w:pPr>
              <w:rPr>
                <w:rFonts w:ascii="Times New Roman" w:hAnsi="Times New Roman" w:cs="Times New Roman"/>
                <w:sz w:val="24"/>
                <w:szCs w:val="24"/>
                <w:lang w:val="lt-LT"/>
              </w:rPr>
            </w:pPr>
          </w:p>
        </w:tc>
      </w:tr>
      <w:tr w:rsidR="00B42BAC" w:rsidRPr="0001243E" w14:paraId="56F2E455" w14:textId="77777777" w:rsidTr="007915AC">
        <w:trPr>
          <w:jc w:val="center"/>
        </w:trPr>
        <w:tc>
          <w:tcPr>
            <w:tcW w:w="709" w:type="dxa"/>
            <w:vMerge/>
          </w:tcPr>
          <w:p w14:paraId="18CD9280" w14:textId="77777777" w:rsidR="00B42BAC" w:rsidRPr="002616A1" w:rsidRDefault="00B42BAC">
            <w:pPr>
              <w:rPr>
                <w:rFonts w:ascii="Times New Roman" w:hAnsi="Times New Roman" w:cs="Times New Roman"/>
                <w:sz w:val="24"/>
                <w:szCs w:val="24"/>
                <w:lang w:val="lt-LT"/>
              </w:rPr>
            </w:pPr>
          </w:p>
        </w:tc>
        <w:tc>
          <w:tcPr>
            <w:tcW w:w="1842" w:type="dxa"/>
            <w:vMerge/>
          </w:tcPr>
          <w:p w14:paraId="217A0860" w14:textId="77777777" w:rsidR="00B42BAC" w:rsidRPr="002616A1" w:rsidRDefault="00B42BAC">
            <w:pPr>
              <w:rPr>
                <w:rFonts w:ascii="Times New Roman" w:hAnsi="Times New Roman" w:cs="Times New Roman"/>
                <w:sz w:val="24"/>
                <w:szCs w:val="24"/>
                <w:lang w:val="lt-LT"/>
              </w:rPr>
            </w:pPr>
          </w:p>
        </w:tc>
        <w:tc>
          <w:tcPr>
            <w:tcW w:w="2830" w:type="dxa"/>
          </w:tcPr>
          <w:p w14:paraId="61A0167A" w14:textId="35DEC73E"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Anglies dioksidas (CO</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 xml:space="preserve">) ne daugiau kaip 1.5 </w:t>
            </w:r>
            <w:proofErr w:type="spellStart"/>
            <w:r w:rsidRPr="002616A1">
              <w:rPr>
                <w:rFonts w:ascii="Times New Roman" w:hAnsi="Times New Roman" w:cs="Times New Roman"/>
                <w:sz w:val="24"/>
                <w:szCs w:val="24"/>
                <w:lang w:val="lt-LT"/>
              </w:rPr>
              <w:t>ppm</w:t>
            </w:r>
            <w:proofErr w:type="spellEnd"/>
          </w:p>
        </w:tc>
        <w:tc>
          <w:tcPr>
            <w:tcW w:w="3828" w:type="dxa"/>
          </w:tcPr>
          <w:p w14:paraId="558B2AB9" w14:textId="399A795D" w:rsidR="00B42BAC" w:rsidRPr="007915AC" w:rsidRDefault="00B42BAC">
            <w:pPr>
              <w:rPr>
                <w:rFonts w:ascii="Times New Roman" w:hAnsi="Times New Roman" w:cs="Times New Roman"/>
                <w:sz w:val="24"/>
                <w:szCs w:val="24"/>
                <w:lang w:val="lt-LT"/>
              </w:rPr>
            </w:pPr>
          </w:p>
        </w:tc>
      </w:tr>
      <w:tr w:rsidR="007915AC" w:rsidRPr="0001243E" w14:paraId="336C7A63" w14:textId="77777777" w:rsidTr="00E43FEC">
        <w:trPr>
          <w:trHeight w:val="636"/>
          <w:jc w:val="center"/>
        </w:trPr>
        <w:tc>
          <w:tcPr>
            <w:tcW w:w="709" w:type="dxa"/>
            <w:vMerge/>
          </w:tcPr>
          <w:p w14:paraId="2AF152A3"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06FC0EA9" w14:textId="77777777" w:rsidR="007915AC" w:rsidRPr="002616A1" w:rsidRDefault="007915AC" w:rsidP="007915AC">
            <w:pPr>
              <w:rPr>
                <w:rFonts w:ascii="Times New Roman" w:hAnsi="Times New Roman" w:cs="Times New Roman"/>
                <w:sz w:val="24"/>
                <w:szCs w:val="24"/>
                <w:lang w:val="lt-LT"/>
              </w:rPr>
            </w:pPr>
          </w:p>
        </w:tc>
        <w:tc>
          <w:tcPr>
            <w:tcW w:w="2830" w:type="dxa"/>
          </w:tcPr>
          <w:p w14:paraId="0ECB1BE6" w14:textId="61295E3E"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Amoniakas (NH</w:t>
            </w:r>
            <w:r w:rsidRPr="002616A1">
              <w:rPr>
                <w:rFonts w:ascii="Times New Roman" w:hAnsi="Times New Roman" w:cs="Times New Roman"/>
                <w:sz w:val="24"/>
                <w:szCs w:val="24"/>
                <w:vertAlign w:val="subscript"/>
                <w:lang w:val="lt-LT"/>
              </w:rPr>
              <w:t>3</w:t>
            </w:r>
            <w:r w:rsidRPr="002616A1">
              <w:rPr>
                <w:rFonts w:ascii="Times New Roman" w:hAnsi="Times New Roman" w:cs="Times New Roman"/>
                <w:sz w:val="24"/>
                <w:szCs w:val="24"/>
                <w:lang w:val="lt-LT"/>
              </w:rPr>
              <w:t>) ne daugiau kaip 0.</w:t>
            </w:r>
            <w:r w:rsidR="005423E0">
              <w:rPr>
                <w:rFonts w:ascii="Times New Roman" w:hAnsi="Times New Roman" w:cs="Times New Roman"/>
                <w:sz w:val="24"/>
                <w:szCs w:val="24"/>
                <w:lang w:val="lt-LT"/>
              </w:rPr>
              <w:t>2</w:t>
            </w:r>
            <w:r w:rsidRPr="002616A1">
              <w:rPr>
                <w:rFonts w:ascii="Times New Roman" w:hAnsi="Times New Roman" w:cs="Times New Roman"/>
                <w:sz w:val="24"/>
                <w:szCs w:val="24"/>
                <w:lang w:val="lt-LT"/>
              </w:rPr>
              <w:t xml:space="preserve"> ppm</w:t>
            </w:r>
          </w:p>
        </w:tc>
        <w:tc>
          <w:tcPr>
            <w:tcW w:w="3828" w:type="dxa"/>
          </w:tcPr>
          <w:p w14:paraId="20FA0A5E" w14:textId="27A4910D" w:rsidR="007915AC" w:rsidRPr="007915AC" w:rsidRDefault="007915AC" w:rsidP="007915AC">
            <w:pPr>
              <w:rPr>
                <w:rFonts w:ascii="Times New Roman" w:hAnsi="Times New Roman" w:cs="Times New Roman"/>
                <w:sz w:val="24"/>
                <w:szCs w:val="24"/>
                <w:lang w:val="lt-LT"/>
              </w:rPr>
            </w:pPr>
          </w:p>
        </w:tc>
      </w:tr>
      <w:tr w:rsidR="007915AC" w:rsidRPr="002616A1" w14:paraId="2DB18E3E" w14:textId="77777777" w:rsidTr="007915AC">
        <w:trPr>
          <w:jc w:val="center"/>
        </w:trPr>
        <w:tc>
          <w:tcPr>
            <w:tcW w:w="709" w:type="dxa"/>
            <w:vMerge/>
          </w:tcPr>
          <w:p w14:paraId="4AEF4BD5"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593CFD66" w14:textId="77777777" w:rsidR="007915AC" w:rsidRPr="002616A1" w:rsidRDefault="007915AC" w:rsidP="007915AC">
            <w:pPr>
              <w:rPr>
                <w:rFonts w:ascii="Times New Roman" w:hAnsi="Times New Roman" w:cs="Times New Roman"/>
                <w:sz w:val="24"/>
                <w:szCs w:val="24"/>
                <w:lang w:val="lt-LT"/>
              </w:rPr>
            </w:pPr>
          </w:p>
        </w:tc>
        <w:tc>
          <w:tcPr>
            <w:tcW w:w="2830" w:type="dxa"/>
          </w:tcPr>
          <w:p w14:paraId="13D215CA" w14:textId="56A0DD7C"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Vandens garai (H</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 interferencijos kompensavimui</w:t>
            </w:r>
          </w:p>
        </w:tc>
        <w:tc>
          <w:tcPr>
            <w:tcW w:w="3828" w:type="dxa"/>
          </w:tcPr>
          <w:p w14:paraId="0C6BBA0D" w14:textId="77777777" w:rsidR="007915AC" w:rsidRDefault="007915AC" w:rsidP="007915AC">
            <w:pPr>
              <w:rPr>
                <w:rFonts w:ascii="Times New Roman" w:eastAsia="Times New Roman" w:hAnsi="Times New Roman" w:cs="Times New Roman"/>
                <w:iCs/>
                <w:sz w:val="24"/>
                <w:szCs w:val="24"/>
                <w:highlight w:val="yellow"/>
                <w:lang w:val="lt-LT"/>
              </w:rPr>
            </w:pPr>
          </w:p>
          <w:p w14:paraId="7D9A90CA" w14:textId="74CE61B5" w:rsidR="007915AC" w:rsidRPr="002616A1" w:rsidRDefault="007915AC" w:rsidP="007915AC">
            <w:pPr>
              <w:rPr>
                <w:rFonts w:ascii="Times New Roman" w:hAnsi="Times New Roman" w:cs="Times New Roman"/>
                <w:sz w:val="24"/>
                <w:szCs w:val="24"/>
                <w:lang w:val="lt-LT"/>
              </w:rPr>
            </w:pPr>
          </w:p>
        </w:tc>
      </w:tr>
      <w:tr w:rsidR="007915AC" w:rsidRPr="002616A1" w14:paraId="7303BBB4" w14:textId="77777777" w:rsidTr="007915AC">
        <w:trPr>
          <w:jc w:val="center"/>
        </w:trPr>
        <w:tc>
          <w:tcPr>
            <w:tcW w:w="709" w:type="dxa"/>
          </w:tcPr>
          <w:p w14:paraId="4BA6EB8F" w14:textId="63A6D14B"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6</w:t>
            </w:r>
            <w:r w:rsidR="00E17B9A">
              <w:rPr>
                <w:rFonts w:ascii="Times New Roman" w:hAnsi="Times New Roman" w:cs="Times New Roman"/>
                <w:sz w:val="24"/>
                <w:szCs w:val="24"/>
                <w:lang w:val="lt-LT"/>
              </w:rPr>
              <w:t>.</w:t>
            </w:r>
          </w:p>
        </w:tc>
        <w:tc>
          <w:tcPr>
            <w:tcW w:w="1842" w:type="dxa"/>
          </w:tcPr>
          <w:p w14:paraId="5DA7A031" w14:textId="1E9BB5CD"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Nuotolinis valdymas</w:t>
            </w:r>
          </w:p>
        </w:tc>
        <w:tc>
          <w:tcPr>
            <w:tcW w:w="2830" w:type="dxa"/>
          </w:tcPr>
          <w:p w14:paraId="02B97070" w14:textId="2C87565D" w:rsidR="007915AC" w:rsidRPr="002616A1" w:rsidRDefault="007915AC" w:rsidP="0012483D">
            <w:pPr>
              <w:jc w:val="both"/>
              <w:rPr>
                <w:rFonts w:ascii="Times New Roman" w:hAnsi="Times New Roman" w:cs="Times New Roman"/>
                <w:sz w:val="24"/>
                <w:szCs w:val="24"/>
                <w:lang w:val="lt-LT"/>
              </w:rPr>
            </w:pPr>
            <w:r w:rsidRPr="00C56A5B">
              <w:rPr>
                <w:rFonts w:ascii="Times New Roman" w:hAnsi="Times New Roman" w:cs="Times New Roman"/>
                <w:sz w:val="24"/>
                <w:szCs w:val="24"/>
                <w:lang w:val="lt-LT"/>
              </w:rPr>
              <w:t xml:space="preserve">Turi būti </w:t>
            </w:r>
            <w:r w:rsidR="003155C1" w:rsidRPr="00C56A5B">
              <w:rPr>
                <w:rFonts w:ascii="Times New Roman" w:hAnsi="Times New Roman" w:cs="Times New Roman"/>
                <w:sz w:val="24"/>
                <w:szCs w:val="24"/>
                <w:lang w:val="lt-LT"/>
              </w:rPr>
              <w:t>galim</w:t>
            </w:r>
            <w:r w:rsidR="003155C1">
              <w:rPr>
                <w:rFonts w:ascii="Times New Roman" w:hAnsi="Times New Roman" w:cs="Times New Roman"/>
                <w:sz w:val="24"/>
                <w:szCs w:val="24"/>
                <w:lang w:val="lt-LT"/>
              </w:rPr>
              <w:t>a</w:t>
            </w:r>
            <w:r w:rsidR="003155C1" w:rsidRPr="00C56A5B">
              <w:rPr>
                <w:rFonts w:ascii="Times New Roman" w:hAnsi="Times New Roman" w:cs="Times New Roman"/>
                <w:sz w:val="24"/>
                <w:szCs w:val="24"/>
                <w:lang w:val="lt-LT"/>
              </w:rPr>
              <w:t xml:space="preserve"> </w:t>
            </w:r>
            <w:r w:rsidRPr="00C56A5B">
              <w:rPr>
                <w:rFonts w:ascii="Times New Roman" w:hAnsi="Times New Roman" w:cs="Times New Roman"/>
                <w:sz w:val="24"/>
                <w:szCs w:val="24"/>
                <w:lang w:val="lt-LT"/>
              </w:rPr>
              <w:t xml:space="preserve">valdyti nuotoliu </w:t>
            </w:r>
          </w:p>
        </w:tc>
        <w:tc>
          <w:tcPr>
            <w:tcW w:w="3828" w:type="dxa"/>
          </w:tcPr>
          <w:p w14:paraId="1F1B3D19" w14:textId="5B6B4C6E" w:rsidR="007915AC" w:rsidRPr="002616A1" w:rsidRDefault="007915AC" w:rsidP="007915AC">
            <w:pPr>
              <w:rPr>
                <w:rFonts w:ascii="Times New Roman" w:hAnsi="Times New Roman" w:cs="Times New Roman"/>
                <w:sz w:val="24"/>
                <w:szCs w:val="24"/>
                <w:lang w:val="lt-LT"/>
              </w:rPr>
            </w:pPr>
          </w:p>
        </w:tc>
      </w:tr>
      <w:tr w:rsidR="007915AC" w:rsidRPr="00667FC3" w14:paraId="37AE784A" w14:textId="77777777" w:rsidTr="007915AC">
        <w:trPr>
          <w:jc w:val="center"/>
        </w:trPr>
        <w:tc>
          <w:tcPr>
            <w:tcW w:w="709" w:type="dxa"/>
          </w:tcPr>
          <w:p w14:paraId="62CB981F" w14:textId="11B819F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7</w:t>
            </w:r>
            <w:r w:rsidR="00E17B9A">
              <w:rPr>
                <w:rFonts w:ascii="Times New Roman" w:hAnsi="Times New Roman" w:cs="Times New Roman"/>
                <w:sz w:val="24"/>
                <w:szCs w:val="24"/>
                <w:lang w:val="lt-LT"/>
              </w:rPr>
              <w:t>.</w:t>
            </w:r>
          </w:p>
        </w:tc>
        <w:tc>
          <w:tcPr>
            <w:tcW w:w="1842" w:type="dxa"/>
          </w:tcPr>
          <w:p w14:paraId="3797CC3B" w14:textId="2EC33742" w:rsidR="007915AC" w:rsidRPr="002616A1" w:rsidRDefault="005423E0" w:rsidP="007915AC">
            <w:pPr>
              <w:rPr>
                <w:rFonts w:ascii="Times New Roman" w:hAnsi="Times New Roman" w:cs="Times New Roman"/>
                <w:sz w:val="24"/>
                <w:szCs w:val="24"/>
                <w:lang w:val="lt-LT"/>
              </w:rPr>
            </w:pPr>
            <w:r>
              <w:rPr>
                <w:rFonts w:ascii="Times New Roman" w:hAnsi="Times New Roman" w:cs="Times New Roman"/>
                <w:sz w:val="24"/>
                <w:szCs w:val="24"/>
                <w:lang w:val="lt-LT"/>
              </w:rPr>
              <w:t>Kompensavimas</w:t>
            </w:r>
          </w:p>
        </w:tc>
        <w:tc>
          <w:tcPr>
            <w:tcW w:w="2830" w:type="dxa"/>
          </w:tcPr>
          <w:p w14:paraId="5582CDA5" w14:textId="6F2141E0" w:rsidR="007915AC" w:rsidRPr="002616A1" w:rsidRDefault="005423E0" w:rsidP="0012483D">
            <w:pPr>
              <w:jc w:val="both"/>
              <w:rPr>
                <w:rFonts w:ascii="Times New Roman" w:hAnsi="Times New Roman" w:cs="Times New Roman"/>
                <w:color w:val="EE0000"/>
                <w:sz w:val="24"/>
                <w:szCs w:val="24"/>
                <w:lang w:val="lt-LT"/>
              </w:rPr>
            </w:pPr>
            <w:r>
              <w:rPr>
                <w:rFonts w:ascii="Times New Roman" w:hAnsi="Times New Roman" w:cs="Times New Roman"/>
                <w:sz w:val="24"/>
                <w:szCs w:val="24"/>
                <w:lang w:val="lt-LT"/>
              </w:rPr>
              <w:t>Prietaisas t</w:t>
            </w:r>
            <w:r w:rsidR="007915AC">
              <w:rPr>
                <w:rFonts w:ascii="Times New Roman" w:hAnsi="Times New Roman" w:cs="Times New Roman"/>
                <w:sz w:val="24"/>
                <w:szCs w:val="24"/>
                <w:lang w:val="lt-LT"/>
              </w:rPr>
              <w:t xml:space="preserve">uri </w:t>
            </w:r>
            <w:r>
              <w:rPr>
                <w:rFonts w:ascii="Times New Roman" w:hAnsi="Times New Roman" w:cs="Times New Roman"/>
                <w:sz w:val="24"/>
                <w:szCs w:val="24"/>
                <w:lang w:val="lt-LT"/>
              </w:rPr>
              <w:t>automatiškai kompensuoti</w:t>
            </w:r>
            <w:r w:rsidR="007915AC" w:rsidRPr="002616A1">
              <w:rPr>
                <w:rFonts w:ascii="Times New Roman" w:hAnsi="Times New Roman" w:cs="Times New Roman"/>
                <w:sz w:val="24"/>
                <w:szCs w:val="24"/>
                <w:lang w:val="lt-LT"/>
              </w:rPr>
              <w:t xml:space="preserve"> temperatūros ir slėgio svyravim</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 xml:space="preserve">analizės </w:t>
            </w:r>
            <w:r>
              <w:rPr>
                <w:rFonts w:ascii="Times New Roman" w:hAnsi="Times New Roman" w:cs="Times New Roman"/>
                <w:sz w:val="24"/>
                <w:szCs w:val="24"/>
                <w:lang w:val="lt-LT"/>
              </w:rPr>
              <w:t>kameroje</w:t>
            </w:r>
            <w:r w:rsidR="00E678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7915AC" w:rsidRPr="002616A1">
              <w:rPr>
                <w:rFonts w:ascii="Times New Roman" w:hAnsi="Times New Roman" w:cs="Times New Roman"/>
                <w:sz w:val="24"/>
                <w:szCs w:val="24"/>
                <w:lang w:val="lt-LT"/>
              </w:rPr>
              <w:t xml:space="preserve"> vandens gar</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oro mėginyje</w:t>
            </w:r>
            <w:r w:rsidR="003155C1">
              <w:rPr>
                <w:rFonts w:ascii="Times New Roman" w:hAnsi="Times New Roman" w:cs="Times New Roman"/>
                <w:sz w:val="24"/>
                <w:szCs w:val="24"/>
                <w:lang w:val="lt-LT"/>
              </w:rPr>
              <w:t>.</w:t>
            </w:r>
            <w:r w:rsidR="003155C1" w:rsidRPr="002616A1">
              <w:rPr>
                <w:rFonts w:ascii="Times New Roman" w:hAnsi="Times New Roman" w:cs="Times New Roman"/>
                <w:sz w:val="24"/>
                <w:szCs w:val="24"/>
                <w:lang w:val="lt-LT"/>
              </w:rPr>
              <w:t xml:space="preserve"> </w:t>
            </w:r>
          </w:p>
        </w:tc>
        <w:tc>
          <w:tcPr>
            <w:tcW w:w="3828" w:type="dxa"/>
          </w:tcPr>
          <w:p w14:paraId="16182775" w14:textId="2F3807A1" w:rsidR="007915AC" w:rsidRPr="002616A1" w:rsidRDefault="007915AC" w:rsidP="007915AC">
            <w:pPr>
              <w:rPr>
                <w:rFonts w:ascii="Times New Roman" w:hAnsi="Times New Roman" w:cs="Times New Roman"/>
                <w:sz w:val="24"/>
                <w:szCs w:val="24"/>
                <w:lang w:val="lt-LT"/>
              </w:rPr>
            </w:pPr>
          </w:p>
        </w:tc>
      </w:tr>
      <w:tr w:rsidR="007915AC" w:rsidRPr="002616A1" w14:paraId="43444BB4" w14:textId="77777777" w:rsidTr="007915AC">
        <w:trPr>
          <w:jc w:val="center"/>
        </w:trPr>
        <w:tc>
          <w:tcPr>
            <w:tcW w:w="709" w:type="dxa"/>
          </w:tcPr>
          <w:p w14:paraId="7144CE24" w14:textId="5EC8EBE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8</w:t>
            </w:r>
            <w:r w:rsidR="00E17B9A">
              <w:rPr>
                <w:rFonts w:ascii="Times New Roman" w:hAnsi="Times New Roman" w:cs="Times New Roman"/>
                <w:sz w:val="24"/>
                <w:szCs w:val="24"/>
                <w:lang w:val="lt-LT"/>
              </w:rPr>
              <w:t>.</w:t>
            </w:r>
          </w:p>
        </w:tc>
        <w:tc>
          <w:tcPr>
            <w:tcW w:w="1842" w:type="dxa"/>
          </w:tcPr>
          <w:p w14:paraId="77A52EB0" w14:textId="5B5C1965"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Programinė įranga</w:t>
            </w:r>
          </w:p>
        </w:tc>
        <w:tc>
          <w:tcPr>
            <w:tcW w:w="2830" w:type="dxa"/>
          </w:tcPr>
          <w:p w14:paraId="16FD20A2" w14:textId="6FA59975"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Duomenų valdymo ir analizės programinė įranga </w:t>
            </w:r>
          </w:p>
        </w:tc>
        <w:tc>
          <w:tcPr>
            <w:tcW w:w="3828" w:type="dxa"/>
          </w:tcPr>
          <w:p w14:paraId="07D9A2B9" w14:textId="73B3C231" w:rsidR="007915AC" w:rsidRPr="002616A1" w:rsidRDefault="007915AC" w:rsidP="007915AC">
            <w:pPr>
              <w:rPr>
                <w:rFonts w:ascii="Times New Roman" w:hAnsi="Times New Roman" w:cs="Times New Roman"/>
                <w:sz w:val="24"/>
                <w:szCs w:val="24"/>
                <w:lang w:val="lt-LT"/>
              </w:rPr>
            </w:pPr>
          </w:p>
        </w:tc>
      </w:tr>
      <w:tr w:rsidR="007915AC" w:rsidRPr="002616A1" w14:paraId="342F6BC0" w14:textId="77777777" w:rsidTr="007915AC">
        <w:trPr>
          <w:jc w:val="center"/>
        </w:trPr>
        <w:tc>
          <w:tcPr>
            <w:tcW w:w="709" w:type="dxa"/>
          </w:tcPr>
          <w:p w14:paraId="2E191095" w14:textId="5D0EC83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9</w:t>
            </w:r>
            <w:r w:rsidR="00E17B9A">
              <w:rPr>
                <w:rFonts w:ascii="Times New Roman" w:hAnsi="Times New Roman" w:cs="Times New Roman"/>
                <w:sz w:val="24"/>
                <w:szCs w:val="24"/>
                <w:lang w:val="lt-LT"/>
              </w:rPr>
              <w:t>.</w:t>
            </w:r>
          </w:p>
        </w:tc>
        <w:tc>
          <w:tcPr>
            <w:tcW w:w="1842" w:type="dxa"/>
          </w:tcPr>
          <w:p w14:paraId="129DF5F4" w14:textId="7715200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Duomenų eksportas</w:t>
            </w:r>
          </w:p>
        </w:tc>
        <w:tc>
          <w:tcPr>
            <w:tcW w:w="2830" w:type="dxa"/>
          </w:tcPr>
          <w:p w14:paraId="50F1529A" w14:textId="526C1323"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Suderinamumas su Microsoft Office arba lygiaverte</w:t>
            </w:r>
            <w:r>
              <w:rPr>
                <w:rFonts w:ascii="Times New Roman" w:hAnsi="Times New Roman" w:cs="Times New Roman"/>
                <w:sz w:val="24"/>
                <w:szCs w:val="24"/>
                <w:lang w:val="lt-LT"/>
              </w:rPr>
              <w:t xml:space="preserve"> programa</w:t>
            </w:r>
          </w:p>
        </w:tc>
        <w:tc>
          <w:tcPr>
            <w:tcW w:w="3828" w:type="dxa"/>
          </w:tcPr>
          <w:p w14:paraId="54FACA4A" w14:textId="40138E37" w:rsidR="007915AC" w:rsidRPr="002616A1" w:rsidRDefault="007915AC" w:rsidP="007915AC">
            <w:pPr>
              <w:rPr>
                <w:rFonts w:ascii="Times New Roman" w:hAnsi="Times New Roman" w:cs="Times New Roman"/>
                <w:sz w:val="24"/>
                <w:szCs w:val="24"/>
                <w:lang w:val="lt-LT"/>
              </w:rPr>
            </w:pPr>
          </w:p>
        </w:tc>
      </w:tr>
      <w:tr w:rsidR="007915AC" w:rsidRPr="00667FC3" w14:paraId="76988E59" w14:textId="77777777" w:rsidTr="007915AC">
        <w:trPr>
          <w:jc w:val="center"/>
        </w:trPr>
        <w:tc>
          <w:tcPr>
            <w:tcW w:w="709" w:type="dxa"/>
          </w:tcPr>
          <w:p w14:paraId="0F67D3A1" w14:textId="1B23FB3D" w:rsidR="007915AC" w:rsidRPr="002616A1" w:rsidRDefault="0012483D"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Pr>
                <w:rFonts w:ascii="Times New Roman" w:hAnsi="Times New Roman" w:cs="Times New Roman"/>
                <w:sz w:val="24"/>
                <w:szCs w:val="24"/>
                <w:lang w:val="lt-LT"/>
              </w:rPr>
              <w:t>0</w:t>
            </w:r>
            <w:r w:rsidR="00E17B9A">
              <w:rPr>
                <w:rFonts w:ascii="Times New Roman" w:hAnsi="Times New Roman" w:cs="Times New Roman"/>
                <w:sz w:val="24"/>
                <w:szCs w:val="24"/>
                <w:lang w:val="lt-LT"/>
              </w:rPr>
              <w:t>.</w:t>
            </w:r>
          </w:p>
        </w:tc>
        <w:tc>
          <w:tcPr>
            <w:tcW w:w="1842" w:type="dxa"/>
          </w:tcPr>
          <w:p w14:paraId="1D2E9411" w14:textId="40070D83"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Garantija</w:t>
            </w:r>
          </w:p>
        </w:tc>
        <w:tc>
          <w:tcPr>
            <w:tcW w:w="2830" w:type="dxa"/>
          </w:tcPr>
          <w:p w14:paraId="1EF31C15" w14:textId="19D65C26" w:rsidR="007915AC" w:rsidRPr="002616A1" w:rsidRDefault="00E678B7"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Garantija n</w:t>
            </w:r>
            <w:r w:rsidR="007915AC" w:rsidRPr="002616A1">
              <w:rPr>
                <w:rFonts w:ascii="Times New Roman" w:hAnsi="Times New Roman" w:cs="Times New Roman"/>
                <w:sz w:val="24"/>
                <w:szCs w:val="24"/>
                <w:lang w:val="lt-LT"/>
              </w:rPr>
              <w:t>e mažiau kaip 12 mėn.</w:t>
            </w:r>
          </w:p>
        </w:tc>
        <w:tc>
          <w:tcPr>
            <w:tcW w:w="3828" w:type="dxa"/>
          </w:tcPr>
          <w:p w14:paraId="6F89052D" w14:textId="79EFE830" w:rsidR="007915AC" w:rsidRPr="002616A1" w:rsidRDefault="003B3377" w:rsidP="007915AC">
            <w:pPr>
              <w:rPr>
                <w:rFonts w:ascii="Times New Roman" w:hAnsi="Times New Roman" w:cs="Times New Roman"/>
                <w:sz w:val="24"/>
                <w:szCs w:val="24"/>
                <w:lang w:val="lt-LT"/>
              </w:rPr>
            </w:pPr>
            <w:r w:rsidRPr="003B3377">
              <w:rPr>
                <w:rFonts w:ascii="Times New Roman" w:hAnsi="Times New Roman" w:cs="Times New Roman"/>
                <w:sz w:val="24"/>
                <w:szCs w:val="24"/>
                <w:lang w:val="lt-LT"/>
              </w:rPr>
              <w:t>Pastaba: šio reikalavimo atitiktį pagrindžiančių dokumentų nereikia pateikti, pakanka, kad tiekėjas užpildys šį techninės specifikacijos reikalavimą.</w:t>
            </w:r>
          </w:p>
        </w:tc>
      </w:tr>
    </w:tbl>
    <w:p w14:paraId="6A1945BB" w14:textId="77777777" w:rsidR="000D0357" w:rsidRPr="001A2B73" w:rsidRDefault="000D0357" w:rsidP="000D0357">
      <w:pPr>
        <w:spacing w:after="0" w:line="240" w:lineRule="auto"/>
        <w:ind w:firstLine="709"/>
        <w:jc w:val="both"/>
        <w:rPr>
          <w:rFonts w:ascii="Times New Roman" w:eastAsia="Calibri" w:hAnsi="Times New Roman" w:cs="Times New Roman"/>
          <w:b/>
          <w:bCs/>
          <w:i/>
          <w:iCs/>
          <w:sz w:val="24"/>
          <w:szCs w:val="24"/>
          <w:lang w:val="lt-LT"/>
        </w:rPr>
      </w:pPr>
      <w:r w:rsidRPr="001A2B73">
        <w:rPr>
          <w:rFonts w:ascii="Times New Roman" w:eastAsia="Calibri" w:hAnsi="Times New Roman" w:cs="Times New Roman"/>
          <w:b/>
          <w:bCs/>
          <w:i/>
          <w:iCs/>
          <w:sz w:val="24"/>
          <w:szCs w:val="24"/>
          <w:lang w:val="lt-LT"/>
        </w:rPr>
        <w:t>Pastabos:</w:t>
      </w:r>
    </w:p>
    <w:p w14:paraId="6694F81D" w14:textId="77777777" w:rsidR="000D0357" w:rsidRPr="00DC4B6F" w:rsidRDefault="000D0357" w:rsidP="000D0357">
      <w:pPr>
        <w:spacing w:after="0" w:line="240" w:lineRule="auto"/>
        <w:ind w:firstLine="709"/>
        <w:jc w:val="both"/>
        <w:rPr>
          <w:rFonts w:ascii="Times New Roman" w:eastAsia="Calibri" w:hAnsi="Times New Roman" w:cs="Times New Roman"/>
          <w:i/>
          <w:iCs/>
          <w:sz w:val="24"/>
          <w:szCs w:val="24"/>
          <w:lang w:val="lt-LT"/>
        </w:rPr>
      </w:pPr>
      <w:r w:rsidRPr="00DC4B6F">
        <w:rPr>
          <w:rFonts w:ascii="Times New Roman" w:eastAsia="Calibri" w:hAnsi="Times New Roman" w:cs="Times New Roman"/>
          <w:i/>
          <w:iCs/>
          <w:sz w:val="24"/>
          <w:szCs w:val="24"/>
          <w:lang w:val="lt-LT"/>
        </w:rPr>
        <w:t xml:space="preserve">Jeigu perkančiosios organizacijos parengtoje techninėje specifikacijoje nurodytas konkretus (t. y. šalia nenurodytas žodis „arba lygiavertis“) prekės ženklas, gamintojas, </w:t>
      </w:r>
      <w:r w:rsidRPr="00DC4B6F">
        <w:rPr>
          <w:rFonts w:ascii="Times New Roman" w:eastAsia="Calibri" w:hAnsi="Times New Roman" w:cs="Times New Roman"/>
          <w:i/>
          <w:iCs/>
          <w:sz w:val="24"/>
          <w:szCs w:val="24"/>
          <w:lang w:val="lt-LT"/>
        </w:rPr>
        <w:lastRenderedPageBreak/>
        <w:t>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DC4B6F">
        <w:rPr>
          <w:rFonts w:ascii="Times New Roman" w:eastAsia="Calibri" w:hAnsi="Times New Roman" w:cs="Times New Roman"/>
          <w:sz w:val="24"/>
          <w:szCs w:val="24"/>
          <w:lang w:val="lt-LT"/>
        </w:rPr>
        <w:t xml:space="preserve"> </w:t>
      </w:r>
      <w:r w:rsidRPr="00DC4B6F">
        <w:rPr>
          <w:rFonts w:ascii="Times New Roman" w:eastAsia="Calibri" w:hAnsi="Times New Roman" w:cs="Times New Roman"/>
          <w:i/>
          <w:iCs/>
          <w:sz w:val="24"/>
          <w:szCs w:val="24"/>
          <w:lang w:val="lt-LT"/>
        </w:rPr>
        <w:t>2 proc.</w:t>
      </w:r>
    </w:p>
    <w:p w14:paraId="312CB7AC" w14:textId="77777777" w:rsidR="001A2B73" w:rsidRDefault="001A2B73" w:rsidP="001A2B73">
      <w:pPr>
        <w:spacing w:line="240" w:lineRule="auto"/>
        <w:jc w:val="both"/>
        <w:rPr>
          <w:rFonts w:ascii="Times New Roman" w:hAnsi="Times New Roman" w:cs="Times New Roman"/>
          <w:b/>
          <w:bCs/>
          <w:u w:val="single"/>
          <w:lang w:val="lt-LT"/>
        </w:rPr>
      </w:pPr>
      <w:bookmarkStart w:id="0" w:name="x_x_x_x__Hlk158296136"/>
    </w:p>
    <w:p w14:paraId="7318008A" w14:textId="269159BF" w:rsidR="001A2B73" w:rsidRPr="001A2B73" w:rsidRDefault="001A2B73" w:rsidP="001A2B73">
      <w:pPr>
        <w:spacing w:line="240" w:lineRule="auto"/>
        <w:jc w:val="both"/>
        <w:rPr>
          <w:rFonts w:ascii="Times New Roman" w:hAnsi="Times New Roman" w:cs="Times New Roman"/>
          <w:sz w:val="24"/>
          <w:szCs w:val="24"/>
          <w:u w:val="single"/>
          <w:lang w:val="lt-LT"/>
        </w:rPr>
      </w:pPr>
      <w:r w:rsidRPr="001A2B73">
        <w:rPr>
          <w:rFonts w:ascii="Times New Roman" w:hAnsi="Times New Roman" w:cs="Times New Roman"/>
          <w:b/>
          <w:bCs/>
          <w:sz w:val="24"/>
          <w:szCs w:val="24"/>
          <w:u w:val="single"/>
          <w:lang w:val="lt-LT"/>
        </w:rPr>
        <w:t>K</w:t>
      </w:r>
      <w:bookmarkEnd w:id="0"/>
      <w:r w:rsidRPr="001A2B73">
        <w:rPr>
          <w:rFonts w:ascii="Times New Roman" w:hAnsi="Times New Roman" w:cs="Times New Roman"/>
          <w:b/>
          <w:bCs/>
          <w:sz w:val="24"/>
          <w:szCs w:val="24"/>
          <w:u w:val="single"/>
          <w:lang w:val="lt-LT"/>
        </w:rPr>
        <w:t>ita informacija:</w:t>
      </w:r>
    </w:p>
    <w:p w14:paraId="7AD9AE1B" w14:textId="77777777" w:rsidR="001A2B73" w:rsidRPr="001A2B73" w:rsidRDefault="001A2B73" w:rsidP="001A2B73">
      <w:pPr>
        <w:spacing w:line="240" w:lineRule="auto"/>
        <w:jc w:val="both"/>
        <w:rPr>
          <w:rFonts w:ascii="Times New Roman" w:hAnsi="Times New Roman" w:cs="Times New Roman"/>
          <w:b/>
          <w:bCs/>
          <w:sz w:val="24"/>
          <w:szCs w:val="24"/>
          <w:lang w:val="lt-LT"/>
        </w:rPr>
      </w:pPr>
      <w:r w:rsidRPr="001A2B73">
        <w:rPr>
          <w:rFonts w:ascii="Times New Roman" w:hAnsi="Times New Roman" w:cs="Times New Roman"/>
          <w:sz w:val="24"/>
          <w:szCs w:val="24"/>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1A2B73">
        <w:rPr>
          <w:rFonts w:ascii="Times New Roman" w:hAnsi="Times New Roman" w:cs="Times New Roman"/>
          <w:b/>
          <w:bCs/>
          <w:sz w:val="24"/>
          <w:szCs w:val="24"/>
          <w:lang w:val="lt-LT"/>
        </w:rPr>
        <w:t>Pirkėjas šio reikalavimo atitiktį vertins prekių pristatymo metu.</w:t>
      </w:r>
    </w:p>
    <w:p w14:paraId="0BF94B4E"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b/>
          <w:bCs/>
          <w:sz w:val="24"/>
          <w:szCs w:val="24"/>
          <w:u w:val="single"/>
          <w:lang w:val="lt-LT"/>
        </w:rPr>
        <w:t xml:space="preserve">Tiekėjas Sutarties vykdymo metu kartu su pristatomomis prekėmis privalo pateikti: </w:t>
      </w:r>
      <w:r w:rsidRPr="001A2B73">
        <w:rPr>
          <w:rFonts w:ascii="Times New Roman" w:hAnsi="Times New Roman" w:cs="Times New Roman"/>
          <w:sz w:val="24"/>
          <w:szCs w:val="24"/>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5CAAECC"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sz w:val="24"/>
          <w:szCs w:val="24"/>
          <w:lang w:val="lt-LT"/>
        </w:rPr>
        <w:t>Jei prekėms pagal Europos Sąjungos teisės aktų reikalavimus nėra privalomas CE ženklinimas – </w:t>
      </w:r>
      <w:r w:rsidRPr="001A2B73">
        <w:rPr>
          <w:rFonts w:ascii="Times New Roman" w:hAnsi="Times New Roman" w:cs="Times New Roman"/>
          <w:b/>
          <w:bCs/>
          <w:sz w:val="24"/>
          <w:szCs w:val="24"/>
          <w:lang w:val="lt-LT"/>
        </w:rPr>
        <w:t>Tiekėjas laisva rašytine forma turi pagrįsti, kad prekių neprivaloma ženklinti CE ženklu pagal teisės aktų reikalavimus.</w:t>
      </w:r>
    </w:p>
    <w:p w14:paraId="7BA0C28A" w14:textId="77777777" w:rsidR="001A2B73" w:rsidRPr="001A2B73" w:rsidRDefault="001A2B73" w:rsidP="001A2B73">
      <w:pPr>
        <w:spacing w:line="240" w:lineRule="auto"/>
        <w:jc w:val="both"/>
        <w:rPr>
          <w:rFonts w:ascii="Times New Roman" w:hAnsi="Times New Roman" w:cs="Times New Roman"/>
          <w:sz w:val="24"/>
          <w:szCs w:val="24"/>
          <w:lang w:val="lt-LT"/>
        </w:rPr>
      </w:pPr>
      <w:r w:rsidRPr="001A2B73">
        <w:rPr>
          <w:rFonts w:ascii="Times New Roman" w:hAnsi="Times New Roman" w:cs="Times New Roman"/>
          <w:sz w:val="24"/>
          <w:szCs w:val="24"/>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1A2B73">
        <w:rPr>
          <w:rFonts w:ascii="Times New Roman" w:hAnsi="Times New Roman" w:cs="Times New Roman"/>
          <w:b/>
          <w:bCs/>
          <w:sz w:val="24"/>
          <w:szCs w:val="24"/>
          <w:lang w:val="lt-LT"/>
        </w:rPr>
        <w:t>nėra taikomos – tokiu atveju Tiekėjas laisva rašytine forma turi pagrįsti dėl Direktyvų netaikymo.</w:t>
      </w:r>
    </w:p>
    <w:p w14:paraId="615420D7" w14:textId="77777777" w:rsidR="001A2B73" w:rsidRPr="001A2B73" w:rsidRDefault="001A2B73" w:rsidP="001A2B73">
      <w:pPr>
        <w:rPr>
          <w:sz w:val="24"/>
          <w:szCs w:val="24"/>
          <w:lang w:val="lt-LT"/>
        </w:rPr>
      </w:pPr>
    </w:p>
    <w:p w14:paraId="737CC9EB" w14:textId="77777777" w:rsidR="001A2B73" w:rsidRPr="001A2B73" w:rsidRDefault="001A2B73" w:rsidP="001A2B73">
      <w:pPr>
        <w:spacing w:line="240" w:lineRule="auto"/>
        <w:jc w:val="both"/>
        <w:rPr>
          <w:rFonts w:ascii="Times New Roman" w:eastAsia="Times New Roman" w:hAnsi="Times New Roman" w:cs="Times New Roman"/>
          <w:b/>
          <w:color w:val="000000"/>
          <w:sz w:val="24"/>
          <w:szCs w:val="24"/>
          <w:u w:val="single"/>
          <w:lang w:val="lt-LT"/>
        </w:rPr>
      </w:pPr>
      <w:r w:rsidRPr="001A2B73">
        <w:rPr>
          <w:rFonts w:ascii="Times New Roman" w:eastAsia="Times New Roman" w:hAnsi="Times New Roman" w:cs="Times New Roman"/>
          <w:b/>
          <w:color w:val="000000"/>
          <w:sz w:val="24"/>
          <w:szCs w:val="24"/>
          <w:u w:val="single"/>
          <w:lang w:val="lt-LT"/>
        </w:rPr>
        <w:t>Žalieji reikalavimai:</w:t>
      </w:r>
    </w:p>
    <w:p w14:paraId="438C0E85" w14:textId="77777777" w:rsidR="00182FD5" w:rsidRDefault="00182FD5" w:rsidP="00DC4B6F">
      <w:pPr>
        <w:spacing w:after="0" w:line="240" w:lineRule="auto"/>
        <w:ind w:firstLine="709"/>
        <w:jc w:val="both"/>
        <w:rPr>
          <w:rFonts w:ascii="Times New Roman" w:eastAsia="Calibri" w:hAnsi="Times New Roman" w:cs="Times New Roman"/>
          <w:sz w:val="24"/>
          <w:szCs w:val="24"/>
          <w:lang w:val="lt-LT"/>
        </w:rPr>
      </w:pPr>
    </w:p>
    <w:p w14:paraId="6B8A0DE6" w14:textId="77777777" w:rsidR="00AF58E5" w:rsidRDefault="00AF58E5" w:rsidP="00DC4B6F">
      <w:pPr>
        <w:spacing w:after="0" w:line="240" w:lineRule="auto"/>
        <w:ind w:firstLine="709"/>
        <w:jc w:val="both"/>
        <w:rPr>
          <w:rFonts w:ascii="Times New Roman" w:eastAsia="Calibri" w:hAnsi="Times New Roman" w:cs="Times New Roman"/>
          <w:sz w:val="24"/>
          <w:szCs w:val="24"/>
          <w:lang w:val="lt-LT"/>
        </w:rPr>
      </w:pPr>
    </w:p>
    <w:p w14:paraId="21266A0C"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Taikomi žemiau nurodyti Lietuvos Respublikos aplinkos ministro 2011 m. birželio 28 d. įsakymu Nr. D1-508 „Dėl aplinkos apsaugos kriterijų taikymo, vykdant žaliuosius pirkimus, tvarkos aprašo patvirtinimo“ (aktualia redakcija) reikalavimai:</w:t>
      </w:r>
    </w:p>
    <w:p w14:paraId="59BF0308"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0FE43E59" w14:textId="77777777" w:rsidR="00893846" w:rsidRPr="00893846" w:rsidRDefault="00893846" w:rsidP="00893846">
      <w:pPr>
        <w:shd w:val="clear" w:color="auto" w:fill="FFFFFF"/>
        <w:spacing w:after="0" w:line="240" w:lineRule="auto"/>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bdr w:val="none" w:sz="0" w:space="0" w:color="auto" w:frame="1"/>
          <w:lang w:val="lt-LT" w:eastAsia="lt-LT"/>
        </w:rPr>
        <w:t></w:t>
      </w:r>
    </w:p>
    <w:tbl>
      <w:tblPr>
        <w:tblW w:w="97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5106"/>
        <w:gridCol w:w="3859"/>
      </w:tblGrid>
      <w:tr w:rsidR="00893846" w:rsidRPr="00667FC3" w14:paraId="5461FEA0" w14:textId="77777777" w:rsidTr="007B7719">
        <w:trPr>
          <w:jc w:val="center"/>
        </w:trPr>
        <w:tc>
          <w:tcPr>
            <w:tcW w:w="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89A26"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Eil. Nr.</w:t>
            </w:r>
          </w:p>
        </w:tc>
        <w:tc>
          <w:tcPr>
            <w:tcW w:w="5106"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107E780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Aplinkos apsaugos kriterijai</w:t>
            </w:r>
          </w:p>
        </w:tc>
        <w:tc>
          <w:tcPr>
            <w:tcW w:w="385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ECF5E50"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Atitiktį aplinkos kriterijams pagrindžiantys dokumentai (jei reikalaujama)</w:t>
            </w:r>
          </w:p>
        </w:tc>
      </w:tr>
      <w:tr w:rsidR="00893846" w:rsidRPr="00893846" w14:paraId="1C704157" w14:textId="77777777" w:rsidTr="007B7719">
        <w:trPr>
          <w:jc w:val="center"/>
        </w:trPr>
        <w:tc>
          <w:tcPr>
            <w:tcW w:w="762"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2189D"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1.</w:t>
            </w:r>
          </w:p>
        </w:tc>
        <w:tc>
          <w:tcPr>
            <w:tcW w:w="510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A272CBC"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1BEBD8C7"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4 punkto 4.4.4.2. papunktis:</w:t>
            </w:r>
          </w:p>
          <w:p w14:paraId="41E811C6"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xml:space="preserve">Perkamas inovatyvus įrenginys darantis kuo mažesnį neigiamą poveikį aplinkai. </w:t>
            </w:r>
          </w:p>
          <w:p w14:paraId="7EFEBDB4"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Tiekėjas įsipareigoja parengti mokymus pirkimo vykdytojo darbuotojams, kuriuose būtų aptarti </w:t>
            </w:r>
            <w:r w:rsidRPr="00893846">
              <w:rPr>
                <w:rFonts w:ascii="Times New Roman" w:eastAsia="Times New Roman" w:hAnsi="Times New Roman" w:cs="Times New Roman"/>
                <w:b/>
                <w:bCs/>
                <w:color w:val="242424"/>
                <w:sz w:val="24"/>
                <w:szCs w:val="24"/>
                <w:lang w:val="lt-LT" w:eastAsia="lt-LT"/>
              </w:rPr>
              <w:t>įrangos elektros energijos</w:t>
            </w:r>
            <w:r w:rsidRPr="00893846">
              <w:rPr>
                <w:rFonts w:ascii="Times New Roman" w:eastAsia="Times New Roman" w:hAnsi="Times New Roman" w:cs="Times New Roman"/>
                <w:color w:val="242424"/>
                <w:sz w:val="24"/>
                <w:szCs w:val="24"/>
                <w:lang w:val="lt-LT" w:eastAsia="lt-LT"/>
              </w:rPr>
              <w:t> vartojimo efektyvumo didinimo aspektai (parametrų reguliavimas, tikslinimas, režimų pasirinkimas ir kt.). Tiekėjas įsipareigoja apmokyti ne mažiau kaip 2 pirkėjo specialistus, ne trumpiau  kaip 4 valandas.</w:t>
            </w:r>
          </w:p>
        </w:tc>
        <w:tc>
          <w:tcPr>
            <w:tcW w:w="385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DC0AE5C"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Pagrindžiantys dokumentai nereikalaujami, Tiekėjas šį reikalavimą patvirtina teikdamas pasiūlymą.</w:t>
            </w:r>
          </w:p>
          <w:p w14:paraId="33EDBE96"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42B55F0D"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7B7719">
              <w:rPr>
                <w:rFonts w:ascii="Times New Roman" w:eastAsia="Times New Roman" w:hAnsi="Times New Roman" w:cs="Times New Roman"/>
                <w:b/>
                <w:bCs/>
                <w:color w:val="242424"/>
                <w:sz w:val="24"/>
                <w:szCs w:val="24"/>
                <w:highlight w:val="yellow"/>
                <w:lang w:val="lt-LT" w:eastAsia="lt-LT"/>
              </w:rPr>
              <w:t>TAIP/NE</w:t>
            </w:r>
          </w:p>
          <w:p w14:paraId="430C586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(tinkamą pažymėti)</w:t>
            </w:r>
          </w:p>
          <w:p w14:paraId="4BA849B9"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1221240A"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tc>
      </w:tr>
    </w:tbl>
    <w:p w14:paraId="376CCE79"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15979A4C"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26702511" w14:textId="794CCADE" w:rsidR="006312B2" w:rsidRPr="002B42F7" w:rsidRDefault="006312B2" w:rsidP="00DC4B6F">
      <w:pPr>
        <w:rPr>
          <w:rFonts w:ascii="Times New Roman" w:hAnsi="Times New Roman" w:cs="Times New Roman"/>
          <w:sz w:val="24"/>
          <w:szCs w:val="24"/>
          <w:lang w:val="lt-LT"/>
        </w:rPr>
      </w:pPr>
    </w:p>
    <w:sectPr w:rsidR="006312B2" w:rsidRPr="002B42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5A141F"/>
    <w:multiLevelType w:val="hybridMultilevel"/>
    <w:tmpl w:val="1E12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661E4"/>
    <w:multiLevelType w:val="hybridMultilevel"/>
    <w:tmpl w:val="2A52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0549837">
    <w:abstractNumId w:val="8"/>
  </w:num>
  <w:num w:numId="2" w16cid:durableId="1308165260">
    <w:abstractNumId w:val="6"/>
  </w:num>
  <w:num w:numId="3" w16cid:durableId="1126239295">
    <w:abstractNumId w:val="5"/>
  </w:num>
  <w:num w:numId="4" w16cid:durableId="1568416029">
    <w:abstractNumId w:val="4"/>
  </w:num>
  <w:num w:numId="5" w16cid:durableId="1649288607">
    <w:abstractNumId w:val="7"/>
  </w:num>
  <w:num w:numId="6" w16cid:durableId="755635363">
    <w:abstractNumId w:val="3"/>
  </w:num>
  <w:num w:numId="7" w16cid:durableId="26567020">
    <w:abstractNumId w:val="2"/>
  </w:num>
  <w:num w:numId="8" w16cid:durableId="1073696199">
    <w:abstractNumId w:val="1"/>
  </w:num>
  <w:num w:numId="9" w16cid:durableId="914246043">
    <w:abstractNumId w:val="0"/>
  </w:num>
  <w:num w:numId="10" w16cid:durableId="507527541">
    <w:abstractNumId w:val="10"/>
  </w:num>
  <w:num w:numId="11" w16cid:durableId="2133281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3E"/>
    <w:rsid w:val="00034525"/>
    <w:rsid w:val="00034616"/>
    <w:rsid w:val="00037CD7"/>
    <w:rsid w:val="0006063C"/>
    <w:rsid w:val="000637C1"/>
    <w:rsid w:val="0007366F"/>
    <w:rsid w:val="00076B51"/>
    <w:rsid w:val="00095D47"/>
    <w:rsid w:val="000A385B"/>
    <w:rsid w:val="000D0357"/>
    <w:rsid w:val="0012483D"/>
    <w:rsid w:val="00131DE7"/>
    <w:rsid w:val="0015074B"/>
    <w:rsid w:val="00182FD5"/>
    <w:rsid w:val="001A2B73"/>
    <w:rsid w:val="00243652"/>
    <w:rsid w:val="002564E4"/>
    <w:rsid w:val="002616A1"/>
    <w:rsid w:val="00285925"/>
    <w:rsid w:val="0029639D"/>
    <w:rsid w:val="002B42F7"/>
    <w:rsid w:val="002E087C"/>
    <w:rsid w:val="003022A5"/>
    <w:rsid w:val="003034EA"/>
    <w:rsid w:val="003155C1"/>
    <w:rsid w:val="00317AFD"/>
    <w:rsid w:val="00326F90"/>
    <w:rsid w:val="00357431"/>
    <w:rsid w:val="00381BD3"/>
    <w:rsid w:val="003A6A93"/>
    <w:rsid w:val="003B3377"/>
    <w:rsid w:val="003B5AD1"/>
    <w:rsid w:val="003C32E9"/>
    <w:rsid w:val="003C7E0E"/>
    <w:rsid w:val="003F0AB0"/>
    <w:rsid w:val="003F12A2"/>
    <w:rsid w:val="003F4B2B"/>
    <w:rsid w:val="004072EC"/>
    <w:rsid w:val="00412CFC"/>
    <w:rsid w:val="00414DB3"/>
    <w:rsid w:val="00455DF2"/>
    <w:rsid w:val="004637E3"/>
    <w:rsid w:val="004756BC"/>
    <w:rsid w:val="00481DEA"/>
    <w:rsid w:val="004854F3"/>
    <w:rsid w:val="004B37A3"/>
    <w:rsid w:val="004B48F0"/>
    <w:rsid w:val="004E76D0"/>
    <w:rsid w:val="004F1556"/>
    <w:rsid w:val="00520787"/>
    <w:rsid w:val="005423E0"/>
    <w:rsid w:val="00572D0A"/>
    <w:rsid w:val="00592D93"/>
    <w:rsid w:val="005A4E93"/>
    <w:rsid w:val="005E7187"/>
    <w:rsid w:val="005F0532"/>
    <w:rsid w:val="005F0819"/>
    <w:rsid w:val="006312B2"/>
    <w:rsid w:val="00653730"/>
    <w:rsid w:val="00662682"/>
    <w:rsid w:val="00667FC3"/>
    <w:rsid w:val="00682EF5"/>
    <w:rsid w:val="006E68A5"/>
    <w:rsid w:val="00704072"/>
    <w:rsid w:val="00762A23"/>
    <w:rsid w:val="007669B8"/>
    <w:rsid w:val="00781CDF"/>
    <w:rsid w:val="007915AC"/>
    <w:rsid w:val="007B7719"/>
    <w:rsid w:val="007C498A"/>
    <w:rsid w:val="007E3D0A"/>
    <w:rsid w:val="00854F57"/>
    <w:rsid w:val="008704EE"/>
    <w:rsid w:val="00874532"/>
    <w:rsid w:val="0088236F"/>
    <w:rsid w:val="00886134"/>
    <w:rsid w:val="00893846"/>
    <w:rsid w:val="008B0128"/>
    <w:rsid w:val="008D5E20"/>
    <w:rsid w:val="008F6942"/>
    <w:rsid w:val="00951C2B"/>
    <w:rsid w:val="009A1B37"/>
    <w:rsid w:val="009C0078"/>
    <w:rsid w:val="009F1DF4"/>
    <w:rsid w:val="00A02E35"/>
    <w:rsid w:val="00A2605A"/>
    <w:rsid w:val="00A27FBA"/>
    <w:rsid w:val="00A31B17"/>
    <w:rsid w:val="00A347AB"/>
    <w:rsid w:val="00A505F8"/>
    <w:rsid w:val="00A528A3"/>
    <w:rsid w:val="00A54AE6"/>
    <w:rsid w:val="00A82FD9"/>
    <w:rsid w:val="00AA1D8D"/>
    <w:rsid w:val="00AC3484"/>
    <w:rsid w:val="00AF58E5"/>
    <w:rsid w:val="00B42BAC"/>
    <w:rsid w:val="00B47730"/>
    <w:rsid w:val="00B519F8"/>
    <w:rsid w:val="00B5541B"/>
    <w:rsid w:val="00B7613D"/>
    <w:rsid w:val="00BA3304"/>
    <w:rsid w:val="00BB35B9"/>
    <w:rsid w:val="00BD6594"/>
    <w:rsid w:val="00BF235E"/>
    <w:rsid w:val="00C05EA9"/>
    <w:rsid w:val="00C56A5B"/>
    <w:rsid w:val="00C61C37"/>
    <w:rsid w:val="00C8421D"/>
    <w:rsid w:val="00CB0664"/>
    <w:rsid w:val="00CC6E5B"/>
    <w:rsid w:val="00CD1C91"/>
    <w:rsid w:val="00D20083"/>
    <w:rsid w:val="00D308B6"/>
    <w:rsid w:val="00D42BB2"/>
    <w:rsid w:val="00D46840"/>
    <w:rsid w:val="00D529DD"/>
    <w:rsid w:val="00D61A94"/>
    <w:rsid w:val="00D630D1"/>
    <w:rsid w:val="00D8388F"/>
    <w:rsid w:val="00D86DEB"/>
    <w:rsid w:val="00DC4B6F"/>
    <w:rsid w:val="00E05DCA"/>
    <w:rsid w:val="00E17B9A"/>
    <w:rsid w:val="00E43FEC"/>
    <w:rsid w:val="00E56774"/>
    <w:rsid w:val="00E678B7"/>
    <w:rsid w:val="00EC05C3"/>
    <w:rsid w:val="00EC51CC"/>
    <w:rsid w:val="00EE29BF"/>
    <w:rsid w:val="00F11CDE"/>
    <w:rsid w:val="00F5348D"/>
    <w:rsid w:val="00F901FD"/>
    <w:rsid w:val="00FB057F"/>
    <w:rsid w:val="00FC693F"/>
    <w:rsid w:val="00FC7851"/>
    <w:rsid w:val="00FD2721"/>
    <w:rsid w:val="00FF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7EFC9"/>
  <w14:defaultImageDpi w14:val="300"/>
  <w15:docId w15:val="{E4D2D491-2FFB-400C-B5DC-7AFF285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B42F7"/>
    <w:pPr>
      <w:spacing w:after="0" w:line="240" w:lineRule="auto"/>
    </w:pPr>
  </w:style>
  <w:style w:type="character" w:styleId="CommentReference">
    <w:name w:val="annotation reference"/>
    <w:basedOn w:val="DefaultParagraphFont"/>
    <w:uiPriority w:val="99"/>
    <w:semiHidden/>
    <w:unhideWhenUsed/>
    <w:rsid w:val="002B42F7"/>
    <w:rPr>
      <w:sz w:val="16"/>
      <w:szCs w:val="16"/>
    </w:rPr>
  </w:style>
  <w:style w:type="paragraph" w:styleId="CommentText">
    <w:name w:val="annotation text"/>
    <w:basedOn w:val="Normal"/>
    <w:link w:val="CommentTextChar"/>
    <w:uiPriority w:val="99"/>
    <w:unhideWhenUsed/>
    <w:rsid w:val="002B42F7"/>
    <w:pPr>
      <w:spacing w:line="240" w:lineRule="auto"/>
    </w:pPr>
    <w:rPr>
      <w:sz w:val="20"/>
      <w:szCs w:val="20"/>
    </w:rPr>
  </w:style>
  <w:style w:type="character" w:customStyle="1" w:styleId="CommentTextChar">
    <w:name w:val="Comment Text Char"/>
    <w:basedOn w:val="DefaultParagraphFont"/>
    <w:link w:val="CommentText"/>
    <w:uiPriority w:val="99"/>
    <w:rsid w:val="002B42F7"/>
    <w:rPr>
      <w:sz w:val="20"/>
      <w:szCs w:val="20"/>
    </w:rPr>
  </w:style>
  <w:style w:type="paragraph" w:styleId="CommentSubject">
    <w:name w:val="annotation subject"/>
    <w:basedOn w:val="CommentText"/>
    <w:next w:val="CommentText"/>
    <w:link w:val="CommentSubjectChar"/>
    <w:uiPriority w:val="99"/>
    <w:semiHidden/>
    <w:unhideWhenUsed/>
    <w:rsid w:val="002B42F7"/>
    <w:rPr>
      <w:b/>
      <w:bCs/>
    </w:rPr>
  </w:style>
  <w:style w:type="character" w:customStyle="1" w:styleId="CommentSubjectChar">
    <w:name w:val="Comment Subject Char"/>
    <w:basedOn w:val="CommentTextChar"/>
    <w:link w:val="CommentSubject"/>
    <w:uiPriority w:val="99"/>
    <w:semiHidden/>
    <w:rsid w:val="002B42F7"/>
    <w:rPr>
      <w:b/>
      <w:bCs/>
      <w:sz w:val="20"/>
      <w:szCs w:val="20"/>
    </w:rPr>
  </w:style>
  <w:style w:type="paragraph" w:styleId="NormalWeb">
    <w:name w:val="Normal (Web)"/>
    <w:basedOn w:val="Normal"/>
    <w:uiPriority w:val="99"/>
    <w:unhideWhenUsed/>
    <w:rsid w:val="00BF23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61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26B-6A17-4650-B6DC-35785A7A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4559</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Morta Vencevičienė</cp:lastModifiedBy>
  <cp:revision>2</cp:revision>
  <cp:lastPrinted>2026-06-15T05:50:00Z</cp:lastPrinted>
  <dcterms:created xsi:type="dcterms:W3CDTF">2026-06-30T11:57:00Z</dcterms:created>
  <dcterms:modified xsi:type="dcterms:W3CDTF">2026-06-30T11:57:00Z</dcterms:modified>
  <cp:category/>
</cp:coreProperties>
</file>