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B1EE" w14:textId="77777777" w:rsidR="00694893" w:rsidRPr="000A1A83" w:rsidRDefault="00694893" w:rsidP="00694893">
      <w:pPr>
        <w:jc w:val="right"/>
        <w:rPr>
          <w:rFonts w:ascii="Times New Roman" w:hAnsi="Times New Roman"/>
          <w:sz w:val="24"/>
          <w:szCs w:val="24"/>
        </w:rPr>
      </w:pPr>
      <w:r>
        <w:rPr>
          <w:rFonts w:ascii="Times New Roman" w:hAnsi="Times New Roman"/>
          <w:sz w:val="24"/>
          <w:szCs w:val="24"/>
        </w:rPr>
        <w:t>P</w:t>
      </w:r>
      <w:r w:rsidRPr="000A1A83">
        <w:rPr>
          <w:rFonts w:ascii="Times New Roman" w:hAnsi="Times New Roman"/>
          <w:sz w:val="24"/>
          <w:szCs w:val="24"/>
        </w:rPr>
        <w:t>riedas Nr. 1.</w:t>
      </w:r>
    </w:p>
    <w:p w14:paraId="3A64C337" w14:textId="17FFDACA" w:rsidR="00694893" w:rsidRDefault="00694893" w:rsidP="00694893">
      <w:pPr>
        <w:jc w:val="center"/>
        <w:rPr>
          <w:rFonts w:ascii="Times New Roman" w:hAnsi="Times New Roman"/>
          <w:b/>
          <w:sz w:val="24"/>
          <w:szCs w:val="24"/>
        </w:rPr>
      </w:pPr>
      <w:r>
        <w:rPr>
          <w:rFonts w:ascii="Times New Roman" w:eastAsia="Calibri" w:hAnsi="Times New Roman"/>
          <w:b/>
          <w:bCs/>
          <w:sz w:val="24"/>
        </w:rPr>
        <w:t>SERVERIŲ PIRKIMO</w:t>
      </w:r>
    </w:p>
    <w:p w14:paraId="46A1E0F5" w14:textId="77777777" w:rsidR="00694893" w:rsidRDefault="00694893" w:rsidP="00694893">
      <w:pPr>
        <w:jc w:val="center"/>
        <w:rPr>
          <w:rFonts w:ascii="Times New Roman" w:hAnsi="Times New Roman"/>
          <w:b/>
          <w:sz w:val="24"/>
          <w:szCs w:val="24"/>
        </w:rPr>
      </w:pPr>
      <w:r w:rsidRPr="00CE660E">
        <w:rPr>
          <w:rFonts w:ascii="Times New Roman" w:hAnsi="Times New Roman"/>
          <w:b/>
          <w:sz w:val="24"/>
          <w:szCs w:val="24"/>
        </w:rPr>
        <w:t>TECHNINĖ SPECIFIKACIJA</w:t>
      </w:r>
    </w:p>
    <w:p w14:paraId="0DB045AF" w14:textId="38B3C10E" w:rsidR="009E03EF" w:rsidRDefault="6BEC4245" w:rsidP="00865A18">
      <w:pPr>
        <w:ind w:left="360"/>
      </w:pPr>
      <w:r>
        <w:t xml:space="preserve">1.1. </w:t>
      </w:r>
      <w:r w:rsidR="004923FA">
        <w:t>Specializuotas serveris AX aplinkai</w:t>
      </w:r>
    </w:p>
    <w:tbl>
      <w:tblPr>
        <w:tblW w:w="10485" w:type="dxa"/>
        <w:tblLook w:val="04A0" w:firstRow="1" w:lastRow="0" w:firstColumn="1" w:lastColumn="0" w:noHBand="0" w:noVBand="1"/>
      </w:tblPr>
      <w:tblGrid>
        <w:gridCol w:w="691"/>
        <w:gridCol w:w="1533"/>
        <w:gridCol w:w="4142"/>
        <w:gridCol w:w="4119"/>
      </w:tblGrid>
      <w:tr w:rsidR="00116E2C" w:rsidRPr="00CD6D78" w14:paraId="00678590" w14:textId="77777777" w:rsidTr="00865A18">
        <w:trPr>
          <w:trHeight w:val="471"/>
        </w:trPr>
        <w:tc>
          <w:tcPr>
            <w:tcW w:w="6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BE9C7" w14:textId="217DCFCE" w:rsidR="00116E2C" w:rsidRPr="00CD6D78" w:rsidRDefault="001E2A95" w:rsidP="00116E2C">
            <w:pPr>
              <w:spacing w:after="0" w:line="240" w:lineRule="auto"/>
              <w:jc w:val="center"/>
              <w:rPr>
                <w:rFonts w:cs="Calibri"/>
                <w:b/>
                <w:bCs/>
                <w:color w:val="000000"/>
                <w:sz w:val="20"/>
                <w:szCs w:val="20"/>
                <w:lang w:eastAsia="lt-LT"/>
              </w:rPr>
            </w:pPr>
            <w:bookmarkStart w:id="0" w:name="_Hlk55900369"/>
            <w:r>
              <w:rPr>
                <w:rFonts w:cs="Calibri"/>
                <w:b/>
                <w:bCs/>
                <w:color w:val="000000"/>
                <w:sz w:val="20"/>
                <w:szCs w:val="20"/>
                <w:lang w:eastAsia="lt-LT"/>
              </w:rPr>
              <w:t xml:space="preserve">  </w:t>
            </w:r>
            <w:r w:rsidR="00116E2C" w:rsidRPr="00CD6D78">
              <w:rPr>
                <w:rFonts w:cs="Calibri"/>
                <w:b/>
                <w:bCs/>
                <w:color w:val="000000"/>
                <w:sz w:val="20"/>
                <w:szCs w:val="20"/>
                <w:lang w:eastAsia="lt-LT"/>
              </w:rPr>
              <w:t>Eil. Nr.</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A41D82" w14:textId="77777777" w:rsidR="00116E2C" w:rsidRPr="00CD6D78" w:rsidRDefault="00116E2C" w:rsidP="00116E2C">
            <w:pPr>
              <w:spacing w:after="0" w:line="240" w:lineRule="auto"/>
              <w:jc w:val="center"/>
              <w:rPr>
                <w:rFonts w:cs="Calibri"/>
                <w:b/>
                <w:bCs/>
                <w:color w:val="000000"/>
                <w:sz w:val="20"/>
                <w:szCs w:val="20"/>
                <w:lang w:eastAsia="lt-LT"/>
              </w:rPr>
            </w:pPr>
            <w:r w:rsidRPr="00CD6D78">
              <w:rPr>
                <w:rFonts w:cs="Calibri"/>
                <w:b/>
                <w:bCs/>
                <w:color w:val="000000"/>
                <w:sz w:val="20"/>
                <w:szCs w:val="20"/>
                <w:lang w:eastAsia="lt-LT"/>
              </w:rPr>
              <w:t>Komponento pavadinimas</w:t>
            </w:r>
          </w:p>
        </w:tc>
        <w:tc>
          <w:tcPr>
            <w:tcW w:w="41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CD021" w14:textId="177B3C63" w:rsidR="00116E2C" w:rsidRPr="00CD6D78" w:rsidRDefault="00116E2C" w:rsidP="00116E2C">
            <w:pPr>
              <w:spacing w:after="0" w:line="240" w:lineRule="auto"/>
              <w:jc w:val="center"/>
              <w:rPr>
                <w:rFonts w:cs="Calibri"/>
                <w:b/>
                <w:bCs/>
                <w:color w:val="000000"/>
                <w:sz w:val="20"/>
                <w:szCs w:val="20"/>
                <w:lang w:eastAsia="lt-LT"/>
              </w:rPr>
            </w:pPr>
            <w:r w:rsidRPr="0C4CFBF2">
              <w:rPr>
                <w:rFonts w:cs="Calibri"/>
                <w:b/>
                <w:color w:val="000000" w:themeColor="text1"/>
                <w:sz w:val="20"/>
                <w:szCs w:val="20"/>
                <w:lang w:eastAsia="lt-LT"/>
              </w:rPr>
              <w:t>Reikalaujama charakteristika</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95BE6" w14:textId="3731683A" w:rsidR="00116E2C" w:rsidRPr="00CD6D78" w:rsidRDefault="00116E2C" w:rsidP="00116E2C">
            <w:pPr>
              <w:spacing w:after="0" w:line="240" w:lineRule="auto"/>
              <w:jc w:val="center"/>
              <w:rPr>
                <w:rFonts w:cs="Calibri"/>
                <w:b/>
                <w:bCs/>
                <w:color w:val="000000"/>
                <w:sz w:val="20"/>
                <w:szCs w:val="20"/>
                <w:lang w:eastAsia="lt-LT"/>
              </w:rPr>
            </w:pPr>
            <w:r w:rsidRPr="009E53E0">
              <w:rPr>
                <w:rFonts w:cstheme="minorHAnsi"/>
                <w:b/>
                <w:sz w:val="20"/>
                <w:szCs w:val="20"/>
              </w:rPr>
              <w:t>Tiekėjo siūlomų prekių techninės charakteristikos</w:t>
            </w:r>
          </w:p>
        </w:tc>
      </w:tr>
      <w:bookmarkEnd w:id="0"/>
      <w:tr w:rsidR="00116E2C" w:rsidRPr="00CD6D78" w14:paraId="5312427B" w14:textId="77777777" w:rsidTr="00865A18">
        <w:trPr>
          <w:trHeight w:val="842"/>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1E7B944B" w14:textId="77777777" w:rsidR="00116E2C" w:rsidRPr="00CD6D78" w:rsidRDefault="00116E2C" w:rsidP="00116E2C">
            <w:pPr>
              <w:spacing w:after="0" w:line="240" w:lineRule="auto"/>
              <w:rPr>
                <w:rFonts w:cs="Calibri"/>
                <w:b/>
                <w:bCs/>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5F4D6D2" w14:textId="77777777" w:rsidR="00116E2C" w:rsidRPr="00CD6D78" w:rsidRDefault="00116E2C" w:rsidP="00116E2C">
            <w:pPr>
              <w:spacing w:after="0" w:line="240" w:lineRule="auto"/>
              <w:rPr>
                <w:rFonts w:cs="Calibri"/>
                <w:b/>
                <w:bCs/>
                <w:color w:val="000000"/>
                <w:sz w:val="20"/>
                <w:szCs w:val="20"/>
                <w:lang w:eastAsia="lt-LT"/>
              </w:rPr>
            </w:pPr>
          </w:p>
        </w:tc>
        <w:tc>
          <w:tcPr>
            <w:tcW w:w="4142" w:type="dxa"/>
            <w:vMerge/>
            <w:tcBorders>
              <w:top w:val="single" w:sz="4" w:space="0" w:color="auto"/>
              <w:left w:val="single" w:sz="4" w:space="0" w:color="auto"/>
              <w:bottom w:val="single" w:sz="4" w:space="0" w:color="auto"/>
              <w:right w:val="single" w:sz="4" w:space="0" w:color="auto"/>
            </w:tcBorders>
            <w:vAlign w:val="center"/>
            <w:hideMark/>
          </w:tcPr>
          <w:p w14:paraId="1CE1E26D" w14:textId="77777777" w:rsidR="00116E2C" w:rsidRPr="00CD6D78" w:rsidRDefault="00116E2C" w:rsidP="00116E2C">
            <w:pPr>
              <w:spacing w:after="0" w:line="240" w:lineRule="auto"/>
              <w:rPr>
                <w:rFonts w:cs="Calibri"/>
                <w:b/>
                <w:bCs/>
                <w:color w:val="000000"/>
                <w:sz w:val="20"/>
                <w:szCs w:val="20"/>
                <w:lang w:eastAsia="lt-LT"/>
              </w:rPr>
            </w:pPr>
          </w:p>
        </w:tc>
        <w:tc>
          <w:tcPr>
            <w:tcW w:w="4119" w:type="dxa"/>
            <w:vMerge/>
            <w:tcBorders>
              <w:top w:val="single" w:sz="4" w:space="0" w:color="auto"/>
              <w:left w:val="single" w:sz="4" w:space="0" w:color="auto"/>
              <w:bottom w:val="single" w:sz="4" w:space="0" w:color="auto"/>
              <w:right w:val="single" w:sz="4" w:space="0" w:color="auto"/>
            </w:tcBorders>
            <w:vAlign w:val="center"/>
          </w:tcPr>
          <w:p w14:paraId="20B8228D" w14:textId="77777777" w:rsidR="00116E2C" w:rsidRPr="00CD6D78" w:rsidRDefault="00116E2C" w:rsidP="00116E2C">
            <w:pPr>
              <w:spacing w:after="0" w:line="240" w:lineRule="auto"/>
              <w:rPr>
                <w:rFonts w:cs="Calibri"/>
                <w:b/>
                <w:bCs/>
                <w:color w:val="000000"/>
                <w:sz w:val="20"/>
                <w:szCs w:val="20"/>
                <w:lang w:eastAsia="lt-LT"/>
              </w:rPr>
            </w:pPr>
          </w:p>
        </w:tc>
      </w:tr>
      <w:tr w:rsidR="00116E2C" w:rsidRPr="00CD6D78" w14:paraId="67E20DE9" w14:textId="77777777" w:rsidTr="00865A18">
        <w:trPr>
          <w:trHeight w:val="300"/>
        </w:trPr>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D388E" w14:textId="77777777" w:rsidR="00116E2C" w:rsidRPr="00CD6D78" w:rsidRDefault="00116E2C" w:rsidP="00116E2C">
            <w:pPr>
              <w:spacing w:after="0" w:line="240" w:lineRule="auto"/>
              <w:jc w:val="center"/>
              <w:rPr>
                <w:rFonts w:cstheme="minorHAnsi"/>
                <w:color w:val="000000"/>
                <w:sz w:val="20"/>
                <w:szCs w:val="20"/>
                <w:lang w:eastAsia="lt-LT"/>
              </w:rPr>
            </w:pPr>
            <w:r w:rsidRPr="00CD6D78">
              <w:rPr>
                <w:rFonts w:cstheme="minorHAnsi"/>
                <w:color w:val="000000"/>
                <w:sz w:val="20"/>
                <w:szCs w:val="20"/>
                <w:lang w:eastAsia="lt-LT"/>
              </w:rPr>
              <w:t>1</w:t>
            </w:r>
          </w:p>
        </w:tc>
        <w:tc>
          <w:tcPr>
            <w:tcW w:w="1533" w:type="dxa"/>
            <w:tcBorders>
              <w:top w:val="single" w:sz="4" w:space="0" w:color="auto"/>
              <w:left w:val="nil"/>
              <w:bottom w:val="single" w:sz="4" w:space="0" w:color="auto"/>
              <w:right w:val="single" w:sz="4" w:space="0" w:color="auto"/>
            </w:tcBorders>
            <w:shd w:val="clear" w:color="auto" w:fill="D9D9D9" w:themeFill="background1" w:themeFillShade="D9"/>
            <w:hideMark/>
          </w:tcPr>
          <w:p w14:paraId="0ABF918E" w14:textId="77777777" w:rsidR="00116E2C" w:rsidRPr="00CD6D78" w:rsidRDefault="00116E2C" w:rsidP="00116E2C">
            <w:pPr>
              <w:spacing w:after="0" w:line="240" w:lineRule="auto"/>
              <w:jc w:val="center"/>
              <w:rPr>
                <w:rFonts w:cstheme="minorHAnsi"/>
                <w:color w:val="000000"/>
                <w:sz w:val="20"/>
                <w:szCs w:val="20"/>
                <w:lang w:eastAsia="lt-LT"/>
              </w:rPr>
            </w:pPr>
            <w:r w:rsidRPr="00CD6D78">
              <w:rPr>
                <w:rFonts w:cstheme="minorHAnsi"/>
                <w:color w:val="000000"/>
                <w:sz w:val="20"/>
                <w:szCs w:val="20"/>
                <w:lang w:eastAsia="lt-LT"/>
              </w:rPr>
              <w:t>2</w:t>
            </w:r>
          </w:p>
        </w:tc>
        <w:tc>
          <w:tcPr>
            <w:tcW w:w="4142" w:type="dxa"/>
            <w:tcBorders>
              <w:top w:val="single" w:sz="4" w:space="0" w:color="auto"/>
              <w:left w:val="nil"/>
              <w:bottom w:val="single" w:sz="4" w:space="0" w:color="auto"/>
              <w:right w:val="single" w:sz="4" w:space="0" w:color="auto"/>
            </w:tcBorders>
            <w:shd w:val="clear" w:color="auto" w:fill="D9D9D9" w:themeFill="background1" w:themeFillShade="D9"/>
            <w:hideMark/>
          </w:tcPr>
          <w:p w14:paraId="723FB2B3" w14:textId="77777777" w:rsidR="00116E2C" w:rsidRPr="00CD6D78" w:rsidRDefault="00116E2C" w:rsidP="00116E2C">
            <w:pPr>
              <w:spacing w:after="0" w:line="240" w:lineRule="auto"/>
              <w:jc w:val="center"/>
              <w:rPr>
                <w:rFonts w:cstheme="minorHAnsi"/>
                <w:color w:val="000000"/>
                <w:sz w:val="20"/>
                <w:szCs w:val="20"/>
                <w:lang w:eastAsia="lt-LT"/>
              </w:rPr>
            </w:pPr>
            <w:r w:rsidRPr="00CD6D78">
              <w:rPr>
                <w:rFonts w:cstheme="minorHAnsi"/>
                <w:color w:val="000000"/>
                <w:sz w:val="20"/>
                <w:szCs w:val="20"/>
                <w:lang w:eastAsia="lt-LT"/>
              </w:rPr>
              <w:t>3</w:t>
            </w:r>
          </w:p>
        </w:tc>
        <w:tc>
          <w:tcPr>
            <w:tcW w:w="4119" w:type="dxa"/>
            <w:tcBorders>
              <w:top w:val="single" w:sz="4" w:space="0" w:color="auto"/>
              <w:left w:val="nil"/>
              <w:bottom w:val="single" w:sz="4" w:space="0" w:color="auto"/>
              <w:right w:val="single" w:sz="4" w:space="0" w:color="auto"/>
            </w:tcBorders>
            <w:shd w:val="clear" w:color="auto" w:fill="D9D9D9" w:themeFill="background1" w:themeFillShade="D9"/>
          </w:tcPr>
          <w:p w14:paraId="10B76D20" w14:textId="27BE5C76" w:rsidR="00116E2C" w:rsidRPr="00CD6D78" w:rsidRDefault="007B244A" w:rsidP="00116E2C">
            <w:pPr>
              <w:spacing w:after="0" w:line="240" w:lineRule="auto"/>
              <w:jc w:val="center"/>
              <w:rPr>
                <w:rFonts w:cstheme="minorHAnsi"/>
                <w:color w:val="000000"/>
                <w:sz w:val="20"/>
                <w:szCs w:val="20"/>
                <w:lang w:eastAsia="lt-LT"/>
              </w:rPr>
            </w:pPr>
            <w:r>
              <w:rPr>
                <w:rFonts w:cstheme="minorHAnsi"/>
                <w:color w:val="000000"/>
                <w:sz w:val="20"/>
                <w:szCs w:val="20"/>
                <w:lang w:eastAsia="lt-LT"/>
              </w:rPr>
              <w:t>4</w:t>
            </w:r>
          </w:p>
        </w:tc>
      </w:tr>
      <w:tr w:rsidR="00116E2C" w:rsidRPr="00CD6D78" w14:paraId="18B7D1CD" w14:textId="77777777" w:rsidTr="3C2876EF">
        <w:trPr>
          <w:trHeight w:val="992"/>
        </w:trPr>
        <w:tc>
          <w:tcPr>
            <w:tcW w:w="691" w:type="dxa"/>
            <w:tcBorders>
              <w:top w:val="nil"/>
              <w:left w:val="single" w:sz="4" w:space="0" w:color="auto"/>
              <w:bottom w:val="single" w:sz="4" w:space="0" w:color="auto"/>
              <w:right w:val="single" w:sz="4" w:space="0" w:color="auto"/>
            </w:tcBorders>
          </w:tcPr>
          <w:p w14:paraId="663C80B4"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3A226A29"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Procesorius</w:t>
            </w:r>
          </w:p>
        </w:tc>
        <w:tc>
          <w:tcPr>
            <w:tcW w:w="4142" w:type="dxa"/>
            <w:tcBorders>
              <w:top w:val="nil"/>
              <w:left w:val="nil"/>
              <w:bottom w:val="single" w:sz="4" w:space="0" w:color="auto"/>
              <w:right w:val="single" w:sz="4" w:space="0" w:color="auto"/>
            </w:tcBorders>
            <w:hideMark/>
          </w:tcPr>
          <w:p w14:paraId="554F6888" w14:textId="62351FBC" w:rsidR="00116E2C" w:rsidRPr="00282C45" w:rsidRDefault="00116E2C" w:rsidP="00116E2C">
            <w:pPr>
              <w:spacing w:after="0" w:line="240" w:lineRule="auto"/>
              <w:jc w:val="both"/>
              <w:rPr>
                <w:rFonts w:cs="Calibri"/>
                <w:sz w:val="20"/>
                <w:szCs w:val="20"/>
                <w:lang w:eastAsia="lt-LT"/>
              </w:rPr>
            </w:pPr>
            <w:r w:rsidRPr="00282C45">
              <w:rPr>
                <w:rFonts w:cs="Calibri"/>
                <w:sz w:val="20"/>
                <w:szCs w:val="20"/>
                <w:lang w:eastAsia="lt-LT"/>
              </w:rPr>
              <w:t>Ne mažiau kaip 1 procesorius, palaikantis taikomąsias programas, 64 bitų instrukcijų išplėtimą, virtualizavimo instrukcijas aparatiniu lygmeniu, ne mažiau kaip 24 fizinių branduolių bei ne mažiau kaip 12 atminties kanalų  procesoriuje. Procesoriaus dažnis ne mažesnis kaip 4.</w:t>
            </w:r>
            <w:r>
              <w:rPr>
                <w:rFonts w:cs="Calibri"/>
                <w:sz w:val="20"/>
                <w:szCs w:val="20"/>
                <w:lang w:eastAsia="lt-LT"/>
              </w:rPr>
              <w:t>1</w:t>
            </w:r>
            <w:r w:rsidRPr="00282C45">
              <w:rPr>
                <w:rFonts w:cs="Calibri"/>
                <w:sz w:val="20"/>
                <w:szCs w:val="20"/>
                <w:lang w:eastAsia="lt-LT"/>
              </w:rPr>
              <w:t xml:space="preserve"> Ghz.</w:t>
            </w:r>
          </w:p>
        </w:tc>
        <w:tc>
          <w:tcPr>
            <w:tcW w:w="4119" w:type="dxa"/>
            <w:tcBorders>
              <w:top w:val="nil"/>
              <w:left w:val="nil"/>
              <w:bottom w:val="single" w:sz="4" w:space="0" w:color="auto"/>
              <w:right w:val="single" w:sz="4" w:space="0" w:color="auto"/>
            </w:tcBorders>
          </w:tcPr>
          <w:p w14:paraId="626A07BD" w14:textId="77777777" w:rsidR="00116E2C" w:rsidRPr="00282C45" w:rsidRDefault="00116E2C" w:rsidP="00116E2C">
            <w:pPr>
              <w:spacing w:after="0" w:line="240" w:lineRule="auto"/>
              <w:jc w:val="center"/>
              <w:rPr>
                <w:rFonts w:cs="Calibri"/>
                <w:sz w:val="20"/>
                <w:szCs w:val="20"/>
                <w:lang w:eastAsia="lt-LT"/>
              </w:rPr>
            </w:pPr>
          </w:p>
        </w:tc>
      </w:tr>
      <w:tr w:rsidR="00116E2C" w:rsidRPr="00CD6D78" w14:paraId="276B728A" w14:textId="77777777" w:rsidTr="3C2876EF">
        <w:trPr>
          <w:trHeight w:val="1534"/>
        </w:trPr>
        <w:tc>
          <w:tcPr>
            <w:tcW w:w="691" w:type="dxa"/>
            <w:tcBorders>
              <w:top w:val="nil"/>
              <w:left w:val="single" w:sz="4" w:space="0" w:color="auto"/>
              <w:bottom w:val="single" w:sz="4" w:space="0" w:color="auto"/>
              <w:right w:val="single" w:sz="4" w:space="0" w:color="auto"/>
            </w:tcBorders>
          </w:tcPr>
          <w:p w14:paraId="5EF86DC7"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7B984FFE"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Procesoriaus našumas</w:t>
            </w:r>
          </w:p>
        </w:tc>
        <w:tc>
          <w:tcPr>
            <w:tcW w:w="4142" w:type="dxa"/>
            <w:tcBorders>
              <w:top w:val="nil"/>
              <w:left w:val="nil"/>
              <w:bottom w:val="single" w:sz="4" w:space="0" w:color="auto"/>
              <w:right w:val="single" w:sz="4" w:space="0" w:color="auto"/>
            </w:tcBorders>
            <w:hideMark/>
          </w:tcPr>
          <w:p w14:paraId="1D41C846" w14:textId="022A7D2A" w:rsidR="00116E2C" w:rsidRPr="0050096A" w:rsidRDefault="35DDA110" w:rsidP="00116E2C">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 xml:space="preserve">Siūlomo procesoriaus našumo parametrai turi būti viešai publikuojami puslapyje www.spec.org. Procesoriaus testas turi būti atliktas siūlomoje serverio gamintojo aparatinėje platformoje ir turi atitikti siūlomos sistemos procesoriaus bazinio našumo rodiklį. Matavimai turi būti atlikti 1 procesoriaus sistemai ir būti ne  mažesni nei SPECrate2017_int_base=375 </w:t>
            </w:r>
            <w:r w:rsidR="213BDD1C" w:rsidRPr="6A11E61D">
              <w:rPr>
                <w:rFonts w:cs="Calibri"/>
                <w:color w:val="000000" w:themeColor="text1"/>
                <w:sz w:val="20"/>
                <w:szCs w:val="20"/>
                <w:lang w:eastAsia="lt-LT"/>
              </w:rPr>
              <w:t>ir</w:t>
            </w:r>
            <w:r w:rsidRPr="6A11E61D">
              <w:rPr>
                <w:rFonts w:cs="Calibri"/>
                <w:color w:val="000000" w:themeColor="text1"/>
                <w:sz w:val="20"/>
                <w:szCs w:val="20"/>
                <w:lang w:eastAsia="lt-LT"/>
              </w:rPr>
              <w:t xml:space="preserve"> </w:t>
            </w:r>
            <w:r w:rsidR="2523EC42" w:rsidRPr="6A11E61D">
              <w:rPr>
                <w:rFonts w:cs="Calibri"/>
                <w:color w:val="000000" w:themeColor="text1"/>
                <w:sz w:val="20"/>
                <w:szCs w:val="20"/>
                <w:lang w:eastAsia="lt-LT"/>
              </w:rPr>
              <w:t xml:space="preserve">ne  mažesni nei </w:t>
            </w:r>
            <w:r w:rsidRPr="6A11E61D">
              <w:rPr>
                <w:rFonts w:cs="Calibri"/>
                <w:color w:val="000000" w:themeColor="text1"/>
                <w:sz w:val="20"/>
                <w:szCs w:val="20"/>
                <w:lang w:eastAsia="lt-LT"/>
              </w:rPr>
              <w:t>SPECrate_fp_base=465.</w:t>
            </w:r>
            <w:r w:rsidRPr="6A11E61D">
              <w:rPr>
                <w:rFonts w:cs="Calibri"/>
                <w:color w:val="EE0000"/>
                <w:sz w:val="20"/>
                <w:szCs w:val="20"/>
                <w:lang w:eastAsia="lt-LT"/>
              </w:rPr>
              <w:t xml:space="preserve"> </w:t>
            </w:r>
          </w:p>
        </w:tc>
        <w:tc>
          <w:tcPr>
            <w:tcW w:w="4119" w:type="dxa"/>
            <w:tcBorders>
              <w:top w:val="nil"/>
              <w:left w:val="nil"/>
              <w:bottom w:val="single" w:sz="4" w:space="0" w:color="auto"/>
              <w:right w:val="single" w:sz="4" w:space="0" w:color="auto"/>
            </w:tcBorders>
            <w:hideMark/>
          </w:tcPr>
          <w:p w14:paraId="7FACE8C9" w14:textId="77777777" w:rsidR="00116E2C" w:rsidRPr="00CD6D78" w:rsidRDefault="00116E2C" w:rsidP="00116E2C">
            <w:pPr>
              <w:spacing w:after="0" w:line="240" w:lineRule="auto"/>
              <w:jc w:val="center"/>
              <w:rPr>
                <w:rFonts w:cs="Calibri"/>
                <w:color w:val="000000"/>
                <w:sz w:val="20"/>
                <w:szCs w:val="20"/>
                <w:lang w:eastAsia="lt-LT"/>
              </w:rPr>
            </w:pPr>
          </w:p>
        </w:tc>
      </w:tr>
      <w:tr w:rsidR="00116E2C" w:rsidRPr="00D6025C" w14:paraId="1EE98663" w14:textId="77777777" w:rsidTr="00865A18">
        <w:trPr>
          <w:trHeight w:val="992"/>
        </w:trPr>
        <w:tc>
          <w:tcPr>
            <w:tcW w:w="691" w:type="dxa"/>
            <w:tcBorders>
              <w:top w:val="nil"/>
              <w:left w:val="single" w:sz="4" w:space="0" w:color="auto"/>
              <w:bottom w:val="single" w:sz="4" w:space="0" w:color="auto"/>
              <w:right w:val="single" w:sz="4" w:space="0" w:color="auto"/>
            </w:tcBorders>
          </w:tcPr>
          <w:p w14:paraId="6015D400"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4072E2DC"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Operatyvioji atmintis</w:t>
            </w:r>
          </w:p>
        </w:tc>
        <w:tc>
          <w:tcPr>
            <w:tcW w:w="4142" w:type="dxa"/>
            <w:tcBorders>
              <w:top w:val="nil"/>
              <w:left w:val="nil"/>
              <w:bottom w:val="single" w:sz="4" w:space="0" w:color="auto"/>
              <w:right w:val="single" w:sz="4" w:space="0" w:color="auto"/>
            </w:tcBorders>
            <w:hideMark/>
          </w:tcPr>
          <w:p w14:paraId="1275EA1E" w14:textId="09535574" w:rsidR="00116E2C" w:rsidRPr="00D6025C" w:rsidRDefault="00116E2C" w:rsidP="00116E2C">
            <w:pPr>
              <w:spacing w:after="0" w:line="240" w:lineRule="auto"/>
              <w:jc w:val="both"/>
              <w:rPr>
                <w:rFonts w:cs="Calibri"/>
                <w:color w:val="000000"/>
                <w:sz w:val="20"/>
                <w:szCs w:val="20"/>
                <w:lang w:eastAsia="lt-LT"/>
              </w:rPr>
            </w:pPr>
            <w:bookmarkStart w:id="1" w:name="RANGE!C9"/>
            <w:r w:rsidRPr="52E37A1F">
              <w:rPr>
                <w:rFonts w:cs="Calibri"/>
                <w:color w:val="000000" w:themeColor="text1"/>
                <w:sz w:val="20"/>
                <w:szCs w:val="20"/>
                <w:lang w:eastAsia="lt-LT"/>
              </w:rPr>
              <w:t xml:space="preserve">Ne mažiau ir ne lėtesnė kaip: </w:t>
            </w:r>
            <w:r w:rsidR="00ED6BE7">
              <w:rPr>
                <w:rFonts w:cs="Calibri"/>
                <w:color w:val="000000" w:themeColor="text1"/>
                <w:sz w:val="20"/>
                <w:szCs w:val="20"/>
                <w:lang w:eastAsia="lt-LT"/>
              </w:rPr>
              <w:t>124</w:t>
            </w:r>
            <w:r w:rsidR="00ED6BE7" w:rsidRPr="52E37A1F">
              <w:rPr>
                <w:rFonts w:cs="Calibri"/>
                <w:color w:val="000000" w:themeColor="text1"/>
                <w:sz w:val="20"/>
                <w:szCs w:val="20"/>
                <w:lang w:eastAsia="lt-LT"/>
              </w:rPr>
              <w:t xml:space="preserve"> </w:t>
            </w:r>
            <w:r w:rsidRPr="52E37A1F">
              <w:rPr>
                <w:rFonts w:cs="Calibri"/>
                <w:color w:val="000000" w:themeColor="text1"/>
                <w:sz w:val="20"/>
                <w:szCs w:val="20"/>
                <w:lang w:eastAsia="lt-LT"/>
              </w:rPr>
              <w:t xml:space="preserve">GB  DDR5 6400 MTs ECC RDIMM. Atmintis plečiama  </w:t>
            </w:r>
            <w:r w:rsidR="007409F9" w:rsidRPr="52E37A1F">
              <w:rPr>
                <w:rFonts w:cs="Calibri"/>
                <w:color w:val="000000" w:themeColor="text1"/>
                <w:sz w:val="20"/>
                <w:szCs w:val="20"/>
                <w:lang w:eastAsia="lt-LT"/>
              </w:rPr>
              <w:t>iki</w:t>
            </w:r>
            <w:r w:rsidRPr="52E37A1F">
              <w:rPr>
                <w:rFonts w:cs="Calibri"/>
                <w:color w:val="000000" w:themeColor="text1"/>
                <w:sz w:val="20"/>
                <w:szCs w:val="20"/>
                <w:lang w:eastAsia="lt-LT"/>
              </w:rPr>
              <w:t xml:space="preserve"> </w:t>
            </w:r>
            <w:r w:rsidR="00EA518B">
              <w:rPr>
                <w:rFonts w:cs="Calibri"/>
                <w:color w:val="000000" w:themeColor="text1"/>
                <w:sz w:val="20"/>
                <w:szCs w:val="20"/>
                <w:lang w:eastAsia="lt-LT"/>
              </w:rPr>
              <w:t>1.49</w:t>
            </w:r>
            <w:r w:rsidRPr="52E37A1F">
              <w:rPr>
                <w:rFonts w:cs="Calibri"/>
                <w:color w:val="000000" w:themeColor="text1"/>
                <w:sz w:val="20"/>
                <w:szCs w:val="20"/>
                <w:lang w:eastAsia="lt-LT"/>
              </w:rPr>
              <w:t xml:space="preserve">TB su ne mažiau nei 24 atminties lizdų. Turi būti palaikomos „Advanced ECC“ arba lygiavertės technologijos. </w:t>
            </w:r>
            <w:bookmarkEnd w:id="1"/>
          </w:p>
        </w:tc>
        <w:tc>
          <w:tcPr>
            <w:tcW w:w="4119" w:type="dxa"/>
            <w:tcBorders>
              <w:top w:val="nil"/>
              <w:left w:val="nil"/>
              <w:bottom w:val="single" w:sz="4" w:space="0" w:color="auto"/>
              <w:right w:val="single" w:sz="4" w:space="0" w:color="auto"/>
            </w:tcBorders>
            <w:hideMark/>
          </w:tcPr>
          <w:p w14:paraId="50A32C5B"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060C7FCE" w14:textId="77777777" w:rsidTr="00865A18">
        <w:trPr>
          <w:trHeight w:val="450"/>
        </w:trPr>
        <w:tc>
          <w:tcPr>
            <w:tcW w:w="691" w:type="dxa"/>
            <w:tcBorders>
              <w:top w:val="nil"/>
              <w:left w:val="single" w:sz="4" w:space="0" w:color="auto"/>
              <w:bottom w:val="single" w:sz="4" w:space="0" w:color="auto"/>
              <w:right w:val="single" w:sz="4" w:space="0" w:color="auto"/>
            </w:tcBorders>
          </w:tcPr>
          <w:p w14:paraId="7FD549F2"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tcPr>
          <w:p w14:paraId="3482BBC8"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Diskiniai kaupikliai ir jų kontroleris</w:t>
            </w:r>
          </w:p>
        </w:tc>
        <w:tc>
          <w:tcPr>
            <w:tcW w:w="4142" w:type="dxa"/>
            <w:tcBorders>
              <w:top w:val="nil"/>
              <w:left w:val="single" w:sz="4" w:space="0" w:color="auto"/>
              <w:bottom w:val="single" w:sz="4" w:space="0" w:color="auto"/>
              <w:right w:val="single" w:sz="4" w:space="0" w:color="auto"/>
            </w:tcBorders>
          </w:tcPr>
          <w:p w14:paraId="166AACAB" w14:textId="1979CF77" w:rsidR="00116E2C" w:rsidRDefault="00116E2C" w:rsidP="00116E2C">
            <w:pPr>
              <w:spacing w:after="0" w:line="240" w:lineRule="auto"/>
              <w:jc w:val="both"/>
              <w:rPr>
                <w:rFonts w:cs="Calibri"/>
                <w:color w:val="000000"/>
                <w:sz w:val="20"/>
                <w:szCs w:val="20"/>
                <w:lang w:eastAsia="lt-LT"/>
              </w:rPr>
            </w:pPr>
            <w:r w:rsidRPr="003C3E86">
              <w:rPr>
                <w:rFonts w:cs="Calibri"/>
                <w:color w:val="000000"/>
                <w:sz w:val="20"/>
                <w:szCs w:val="20"/>
                <w:lang w:eastAsia="lt-LT"/>
              </w:rPr>
              <w:t xml:space="preserve">Turi būti ne mažiau kaip </w:t>
            </w:r>
            <w:r w:rsidR="000E3449">
              <w:rPr>
                <w:rFonts w:cs="Calibri"/>
                <w:color w:val="000000"/>
                <w:sz w:val="20"/>
                <w:szCs w:val="20"/>
                <w:lang w:eastAsia="lt-LT"/>
              </w:rPr>
              <w:t>6</w:t>
            </w:r>
            <w:r w:rsidR="001E2A95" w:rsidRPr="003C3E86">
              <w:rPr>
                <w:rFonts w:cs="Calibri"/>
                <w:color w:val="000000"/>
                <w:sz w:val="20"/>
                <w:szCs w:val="20"/>
                <w:lang w:eastAsia="lt-LT"/>
              </w:rPr>
              <w:t xml:space="preserve"> </w:t>
            </w:r>
            <w:r w:rsidRPr="003C3E86">
              <w:rPr>
                <w:rFonts w:cs="Calibri"/>
                <w:color w:val="000000"/>
                <w:sz w:val="20"/>
                <w:szCs w:val="20"/>
                <w:lang w:eastAsia="lt-LT"/>
              </w:rPr>
              <w:t xml:space="preserve">vnt., ne mažesnės talpos kaip </w:t>
            </w:r>
            <w:r w:rsidR="00ED6BE7">
              <w:rPr>
                <w:rFonts w:cs="Calibri"/>
                <w:color w:val="000000"/>
                <w:sz w:val="20"/>
                <w:szCs w:val="20"/>
                <w:lang w:eastAsia="lt-LT"/>
              </w:rPr>
              <w:t>960</w:t>
            </w:r>
            <w:r>
              <w:rPr>
                <w:rFonts w:cs="Calibri"/>
                <w:color w:val="000000"/>
                <w:sz w:val="20"/>
                <w:szCs w:val="20"/>
                <w:lang w:eastAsia="lt-LT"/>
              </w:rPr>
              <w:t xml:space="preserve"> </w:t>
            </w:r>
            <w:r w:rsidR="00ED6BE7">
              <w:rPr>
                <w:rFonts w:cs="Calibri"/>
                <w:color w:val="000000"/>
                <w:sz w:val="20"/>
                <w:szCs w:val="20"/>
                <w:lang w:eastAsia="lt-LT"/>
              </w:rPr>
              <w:t>G</w:t>
            </w:r>
            <w:r w:rsidRPr="003C3E86">
              <w:rPr>
                <w:rFonts w:cs="Calibri"/>
                <w:color w:val="000000"/>
                <w:sz w:val="20"/>
                <w:szCs w:val="20"/>
                <w:lang w:eastAsia="lt-LT"/>
              </w:rPr>
              <w:t xml:space="preserve">B,  </w:t>
            </w:r>
            <w:r w:rsidR="00ED6BE7">
              <w:rPr>
                <w:rFonts w:cs="Calibri"/>
                <w:color w:val="000000"/>
                <w:sz w:val="20"/>
                <w:szCs w:val="20"/>
                <w:lang w:eastAsia="lt-LT"/>
              </w:rPr>
              <w:t>SSD SATA</w:t>
            </w:r>
            <w:r>
              <w:rPr>
                <w:rFonts w:cs="Calibri"/>
                <w:color w:val="000000"/>
                <w:sz w:val="20"/>
                <w:szCs w:val="20"/>
                <w:lang w:eastAsia="lt-LT"/>
              </w:rPr>
              <w:t xml:space="preserve"> </w:t>
            </w:r>
            <w:r w:rsidRPr="003C3E86">
              <w:rPr>
                <w:rFonts w:cs="Calibri"/>
                <w:color w:val="000000"/>
                <w:sz w:val="20"/>
                <w:szCs w:val="20"/>
                <w:lang w:eastAsia="lt-LT"/>
              </w:rPr>
              <w:t>technologijos</w:t>
            </w:r>
            <w:r>
              <w:rPr>
                <w:rFonts w:cs="Calibri"/>
                <w:color w:val="000000"/>
                <w:sz w:val="20"/>
                <w:szCs w:val="20"/>
                <w:lang w:eastAsia="lt-LT"/>
              </w:rPr>
              <w:t xml:space="preserve"> </w:t>
            </w:r>
            <w:r w:rsidR="00703646">
              <w:rPr>
                <w:rFonts w:cs="Calibri"/>
                <w:color w:val="000000"/>
                <w:sz w:val="20"/>
                <w:szCs w:val="20"/>
                <w:lang w:eastAsia="lt-LT"/>
              </w:rPr>
              <w:t xml:space="preserve">arba lygiavertės </w:t>
            </w:r>
            <w:r w:rsidRPr="003C3E86">
              <w:rPr>
                <w:rFonts w:cs="Calibri"/>
                <w:color w:val="000000"/>
                <w:sz w:val="20"/>
                <w:szCs w:val="20"/>
                <w:lang w:eastAsia="lt-LT"/>
              </w:rPr>
              <w:t>karšto keitimo diskai.</w:t>
            </w:r>
            <w:r>
              <w:rPr>
                <w:rFonts w:cs="Calibri"/>
                <w:color w:val="000000"/>
                <w:sz w:val="20"/>
                <w:szCs w:val="20"/>
                <w:lang w:eastAsia="lt-LT"/>
              </w:rPr>
              <w:t xml:space="preserve"> </w:t>
            </w:r>
          </w:p>
          <w:p w14:paraId="156EDAC4" w14:textId="19C77082" w:rsidR="00116E2C" w:rsidRPr="003C3E86" w:rsidRDefault="2B09EA6A" w:rsidP="00116E2C">
            <w:pPr>
              <w:spacing w:after="0" w:line="240" w:lineRule="auto"/>
              <w:jc w:val="both"/>
              <w:rPr>
                <w:rFonts w:cs="Calibri"/>
                <w:color w:val="000000"/>
                <w:sz w:val="20"/>
                <w:szCs w:val="20"/>
                <w:lang w:eastAsia="lt-LT"/>
              </w:rPr>
            </w:pPr>
            <w:r w:rsidRPr="52292479">
              <w:rPr>
                <w:rFonts w:cs="Calibri"/>
                <w:color w:val="000000" w:themeColor="text1"/>
                <w:sz w:val="20"/>
                <w:szCs w:val="20"/>
                <w:lang w:eastAsia="lt-LT"/>
              </w:rPr>
              <w:t xml:space="preserve">Turi būti </w:t>
            </w:r>
            <w:r w:rsidRPr="26A83943">
              <w:rPr>
                <w:rFonts w:cs="Calibri"/>
                <w:color w:val="000000" w:themeColor="text1"/>
                <w:sz w:val="20"/>
                <w:szCs w:val="20"/>
                <w:lang w:eastAsia="lt-LT"/>
              </w:rPr>
              <w:t>galima</w:t>
            </w:r>
            <w:r w:rsidR="00116E2C" w:rsidRPr="48176EC7">
              <w:rPr>
                <w:rFonts w:cs="Calibri"/>
                <w:color w:val="000000" w:themeColor="text1"/>
                <w:sz w:val="20"/>
                <w:szCs w:val="20"/>
                <w:lang w:eastAsia="lt-LT"/>
              </w:rPr>
              <w:t xml:space="preserve"> plėsti iki 8 vnt. diskų.</w:t>
            </w:r>
          </w:p>
          <w:p w14:paraId="58CB3EFC" w14:textId="497CCA4B" w:rsidR="00116E2C" w:rsidRPr="00D6025C" w:rsidRDefault="006F4AB5" w:rsidP="00116E2C">
            <w:pPr>
              <w:spacing w:after="0" w:line="240" w:lineRule="auto"/>
              <w:jc w:val="both"/>
              <w:rPr>
                <w:rFonts w:cs="Calibri"/>
                <w:color w:val="000000"/>
                <w:sz w:val="20"/>
                <w:szCs w:val="20"/>
                <w:lang w:eastAsia="lt-LT"/>
              </w:rPr>
            </w:pPr>
            <w:r w:rsidRPr="2DFFB8F6">
              <w:rPr>
                <w:rFonts w:cs="Calibri"/>
                <w:color w:val="000000" w:themeColor="text1"/>
                <w:sz w:val="20"/>
                <w:szCs w:val="20"/>
                <w:lang w:eastAsia="lt-LT"/>
              </w:rPr>
              <w:t>Ne blog</w:t>
            </w:r>
            <w:r w:rsidR="00D602C6" w:rsidRPr="2DFFB8F6">
              <w:rPr>
                <w:rFonts w:cs="Calibri"/>
                <w:color w:val="000000" w:themeColor="text1"/>
                <w:sz w:val="20"/>
                <w:szCs w:val="20"/>
                <w:lang w:eastAsia="lt-LT"/>
              </w:rPr>
              <w:t>esnis</w:t>
            </w:r>
            <w:r w:rsidRPr="2DFFB8F6">
              <w:rPr>
                <w:rFonts w:cs="Calibri"/>
                <w:color w:val="000000" w:themeColor="text1"/>
                <w:sz w:val="20"/>
                <w:szCs w:val="20"/>
                <w:lang w:eastAsia="lt-LT"/>
              </w:rPr>
              <w:t xml:space="preserve"> nei </w:t>
            </w:r>
            <w:r w:rsidR="00116E2C" w:rsidRPr="2DFFB8F6">
              <w:rPr>
                <w:rFonts w:cs="Calibri"/>
                <w:color w:val="000000" w:themeColor="text1"/>
                <w:sz w:val="20"/>
                <w:szCs w:val="20"/>
                <w:lang w:eastAsia="lt-LT"/>
              </w:rPr>
              <w:t>PCIe Gen5 RAID kontroleris palaikantis RAID lygius 0, 1, 5, 6, 10, 50, ir 60 su 8 GB „Flash“ tipo atmintimi apsaugotos spartinančiosios atminties.</w:t>
            </w:r>
          </w:p>
        </w:tc>
        <w:tc>
          <w:tcPr>
            <w:tcW w:w="4119" w:type="dxa"/>
            <w:tcBorders>
              <w:top w:val="nil"/>
              <w:left w:val="single" w:sz="4" w:space="0" w:color="auto"/>
              <w:bottom w:val="single" w:sz="4" w:space="0" w:color="auto"/>
              <w:right w:val="single" w:sz="4" w:space="0" w:color="auto"/>
            </w:tcBorders>
          </w:tcPr>
          <w:p w14:paraId="083C22B7" w14:textId="77777777" w:rsidR="00116E2C" w:rsidRPr="00D6025C" w:rsidRDefault="00116E2C" w:rsidP="00116E2C">
            <w:pPr>
              <w:spacing w:after="0" w:line="240" w:lineRule="auto"/>
              <w:jc w:val="center"/>
              <w:rPr>
                <w:rFonts w:cs="Calibri"/>
                <w:color w:val="000000"/>
                <w:sz w:val="20"/>
                <w:szCs w:val="20"/>
                <w:lang w:eastAsia="lt-LT"/>
              </w:rPr>
            </w:pPr>
          </w:p>
        </w:tc>
      </w:tr>
      <w:tr w:rsidR="00116E2C" w:rsidRPr="00D6025C" w14:paraId="412B39EA" w14:textId="77777777" w:rsidTr="00865A18">
        <w:trPr>
          <w:trHeight w:val="300"/>
        </w:trPr>
        <w:tc>
          <w:tcPr>
            <w:tcW w:w="691" w:type="dxa"/>
            <w:tcBorders>
              <w:top w:val="nil"/>
              <w:left w:val="single" w:sz="4" w:space="0" w:color="auto"/>
              <w:bottom w:val="single" w:sz="4" w:space="0" w:color="auto"/>
              <w:right w:val="single" w:sz="4" w:space="0" w:color="auto"/>
            </w:tcBorders>
          </w:tcPr>
          <w:p w14:paraId="7EBD8D37"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48DF7981"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Tinklo plokštės:</w:t>
            </w:r>
          </w:p>
        </w:tc>
        <w:tc>
          <w:tcPr>
            <w:tcW w:w="4142" w:type="dxa"/>
            <w:tcBorders>
              <w:top w:val="nil"/>
              <w:left w:val="nil"/>
              <w:bottom w:val="single" w:sz="4" w:space="0" w:color="auto"/>
              <w:right w:val="single" w:sz="4" w:space="0" w:color="auto"/>
            </w:tcBorders>
            <w:hideMark/>
          </w:tcPr>
          <w:p w14:paraId="404533E3" w14:textId="77777777" w:rsidR="00116E2C" w:rsidRPr="00D6025C" w:rsidRDefault="00116E2C" w:rsidP="00116E2C">
            <w:pPr>
              <w:spacing w:after="0" w:line="240" w:lineRule="auto"/>
              <w:jc w:val="both"/>
              <w:rPr>
                <w:rFonts w:cs="Calibri"/>
                <w:color w:val="000000"/>
                <w:sz w:val="20"/>
                <w:szCs w:val="20"/>
                <w:lang w:eastAsia="lt-LT"/>
              </w:rPr>
            </w:pPr>
            <w:r w:rsidRPr="00D6025C">
              <w:rPr>
                <w:rFonts w:cs="Calibri"/>
                <w:color w:val="000000"/>
                <w:sz w:val="20"/>
                <w:szCs w:val="20"/>
                <w:lang w:eastAsia="lt-LT"/>
              </w:rPr>
              <w:t>Ne mažiau kaip  4 vnt. 25G SFP28 prievadų.</w:t>
            </w:r>
          </w:p>
          <w:p w14:paraId="39E46621" w14:textId="77777777" w:rsidR="00116E2C" w:rsidRPr="00D6025C" w:rsidRDefault="00116E2C" w:rsidP="00116E2C">
            <w:pPr>
              <w:spacing w:after="0" w:line="240" w:lineRule="auto"/>
              <w:jc w:val="both"/>
              <w:rPr>
                <w:rFonts w:cs="Calibri"/>
                <w:color w:val="000000"/>
                <w:sz w:val="20"/>
                <w:szCs w:val="20"/>
                <w:lang w:eastAsia="lt-LT"/>
              </w:rPr>
            </w:pPr>
          </w:p>
        </w:tc>
        <w:tc>
          <w:tcPr>
            <w:tcW w:w="4119" w:type="dxa"/>
            <w:tcBorders>
              <w:top w:val="nil"/>
              <w:left w:val="nil"/>
              <w:bottom w:val="single" w:sz="4" w:space="0" w:color="auto"/>
              <w:right w:val="single" w:sz="4" w:space="0" w:color="auto"/>
            </w:tcBorders>
            <w:hideMark/>
          </w:tcPr>
          <w:p w14:paraId="0A2ED197"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739BFCF5" w14:textId="77777777" w:rsidTr="00865A18">
        <w:trPr>
          <w:trHeight w:val="511"/>
        </w:trPr>
        <w:tc>
          <w:tcPr>
            <w:tcW w:w="691" w:type="dxa"/>
            <w:tcBorders>
              <w:top w:val="nil"/>
              <w:left w:val="single" w:sz="4" w:space="0" w:color="auto"/>
              <w:bottom w:val="single" w:sz="4" w:space="0" w:color="auto"/>
              <w:right w:val="single" w:sz="4" w:space="0" w:color="auto"/>
            </w:tcBorders>
          </w:tcPr>
          <w:p w14:paraId="3259985B"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3236A670"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Kitos jungtys</w:t>
            </w:r>
          </w:p>
        </w:tc>
        <w:tc>
          <w:tcPr>
            <w:tcW w:w="4142" w:type="dxa"/>
            <w:tcBorders>
              <w:top w:val="nil"/>
              <w:left w:val="nil"/>
              <w:bottom w:val="single" w:sz="4" w:space="0" w:color="auto"/>
              <w:right w:val="single" w:sz="4" w:space="0" w:color="auto"/>
            </w:tcBorders>
            <w:hideMark/>
          </w:tcPr>
          <w:p w14:paraId="759BE62F" w14:textId="77777777" w:rsidR="00116E2C" w:rsidRPr="00D6025C" w:rsidRDefault="00116E2C" w:rsidP="00116E2C">
            <w:pPr>
              <w:spacing w:after="0" w:line="240" w:lineRule="auto"/>
              <w:jc w:val="both"/>
              <w:rPr>
                <w:rFonts w:cs="Calibri"/>
                <w:color w:val="000000"/>
                <w:sz w:val="20"/>
                <w:szCs w:val="20"/>
                <w:lang w:eastAsia="lt-LT"/>
              </w:rPr>
            </w:pPr>
            <w:r w:rsidRPr="00D6025C">
              <w:rPr>
                <w:rFonts w:cs="Calibri"/>
                <w:color w:val="000000"/>
                <w:sz w:val="20"/>
                <w:szCs w:val="20"/>
                <w:lang w:eastAsia="lt-LT"/>
              </w:rPr>
              <w:t xml:space="preserve">Ne mažiau kaip: </w:t>
            </w:r>
            <w:r>
              <w:rPr>
                <w:rFonts w:cs="Calibri"/>
                <w:color w:val="000000"/>
                <w:sz w:val="20"/>
                <w:szCs w:val="20"/>
                <w:lang w:eastAsia="lt-LT"/>
              </w:rPr>
              <w:t>4</w:t>
            </w:r>
            <w:r w:rsidRPr="00D6025C">
              <w:rPr>
                <w:rFonts w:cs="Calibri"/>
                <w:color w:val="000000"/>
                <w:sz w:val="20"/>
                <w:szCs w:val="20"/>
                <w:lang w:eastAsia="lt-LT"/>
              </w:rPr>
              <w:t xml:space="preserve"> x USB, 1 x VGA. </w:t>
            </w:r>
          </w:p>
        </w:tc>
        <w:tc>
          <w:tcPr>
            <w:tcW w:w="4119" w:type="dxa"/>
            <w:tcBorders>
              <w:top w:val="nil"/>
              <w:left w:val="nil"/>
              <w:bottom w:val="single" w:sz="4" w:space="0" w:color="auto"/>
              <w:right w:val="single" w:sz="4" w:space="0" w:color="auto"/>
            </w:tcBorders>
            <w:hideMark/>
          </w:tcPr>
          <w:p w14:paraId="78DA8E8F"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14EE81BE" w14:textId="77777777" w:rsidTr="00865A18">
        <w:trPr>
          <w:trHeight w:val="511"/>
        </w:trPr>
        <w:tc>
          <w:tcPr>
            <w:tcW w:w="691" w:type="dxa"/>
            <w:tcBorders>
              <w:top w:val="nil"/>
              <w:left w:val="single" w:sz="4" w:space="0" w:color="auto"/>
              <w:bottom w:val="single" w:sz="4" w:space="0" w:color="auto"/>
              <w:right w:val="single" w:sz="4" w:space="0" w:color="auto"/>
            </w:tcBorders>
          </w:tcPr>
          <w:p w14:paraId="42442A55"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4C18C4F0"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PCI jungtys</w:t>
            </w:r>
          </w:p>
        </w:tc>
        <w:tc>
          <w:tcPr>
            <w:tcW w:w="4142" w:type="dxa"/>
            <w:tcBorders>
              <w:top w:val="nil"/>
              <w:left w:val="nil"/>
              <w:bottom w:val="single" w:sz="4" w:space="0" w:color="auto"/>
              <w:right w:val="single" w:sz="4" w:space="0" w:color="auto"/>
            </w:tcBorders>
            <w:hideMark/>
          </w:tcPr>
          <w:p w14:paraId="6D47FEA8" w14:textId="4A14D451" w:rsidR="00116E2C" w:rsidRPr="00D6025C" w:rsidRDefault="00116E2C" w:rsidP="00116E2C">
            <w:pPr>
              <w:spacing w:after="0" w:line="240" w:lineRule="auto"/>
              <w:jc w:val="both"/>
              <w:rPr>
                <w:rFonts w:cs="Calibri"/>
                <w:color w:val="000000"/>
                <w:sz w:val="20"/>
                <w:szCs w:val="20"/>
                <w:lang w:eastAsia="lt-LT"/>
              </w:rPr>
            </w:pPr>
            <w:r w:rsidRPr="792EB7CB">
              <w:rPr>
                <w:rFonts w:cs="Calibri"/>
                <w:color w:val="000000" w:themeColor="text1"/>
                <w:sz w:val="20"/>
                <w:szCs w:val="20"/>
                <w:lang w:eastAsia="lt-LT"/>
              </w:rPr>
              <w:t xml:space="preserve">Turi būti sukonfigūruoti ne mažiau kaip 2 vnt. PCI-E 5.0 tipo lizdai ir </w:t>
            </w:r>
            <w:r w:rsidR="003D2BE5" w:rsidRPr="792EB7CB">
              <w:rPr>
                <w:rFonts w:cs="Calibri"/>
                <w:color w:val="000000" w:themeColor="text1"/>
                <w:sz w:val="20"/>
                <w:szCs w:val="20"/>
                <w:lang w:eastAsia="lt-LT"/>
              </w:rPr>
              <w:t xml:space="preserve">ne mažiau kaip </w:t>
            </w:r>
            <w:r w:rsidRPr="792EB7CB">
              <w:rPr>
                <w:rFonts w:cs="Calibri"/>
                <w:color w:val="000000" w:themeColor="text1"/>
                <w:sz w:val="20"/>
                <w:szCs w:val="20"/>
                <w:lang w:eastAsia="lt-LT"/>
              </w:rPr>
              <w:t>2 vnt. OCP lizdai.</w:t>
            </w:r>
          </w:p>
        </w:tc>
        <w:tc>
          <w:tcPr>
            <w:tcW w:w="4119" w:type="dxa"/>
            <w:tcBorders>
              <w:top w:val="nil"/>
              <w:left w:val="nil"/>
              <w:bottom w:val="single" w:sz="4" w:space="0" w:color="auto"/>
              <w:right w:val="single" w:sz="4" w:space="0" w:color="auto"/>
            </w:tcBorders>
            <w:hideMark/>
          </w:tcPr>
          <w:p w14:paraId="7E015A34"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31A58C13" w14:textId="77777777" w:rsidTr="009B5A91">
        <w:trPr>
          <w:trHeight w:val="992"/>
        </w:trPr>
        <w:tc>
          <w:tcPr>
            <w:tcW w:w="691" w:type="dxa"/>
            <w:tcBorders>
              <w:top w:val="nil"/>
              <w:left w:val="single" w:sz="4" w:space="0" w:color="auto"/>
              <w:bottom w:val="single" w:sz="4" w:space="0" w:color="auto"/>
              <w:right w:val="single" w:sz="4" w:space="0" w:color="auto"/>
            </w:tcBorders>
          </w:tcPr>
          <w:p w14:paraId="1CF40B73"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596801CF"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Konstrukcija ir komplektacija</w:t>
            </w:r>
          </w:p>
        </w:tc>
        <w:tc>
          <w:tcPr>
            <w:tcW w:w="4142" w:type="dxa"/>
            <w:tcBorders>
              <w:top w:val="nil"/>
              <w:left w:val="nil"/>
              <w:bottom w:val="single" w:sz="4" w:space="0" w:color="auto"/>
              <w:right w:val="single" w:sz="4" w:space="0" w:color="auto"/>
            </w:tcBorders>
            <w:hideMark/>
          </w:tcPr>
          <w:p w14:paraId="061A4389" w14:textId="3676C594" w:rsidR="00116E2C" w:rsidRPr="005E7BA3" w:rsidRDefault="35DDA110" w:rsidP="00116E2C">
            <w:pPr>
              <w:spacing w:after="0" w:line="240" w:lineRule="auto"/>
              <w:jc w:val="both"/>
              <w:rPr>
                <w:rFonts w:cs="Calibri"/>
                <w:color w:val="EE0000"/>
                <w:sz w:val="20"/>
                <w:szCs w:val="20"/>
                <w:lang w:eastAsia="lt-LT"/>
              </w:rPr>
            </w:pPr>
            <w:r w:rsidRPr="6A11E61D">
              <w:rPr>
                <w:rFonts w:cs="Calibri"/>
                <w:color w:val="000000" w:themeColor="text1"/>
                <w:sz w:val="20"/>
                <w:szCs w:val="20"/>
                <w:lang w:eastAsia="lt-LT"/>
              </w:rPr>
              <w:t xml:space="preserve">Serveris turi būti montuojamas į standartinę 19“ spintą. Bėgiai turi būti pritaikyti greitam montavimui bei serverio ištraukimui („sliding rails“). Korpuso aukštis neturi viršyti 2U. </w:t>
            </w:r>
            <w:r w:rsidR="6E61AF24" w:rsidRPr="6A11E61D">
              <w:rPr>
                <w:rFonts w:cs="Calibri"/>
                <w:color w:val="000000" w:themeColor="text1"/>
                <w:sz w:val="20"/>
                <w:szCs w:val="20"/>
                <w:lang w:eastAsia="lt-LT"/>
              </w:rPr>
              <w:t>Serverio priekinėje dalyje turi būti sumontuota užrakinama apsauga.</w:t>
            </w:r>
          </w:p>
          <w:p w14:paraId="389D905F" w14:textId="7CDF8A62" w:rsidR="00116E2C" w:rsidRPr="00D6025C" w:rsidRDefault="00E22EFD" w:rsidP="00116E2C">
            <w:pPr>
              <w:spacing w:after="0" w:line="240" w:lineRule="auto"/>
              <w:jc w:val="both"/>
              <w:rPr>
                <w:rFonts w:cs="Calibri"/>
                <w:color w:val="000000"/>
                <w:sz w:val="20"/>
                <w:szCs w:val="20"/>
                <w:lang w:eastAsia="lt-LT"/>
              </w:rPr>
            </w:pPr>
            <w:r w:rsidRPr="00E22EFD">
              <w:rPr>
                <w:rFonts w:cs="Calibri"/>
                <w:b/>
                <w:bCs/>
                <w:color w:val="000000" w:themeColor="text1"/>
                <w:sz w:val="20"/>
                <w:szCs w:val="20"/>
                <w:lang w:eastAsia="lt-LT"/>
              </w:rPr>
              <w:t>Turi būti pateikti jungiamieji kabeliai</w:t>
            </w:r>
            <w:r w:rsidR="00116E2C" w:rsidRPr="1F40E3F1">
              <w:rPr>
                <w:rFonts w:cs="Calibri"/>
                <w:color w:val="000000" w:themeColor="text1"/>
                <w:sz w:val="20"/>
                <w:szCs w:val="20"/>
                <w:lang w:eastAsia="lt-LT"/>
              </w:rPr>
              <w:t>, jungtys, tvirtinimo detalės, bėgiai, bei priemonės, skirtos įrangos pajungimui ir montavimui į 19“ montažinę spintą, bei apjungimui su tink</w:t>
            </w:r>
            <w:r w:rsidR="00A334DF" w:rsidRPr="1F40E3F1">
              <w:rPr>
                <w:rFonts w:cs="Calibri"/>
                <w:color w:val="000000" w:themeColor="text1"/>
                <w:sz w:val="20"/>
                <w:szCs w:val="20"/>
                <w:lang w:eastAsia="lt-LT"/>
              </w:rPr>
              <w:t>l</w:t>
            </w:r>
            <w:r w:rsidR="00116E2C" w:rsidRPr="1F40E3F1">
              <w:rPr>
                <w:rFonts w:cs="Calibri"/>
                <w:color w:val="000000" w:themeColor="text1"/>
                <w:sz w:val="20"/>
                <w:szCs w:val="20"/>
                <w:lang w:eastAsia="lt-LT"/>
              </w:rPr>
              <w:t xml:space="preserve">o įranga.  </w:t>
            </w:r>
          </w:p>
        </w:tc>
        <w:tc>
          <w:tcPr>
            <w:tcW w:w="4119" w:type="dxa"/>
            <w:tcBorders>
              <w:top w:val="nil"/>
              <w:left w:val="nil"/>
              <w:bottom w:val="single" w:sz="4" w:space="0" w:color="auto"/>
              <w:right w:val="single" w:sz="4" w:space="0" w:color="auto"/>
            </w:tcBorders>
            <w:hideMark/>
          </w:tcPr>
          <w:p w14:paraId="0FB86FCC"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00F6BA80" w14:textId="77777777" w:rsidTr="009B5A91">
        <w:trPr>
          <w:trHeight w:val="992"/>
        </w:trPr>
        <w:tc>
          <w:tcPr>
            <w:tcW w:w="691" w:type="dxa"/>
            <w:tcBorders>
              <w:top w:val="nil"/>
              <w:left w:val="single" w:sz="4" w:space="0" w:color="auto"/>
              <w:bottom w:val="single" w:sz="4" w:space="0" w:color="auto"/>
              <w:right w:val="single" w:sz="4" w:space="0" w:color="auto"/>
            </w:tcBorders>
          </w:tcPr>
          <w:p w14:paraId="36FB79C3"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687B04E8"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Maitinimo šaltiniai</w:t>
            </w:r>
          </w:p>
        </w:tc>
        <w:tc>
          <w:tcPr>
            <w:tcW w:w="4142" w:type="dxa"/>
            <w:tcBorders>
              <w:top w:val="nil"/>
              <w:left w:val="nil"/>
              <w:bottom w:val="single" w:sz="4" w:space="0" w:color="auto"/>
              <w:right w:val="single" w:sz="4" w:space="0" w:color="auto"/>
            </w:tcBorders>
            <w:hideMark/>
          </w:tcPr>
          <w:p w14:paraId="527814AB" w14:textId="186C3ED1" w:rsidR="00116E2C" w:rsidRPr="00D6025C" w:rsidRDefault="00116E2C" w:rsidP="00116E2C">
            <w:pPr>
              <w:spacing w:after="0" w:line="240" w:lineRule="auto"/>
              <w:jc w:val="both"/>
              <w:rPr>
                <w:rFonts w:cs="Calibri"/>
                <w:color w:val="000000"/>
                <w:sz w:val="20"/>
                <w:szCs w:val="20"/>
                <w:lang w:eastAsia="lt-LT"/>
              </w:rPr>
            </w:pPr>
            <w:r w:rsidRPr="1293FDFE">
              <w:rPr>
                <w:rFonts w:cs="Calibri"/>
                <w:color w:val="000000" w:themeColor="text1"/>
                <w:sz w:val="20"/>
                <w:szCs w:val="20"/>
                <w:lang w:eastAsia="lt-LT"/>
              </w:rPr>
              <w:t>Ne mažiau kaip du nepriklausomi „karšto keitimo“ (angl.</w:t>
            </w:r>
            <w:r w:rsidRPr="1293FDFE">
              <w:rPr>
                <w:rFonts w:cs="Calibri"/>
                <w:i/>
                <w:color w:val="000000" w:themeColor="text1"/>
                <w:sz w:val="20"/>
                <w:szCs w:val="20"/>
                <w:lang w:eastAsia="lt-LT"/>
              </w:rPr>
              <w:t>Hot-plug)</w:t>
            </w:r>
            <w:r w:rsidRPr="1293FDFE">
              <w:rPr>
                <w:rFonts w:cs="Calibri"/>
                <w:color w:val="000000" w:themeColor="text1"/>
                <w:sz w:val="20"/>
                <w:szCs w:val="20"/>
                <w:lang w:eastAsia="lt-LT"/>
              </w:rPr>
              <w:t xml:space="preserve"> 230 V 50 Hz įrenginiai, ne mažesnio kaip 1100 W galingumo su atskirais įvadais. </w:t>
            </w:r>
            <w:r w:rsidR="001D6C07">
              <w:rPr>
                <w:rFonts w:cs="Calibri"/>
                <w:color w:val="000000" w:themeColor="text1"/>
                <w:sz w:val="20"/>
                <w:szCs w:val="20"/>
                <w:lang w:eastAsia="lt-LT"/>
              </w:rPr>
              <w:t>Maitinimo šaltiniai turi turėti ne žemesnę kaip Titanium arba lygiavertę efektyvumo sertifikaciją.</w:t>
            </w:r>
          </w:p>
        </w:tc>
        <w:tc>
          <w:tcPr>
            <w:tcW w:w="4119" w:type="dxa"/>
            <w:tcBorders>
              <w:top w:val="nil"/>
              <w:left w:val="nil"/>
              <w:bottom w:val="single" w:sz="4" w:space="0" w:color="auto"/>
              <w:right w:val="single" w:sz="4" w:space="0" w:color="auto"/>
            </w:tcBorders>
            <w:hideMark/>
          </w:tcPr>
          <w:p w14:paraId="63BDBC89"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492D409E" w14:textId="77777777" w:rsidTr="009B5A91">
        <w:trPr>
          <w:trHeight w:val="511"/>
        </w:trPr>
        <w:tc>
          <w:tcPr>
            <w:tcW w:w="691" w:type="dxa"/>
            <w:tcBorders>
              <w:top w:val="nil"/>
              <w:left w:val="single" w:sz="4" w:space="0" w:color="auto"/>
              <w:bottom w:val="single" w:sz="4" w:space="0" w:color="auto"/>
              <w:right w:val="single" w:sz="4" w:space="0" w:color="auto"/>
            </w:tcBorders>
          </w:tcPr>
          <w:p w14:paraId="145D751A"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60622D8D"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Aušinimas</w:t>
            </w:r>
          </w:p>
        </w:tc>
        <w:tc>
          <w:tcPr>
            <w:tcW w:w="4142" w:type="dxa"/>
            <w:tcBorders>
              <w:top w:val="nil"/>
              <w:left w:val="nil"/>
              <w:bottom w:val="single" w:sz="4" w:space="0" w:color="auto"/>
              <w:right w:val="single" w:sz="4" w:space="0" w:color="auto"/>
            </w:tcBorders>
            <w:hideMark/>
          </w:tcPr>
          <w:p w14:paraId="317A6E07" w14:textId="46D8E185" w:rsidR="00116E2C" w:rsidRPr="00D6025C" w:rsidRDefault="00DA1576" w:rsidP="00116E2C">
            <w:pPr>
              <w:spacing w:after="0" w:line="240" w:lineRule="auto"/>
              <w:jc w:val="both"/>
              <w:rPr>
                <w:rFonts w:cs="Calibri"/>
                <w:color w:val="000000"/>
                <w:sz w:val="20"/>
                <w:szCs w:val="20"/>
                <w:lang w:eastAsia="lt-LT"/>
              </w:rPr>
            </w:pPr>
            <w:r>
              <w:rPr>
                <w:rFonts w:cs="Calibri"/>
                <w:color w:val="000000"/>
                <w:sz w:val="20"/>
                <w:szCs w:val="20"/>
                <w:lang w:eastAsia="lt-LT"/>
              </w:rPr>
              <w:t>Turi būti įrengti dubliuoti „karšto keitimo“ (angl. Hot-plug) tipo aušinimo moduliai.</w:t>
            </w:r>
          </w:p>
        </w:tc>
        <w:tc>
          <w:tcPr>
            <w:tcW w:w="4119" w:type="dxa"/>
            <w:tcBorders>
              <w:top w:val="nil"/>
              <w:left w:val="nil"/>
              <w:bottom w:val="single" w:sz="4" w:space="0" w:color="auto"/>
              <w:right w:val="single" w:sz="4" w:space="0" w:color="auto"/>
            </w:tcBorders>
            <w:hideMark/>
          </w:tcPr>
          <w:p w14:paraId="40DBBEA3"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E2A95" w:rsidRPr="00D6025C" w14:paraId="5C1CF03D" w14:textId="77777777" w:rsidTr="003042BF">
        <w:trPr>
          <w:trHeight w:val="992"/>
        </w:trPr>
        <w:tc>
          <w:tcPr>
            <w:tcW w:w="691" w:type="dxa"/>
            <w:vMerge w:val="restart"/>
            <w:tcBorders>
              <w:top w:val="single" w:sz="4" w:space="0" w:color="auto"/>
              <w:left w:val="single" w:sz="4" w:space="0" w:color="auto"/>
              <w:right w:val="single" w:sz="4" w:space="0" w:color="auto"/>
            </w:tcBorders>
          </w:tcPr>
          <w:p w14:paraId="6814B939" w14:textId="77777777" w:rsidR="001E2A95" w:rsidRPr="004320B0" w:rsidRDefault="001E2A95" w:rsidP="00116E2C">
            <w:pPr>
              <w:pStyle w:val="ListParagraph"/>
              <w:numPr>
                <w:ilvl w:val="0"/>
                <w:numId w:val="3"/>
              </w:numPr>
              <w:spacing w:after="0" w:line="240" w:lineRule="auto"/>
              <w:jc w:val="center"/>
              <w:rPr>
                <w:rFonts w:cs="Calibri"/>
                <w:color w:val="000000"/>
                <w:sz w:val="20"/>
                <w:szCs w:val="20"/>
                <w:lang w:eastAsia="lt-LT"/>
              </w:rPr>
            </w:pPr>
          </w:p>
        </w:tc>
        <w:tc>
          <w:tcPr>
            <w:tcW w:w="1533" w:type="dxa"/>
            <w:vMerge w:val="restart"/>
            <w:tcBorders>
              <w:top w:val="single" w:sz="4" w:space="0" w:color="auto"/>
              <w:left w:val="single" w:sz="4" w:space="0" w:color="auto"/>
              <w:right w:val="single" w:sz="4" w:space="0" w:color="auto"/>
            </w:tcBorders>
            <w:hideMark/>
          </w:tcPr>
          <w:p w14:paraId="7E12B903" w14:textId="184F4FAD" w:rsidR="001E2A95" w:rsidRPr="006D38DE" w:rsidRDefault="001E2A95" w:rsidP="00116E2C">
            <w:pPr>
              <w:spacing w:after="0" w:line="240" w:lineRule="auto"/>
              <w:jc w:val="center"/>
              <w:rPr>
                <w:rFonts w:cs="Calibri"/>
                <w:color w:val="000000"/>
                <w:sz w:val="20"/>
                <w:szCs w:val="20"/>
                <w:lang w:eastAsia="lt-LT"/>
              </w:rPr>
            </w:pPr>
            <w:r w:rsidRPr="001E2A95">
              <w:rPr>
                <w:rFonts w:cs="Calibri"/>
                <w:color w:val="000000"/>
                <w:sz w:val="20"/>
                <w:szCs w:val="20"/>
                <w:lang w:eastAsia="lt-LT"/>
              </w:rPr>
              <w:t>Valdymo sistema</w:t>
            </w:r>
          </w:p>
        </w:tc>
        <w:tc>
          <w:tcPr>
            <w:tcW w:w="4142" w:type="dxa"/>
            <w:tcBorders>
              <w:top w:val="single" w:sz="4" w:space="0" w:color="auto"/>
              <w:left w:val="nil"/>
              <w:bottom w:val="single" w:sz="4" w:space="0" w:color="auto"/>
              <w:right w:val="single" w:sz="4" w:space="0" w:color="auto"/>
            </w:tcBorders>
            <w:hideMark/>
          </w:tcPr>
          <w:p w14:paraId="2F50AB37" w14:textId="77777777" w:rsidR="001E2A95" w:rsidRPr="00D6025C" w:rsidRDefault="001E2A95" w:rsidP="00116E2C">
            <w:pPr>
              <w:spacing w:after="0" w:line="240" w:lineRule="auto"/>
              <w:jc w:val="both"/>
              <w:rPr>
                <w:rFonts w:cs="Calibri"/>
                <w:color w:val="000000"/>
                <w:sz w:val="20"/>
                <w:szCs w:val="20"/>
                <w:lang w:eastAsia="lt-LT"/>
              </w:rPr>
            </w:pPr>
            <w:r w:rsidRPr="00D6025C">
              <w:rPr>
                <w:rFonts w:cs="Calibri"/>
                <w:color w:val="000000"/>
                <w:sz w:val="20"/>
                <w:szCs w:val="20"/>
                <w:lang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tc>
        <w:tc>
          <w:tcPr>
            <w:tcW w:w="4119" w:type="dxa"/>
            <w:tcBorders>
              <w:top w:val="single" w:sz="4" w:space="0" w:color="auto"/>
              <w:left w:val="single" w:sz="4" w:space="0" w:color="auto"/>
              <w:bottom w:val="single" w:sz="4" w:space="0" w:color="auto"/>
              <w:right w:val="single" w:sz="4" w:space="0" w:color="auto"/>
            </w:tcBorders>
            <w:hideMark/>
          </w:tcPr>
          <w:p w14:paraId="44C53206" w14:textId="77777777" w:rsidR="001E2A95" w:rsidRPr="00D6025C" w:rsidRDefault="001E2A95"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E2A95" w:rsidRPr="00D6025C" w14:paraId="2D8CD8BE" w14:textId="77777777" w:rsidTr="003042BF">
        <w:trPr>
          <w:trHeight w:val="767"/>
        </w:trPr>
        <w:tc>
          <w:tcPr>
            <w:tcW w:w="691" w:type="dxa"/>
            <w:vMerge/>
            <w:tcBorders>
              <w:left w:val="single" w:sz="4" w:space="0" w:color="auto"/>
              <w:right w:val="single" w:sz="4" w:space="0" w:color="auto"/>
            </w:tcBorders>
            <w:vAlign w:val="center"/>
          </w:tcPr>
          <w:p w14:paraId="5D3928C1"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74DD50B9" w14:textId="77777777" w:rsidR="001E2A95" w:rsidRPr="006D38DE" w:rsidRDefault="001E2A95" w:rsidP="00116E2C">
            <w:pPr>
              <w:spacing w:after="0" w:line="240" w:lineRule="auto"/>
              <w:rPr>
                <w:rFonts w:cs="Calibri"/>
                <w:color w:val="000000"/>
                <w:sz w:val="20"/>
                <w:szCs w:val="20"/>
                <w:lang w:eastAsia="lt-LT"/>
              </w:rPr>
            </w:pPr>
            <w:commentRangeStart w:id="2"/>
            <w:commentRangeEnd w:id="2"/>
            <w:r w:rsidRPr="006D38DE">
              <w:rPr>
                <w:rStyle w:val="CommentReference"/>
                <w:rFonts w:cs="Calibri"/>
                <w:color w:val="000000"/>
                <w:sz w:val="20"/>
                <w:szCs w:val="20"/>
                <w:lang w:eastAsia="lt-LT"/>
              </w:rPr>
              <w:commentReference w:id="2"/>
            </w:r>
          </w:p>
        </w:tc>
        <w:tc>
          <w:tcPr>
            <w:tcW w:w="4142" w:type="dxa"/>
            <w:tcBorders>
              <w:top w:val="single" w:sz="4" w:space="0" w:color="auto"/>
              <w:left w:val="single" w:sz="4" w:space="0" w:color="auto"/>
              <w:bottom w:val="single" w:sz="4" w:space="0" w:color="auto"/>
              <w:right w:val="single" w:sz="4" w:space="0" w:color="auto"/>
            </w:tcBorders>
            <w:hideMark/>
          </w:tcPr>
          <w:p w14:paraId="696EB686" w14:textId="1E869D1E" w:rsidR="001E2A95" w:rsidRPr="00D6025C" w:rsidRDefault="001E2A95" w:rsidP="00116E2C">
            <w:pPr>
              <w:spacing w:after="0" w:line="240" w:lineRule="auto"/>
              <w:jc w:val="both"/>
              <w:rPr>
                <w:rFonts w:cs="Calibri"/>
                <w:color w:val="000000"/>
                <w:sz w:val="20"/>
                <w:szCs w:val="20"/>
                <w:lang w:eastAsia="lt-LT"/>
              </w:rPr>
            </w:pPr>
            <w:r w:rsidRPr="46A0C2C8">
              <w:rPr>
                <w:rFonts w:cs="Calibri"/>
                <w:color w:val="000000" w:themeColor="text1"/>
                <w:sz w:val="20"/>
                <w:szCs w:val="20"/>
                <w:lang w:eastAsia="lt-LT"/>
              </w:rPr>
              <w:t>Turi būti „KVM over IP“ funkcionalumas (</w:t>
            </w:r>
            <w:r w:rsidRPr="3D922414">
              <w:rPr>
                <w:rFonts w:cs="Calibri"/>
                <w:color w:val="000000" w:themeColor="text1"/>
                <w:sz w:val="20"/>
                <w:szCs w:val="20"/>
                <w:lang w:eastAsia="lt-LT"/>
              </w:rPr>
              <w:t>paaiškinimas:</w:t>
            </w:r>
            <w:r w:rsidRPr="6F99747E">
              <w:rPr>
                <w:rFonts w:cs="Calibri"/>
                <w:color w:val="000000" w:themeColor="text1"/>
                <w:sz w:val="20"/>
                <w:szCs w:val="20"/>
                <w:lang w:eastAsia="lt-LT"/>
              </w:rPr>
              <w:t xml:space="preserve"> </w:t>
            </w:r>
            <w:r w:rsidRPr="3D922414">
              <w:rPr>
                <w:rFonts w:cs="Calibri"/>
                <w:color w:val="000000" w:themeColor="text1"/>
                <w:sz w:val="20"/>
                <w:szCs w:val="20"/>
                <w:lang w:eastAsia="lt-LT"/>
              </w:rPr>
              <w:t>grafinė</w:t>
            </w:r>
            <w:r w:rsidRPr="46A0C2C8">
              <w:rPr>
                <w:rFonts w:cs="Calibri"/>
                <w:color w:val="000000" w:themeColor="text1"/>
                <w:sz w:val="20"/>
                <w:szCs w:val="20"/>
                <w:lang w:eastAsia="lt-LT"/>
              </w:rPr>
              <w:t xml:space="preserve"> nepriklausoma nuo operacinės sistemos sąsaja, virtuali grafinė konsolė, virtualių lokalių CD-ROM įrenginių valdymas).</w:t>
            </w:r>
          </w:p>
        </w:tc>
        <w:tc>
          <w:tcPr>
            <w:tcW w:w="4119" w:type="dxa"/>
            <w:vMerge w:val="restart"/>
            <w:tcBorders>
              <w:top w:val="single" w:sz="4" w:space="0" w:color="auto"/>
              <w:left w:val="single" w:sz="4" w:space="0" w:color="auto"/>
              <w:bottom w:val="single" w:sz="4" w:space="0" w:color="auto"/>
              <w:right w:val="single" w:sz="4" w:space="0" w:color="auto"/>
            </w:tcBorders>
            <w:vAlign w:val="center"/>
            <w:hideMark/>
          </w:tcPr>
          <w:p w14:paraId="575D337B"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4D57816C" w14:textId="77777777" w:rsidTr="003042BF">
        <w:trPr>
          <w:trHeight w:val="511"/>
        </w:trPr>
        <w:tc>
          <w:tcPr>
            <w:tcW w:w="691" w:type="dxa"/>
            <w:vMerge/>
            <w:tcBorders>
              <w:left w:val="single" w:sz="4" w:space="0" w:color="auto"/>
              <w:right w:val="single" w:sz="4" w:space="0" w:color="auto"/>
            </w:tcBorders>
            <w:vAlign w:val="center"/>
          </w:tcPr>
          <w:p w14:paraId="0F63A973"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7D684BA2"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252A8229" w14:textId="77777777" w:rsidR="001E2A95" w:rsidRPr="00D6025C" w:rsidRDefault="001E2A95" w:rsidP="00116E2C">
            <w:pPr>
              <w:spacing w:after="0" w:line="240" w:lineRule="auto"/>
              <w:jc w:val="both"/>
              <w:rPr>
                <w:rFonts w:cs="Calibri"/>
                <w:color w:val="000000"/>
                <w:sz w:val="20"/>
                <w:szCs w:val="20"/>
                <w:lang w:eastAsia="lt-LT"/>
              </w:rPr>
            </w:pPr>
            <w:r w:rsidRPr="00D6025C">
              <w:rPr>
                <w:rFonts w:cs="Calibri"/>
                <w:color w:val="000000"/>
                <w:sz w:val="20"/>
                <w:szCs w:val="20"/>
                <w:lang w:eastAsia="lt-LT"/>
              </w:rPr>
              <w:t>HTML 5 arba lygiavertė vartotojo sąsaja tiek vartotojo aplinkai, tiek virtualiai konsolei.</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6AD01F8E"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13F2CD73" w14:textId="77777777" w:rsidTr="003042BF">
        <w:trPr>
          <w:trHeight w:val="511"/>
        </w:trPr>
        <w:tc>
          <w:tcPr>
            <w:tcW w:w="691" w:type="dxa"/>
            <w:vMerge/>
            <w:tcBorders>
              <w:left w:val="single" w:sz="4" w:space="0" w:color="auto"/>
              <w:right w:val="single" w:sz="4" w:space="0" w:color="auto"/>
            </w:tcBorders>
            <w:vAlign w:val="center"/>
          </w:tcPr>
          <w:p w14:paraId="310CE95F"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5761B2E2"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5A186BFB" w14:textId="77777777" w:rsidR="001E2A95" w:rsidRPr="00D6025C" w:rsidRDefault="001E2A95" w:rsidP="00116E2C">
            <w:pPr>
              <w:spacing w:after="0" w:line="240" w:lineRule="auto"/>
              <w:jc w:val="both"/>
              <w:rPr>
                <w:rFonts w:cs="Calibri"/>
                <w:color w:val="000000"/>
                <w:sz w:val="20"/>
                <w:szCs w:val="20"/>
                <w:lang w:eastAsia="lt-LT"/>
              </w:rPr>
            </w:pPr>
            <w:r w:rsidRPr="00D6025C">
              <w:rPr>
                <w:rFonts w:cs="Calibri"/>
                <w:color w:val="000000"/>
                <w:sz w:val="20"/>
                <w:szCs w:val="20"/>
                <w:lang w:eastAsia="lt-LT"/>
              </w:rPr>
              <w:t>Sistemos mikrokodo („firmware“) atnaujinimai turi būti apsaugoti kriptografiniu parašu.</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75F35AE4"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267EF03E" w14:textId="77777777" w:rsidTr="003042BF">
        <w:trPr>
          <w:trHeight w:val="300"/>
        </w:trPr>
        <w:tc>
          <w:tcPr>
            <w:tcW w:w="691" w:type="dxa"/>
            <w:vMerge/>
            <w:tcBorders>
              <w:left w:val="single" w:sz="4" w:space="0" w:color="auto"/>
              <w:right w:val="single" w:sz="4" w:space="0" w:color="auto"/>
            </w:tcBorders>
            <w:vAlign w:val="center"/>
          </w:tcPr>
          <w:p w14:paraId="64C0688D"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4477D6C5"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44770C79" w14:textId="77777777" w:rsidR="001E2A95" w:rsidRPr="00D6025C" w:rsidRDefault="001E2A95" w:rsidP="00116E2C">
            <w:pPr>
              <w:spacing w:after="0" w:line="240" w:lineRule="auto"/>
              <w:jc w:val="both"/>
              <w:rPr>
                <w:rFonts w:cs="Calibri"/>
                <w:color w:val="000000"/>
                <w:sz w:val="20"/>
                <w:szCs w:val="20"/>
                <w:lang w:eastAsia="lt-LT"/>
              </w:rPr>
            </w:pPr>
            <w:r w:rsidRPr="3A89C331">
              <w:rPr>
                <w:rFonts w:cs="Calibri"/>
                <w:color w:val="000000" w:themeColor="text1"/>
                <w:sz w:val="20"/>
                <w:szCs w:val="20"/>
                <w:lang w:eastAsia="lt-LT"/>
              </w:rPr>
              <w:t>Turi palaikyti nuotolinį pilną serverio įtampos išjungimą.</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26264DAF"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40387035" w14:textId="77777777" w:rsidTr="003042BF">
        <w:trPr>
          <w:trHeight w:val="511"/>
        </w:trPr>
        <w:tc>
          <w:tcPr>
            <w:tcW w:w="691" w:type="dxa"/>
            <w:vMerge/>
            <w:tcBorders>
              <w:left w:val="single" w:sz="4" w:space="0" w:color="auto"/>
              <w:right w:val="single" w:sz="4" w:space="0" w:color="auto"/>
            </w:tcBorders>
            <w:vAlign w:val="center"/>
          </w:tcPr>
          <w:p w14:paraId="6ED340CE"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396A0736"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33A37D82" w14:textId="04EE4FF5" w:rsidR="001E2A95" w:rsidRPr="00D6025C" w:rsidRDefault="001E2A95" w:rsidP="00116E2C">
            <w:pPr>
              <w:spacing w:after="0" w:line="240" w:lineRule="auto"/>
              <w:jc w:val="both"/>
              <w:rPr>
                <w:rFonts w:cs="Calibri"/>
                <w:color w:val="000000"/>
                <w:sz w:val="20"/>
                <w:szCs w:val="20"/>
                <w:lang w:eastAsia="lt-LT"/>
              </w:rPr>
            </w:pPr>
            <w:r w:rsidRPr="3CBE5034">
              <w:rPr>
                <w:rFonts w:cs="Calibri"/>
                <w:color w:val="000000" w:themeColor="text1"/>
                <w:sz w:val="20"/>
                <w:szCs w:val="20"/>
                <w:lang w:eastAsia="lt-LT"/>
              </w:rPr>
              <w:t xml:space="preserve">Turi palaikyti saugų visišką duomenų sunaikinimą nuotoliniu būdu visų tipų laikmenose, sunaikinant saugomus duomenis HDD, SSD, NVMe, Flash. </w:t>
            </w:r>
          </w:p>
        </w:tc>
        <w:tc>
          <w:tcPr>
            <w:tcW w:w="4119" w:type="dxa"/>
            <w:vMerge/>
            <w:tcBorders>
              <w:top w:val="single" w:sz="4" w:space="0" w:color="auto"/>
              <w:left w:val="single" w:sz="4" w:space="0" w:color="auto"/>
              <w:bottom w:val="single" w:sz="4" w:space="0" w:color="auto"/>
              <w:right w:val="single" w:sz="4" w:space="0" w:color="auto"/>
            </w:tcBorders>
            <w:hideMark/>
          </w:tcPr>
          <w:p w14:paraId="2212A45E"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1C1CF301" w14:textId="77777777" w:rsidTr="003042BF">
        <w:trPr>
          <w:trHeight w:val="767"/>
        </w:trPr>
        <w:tc>
          <w:tcPr>
            <w:tcW w:w="691" w:type="dxa"/>
            <w:vMerge/>
            <w:tcBorders>
              <w:left w:val="single" w:sz="4" w:space="0" w:color="auto"/>
              <w:right w:val="single" w:sz="4" w:space="0" w:color="auto"/>
            </w:tcBorders>
            <w:vAlign w:val="center"/>
          </w:tcPr>
          <w:p w14:paraId="503574B9"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2DCBC462"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7D39C202" w14:textId="14FB29CE" w:rsidR="001E2A95" w:rsidRPr="00D6025C" w:rsidRDefault="001E2A95" w:rsidP="00116E2C">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Turi palaikyti pilną sistemos nustatymų, įskaitant tinklo, Raid, HBA adapterius, bei sisteminio kodo atnaujinimų užrakinimą nuo neautorizuotų veiksmų, nepriklausomai nuo vartotojų teisių.</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2BD4C1D6"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53D552D9" w14:textId="77777777" w:rsidTr="003042BF">
        <w:trPr>
          <w:trHeight w:val="1408"/>
        </w:trPr>
        <w:tc>
          <w:tcPr>
            <w:tcW w:w="691" w:type="dxa"/>
            <w:vMerge/>
            <w:tcBorders>
              <w:left w:val="single" w:sz="4" w:space="0" w:color="auto"/>
              <w:right w:val="single" w:sz="4" w:space="0" w:color="auto"/>
            </w:tcBorders>
            <w:vAlign w:val="center"/>
          </w:tcPr>
          <w:p w14:paraId="1DA3330D"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right w:val="single" w:sz="4" w:space="0" w:color="auto"/>
            </w:tcBorders>
            <w:vAlign w:val="center"/>
            <w:hideMark/>
          </w:tcPr>
          <w:p w14:paraId="18EA2A5B"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6A67941C" w14:textId="14200F66" w:rsidR="001E2A95" w:rsidRPr="00301CB2" w:rsidRDefault="001E2A95" w:rsidP="00116E2C">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 xml:space="preserve">Siūlomi serveriai </w:t>
            </w:r>
            <w:r w:rsidRPr="6A11E61D">
              <w:rPr>
                <w:rFonts w:cs="Calibri"/>
                <w:b/>
                <w:bCs/>
                <w:color w:val="000000" w:themeColor="text1"/>
                <w:sz w:val="20"/>
                <w:szCs w:val="20"/>
                <w:lang w:eastAsia="lt-LT"/>
              </w:rPr>
              <w:t xml:space="preserve">turi būti suderinami </w:t>
            </w:r>
            <w:r w:rsidRPr="6A11E61D">
              <w:rPr>
                <w:rFonts w:cs="Calibri"/>
                <w:color w:val="000000" w:themeColor="text1"/>
                <w:sz w:val="20"/>
                <w:szCs w:val="20"/>
                <w:lang w:eastAsia="lt-LT"/>
              </w:rPr>
              <w:t xml:space="preserve">su kliento naudojama programine valdymo įranga „Open Manage Enterprise“ bei  integruotis su esamos infrastruktūros centralizuotu administravimu, </w:t>
            </w:r>
            <w:r w:rsidRPr="6A11E61D">
              <w:rPr>
                <w:rFonts w:cs="Calibri"/>
                <w:b/>
                <w:bCs/>
                <w:color w:val="000000" w:themeColor="text1"/>
                <w:sz w:val="20"/>
                <w:szCs w:val="20"/>
                <w:lang w:eastAsia="lt-LT"/>
              </w:rPr>
              <w:t>turi būti pateiktos tam būtinos licencijos, kartu su serveriais.</w:t>
            </w:r>
          </w:p>
          <w:p w14:paraId="2BD0BDC6" w14:textId="77777777" w:rsidR="001E2A95" w:rsidRPr="00301CB2" w:rsidRDefault="001E2A95" w:rsidP="00116E2C">
            <w:pPr>
              <w:spacing w:after="0" w:line="240" w:lineRule="auto"/>
              <w:jc w:val="both"/>
              <w:rPr>
                <w:rFonts w:cs="Calibri"/>
                <w:color w:val="000000"/>
                <w:sz w:val="20"/>
                <w:szCs w:val="20"/>
                <w:lang w:eastAsia="lt-LT"/>
              </w:rPr>
            </w:pPr>
          </w:p>
          <w:p w14:paraId="22A9F913" w14:textId="2CFB7321" w:rsidR="001E2A95" w:rsidRPr="00301CB2" w:rsidRDefault="001E2A95" w:rsidP="00116E2C">
            <w:pPr>
              <w:spacing w:after="0" w:line="240" w:lineRule="auto"/>
              <w:jc w:val="both"/>
              <w:rPr>
                <w:rFonts w:cs="Calibri"/>
                <w:color w:val="000000"/>
                <w:sz w:val="20"/>
                <w:szCs w:val="20"/>
                <w:lang w:eastAsia="lt-LT"/>
              </w:rPr>
            </w:pPr>
            <w:r w:rsidRPr="79520019">
              <w:rPr>
                <w:rFonts w:cs="Calibri"/>
                <w:color w:val="000000" w:themeColor="text1"/>
                <w:sz w:val="20"/>
                <w:szCs w:val="20"/>
                <w:lang w:eastAsia="lt-LT"/>
              </w:rPr>
              <w:t>Nesant integracijos galimybės, turi būti pateikta programinė valdymo įranga,  suderinama su kliento naudojamais serveriais,  įgalinanti atlikti visų serverių, įskaitant kliento turimas bei naudojamus serverius, centralizuotą administravimą. Programinė įranga turi integruotis į Microsoft Admin Center, VMware vCenter, turi stebėti, valdyti bei centralizuotai atnaujinti visus serverius, palaikyti greitą serverių instaliavimą panaudojant šablonus.</w:t>
            </w:r>
          </w:p>
          <w:p w14:paraId="6F0F46D1" w14:textId="77777777" w:rsidR="001E2A95" w:rsidRPr="00301CB2" w:rsidRDefault="001E2A95" w:rsidP="00116E2C">
            <w:pPr>
              <w:spacing w:after="0" w:line="240" w:lineRule="auto"/>
              <w:jc w:val="both"/>
              <w:rPr>
                <w:rFonts w:cs="Calibri"/>
                <w:color w:val="000000"/>
                <w:sz w:val="20"/>
                <w:szCs w:val="20"/>
                <w:lang w:eastAsia="lt-LT"/>
              </w:rPr>
            </w:pPr>
          </w:p>
          <w:p w14:paraId="6DC50DE3" w14:textId="54426168" w:rsidR="001E2A95" w:rsidRPr="00390795" w:rsidRDefault="001E2A95" w:rsidP="00116E2C">
            <w:pPr>
              <w:spacing w:after="0" w:line="240" w:lineRule="auto"/>
              <w:jc w:val="both"/>
              <w:rPr>
                <w:rFonts w:cs="Calibri"/>
                <w:color w:val="000000"/>
                <w:sz w:val="20"/>
                <w:szCs w:val="20"/>
                <w:highlight w:val="yellow"/>
                <w:lang w:eastAsia="lt-LT"/>
              </w:rPr>
            </w:pPr>
            <w:r w:rsidRPr="574A36EB">
              <w:rPr>
                <w:rFonts w:cs="Calibri"/>
                <w:color w:val="000000" w:themeColor="text1"/>
                <w:sz w:val="20"/>
                <w:szCs w:val="20"/>
                <w:lang w:eastAsia="lt-LT"/>
              </w:rPr>
              <w:t xml:space="preserve">Siūlant naują administravimo programinę įrangą, turi būti įskaičiuotos visos išlaidos, susijusios su jos instaliavimu bei migracija iš dabartinės </w:t>
            </w:r>
            <w:r w:rsidRPr="574A36EB">
              <w:rPr>
                <w:rFonts w:cs="Calibri"/>
                <w:color w:val="000000" w:themeColor="text1"/>
                <w:sz w:val="20"/>
                <w:szCs w:val="20"/>
                <w:lang w:eastAsia="lt-LT"/>
              </w:rPr>
              <w:lastRenderedPageBreak/>
              <w:t>sistemos, taip pat licencijos kliento turimiems serveriams.</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3BB2C250" w14:textId="77777777" w:rsidR="001E2A95" w:rsidRPr="00D6025C" w:rsidRDefault="001E2A95" w:rsidP="00116E2C">
            <w:pPr>
              <w:spacing w:after="0" w:line="240" w:lineRule="auto"/>
              <w:rPr>
                <w:rFonts w:cs="Calibri"/>
                <w:color w:val="000000"/>
                <w:sz w:val="20"/>
                <w:szCs w:val="20"/>
                <w:lang w:eastAsia="lt-LT"/>
              </w:rPr>
            </w:pPr>
          </w:p>
        </w:tc>
      </w:tr>
      <w:tr w:rsidR="001E2A95" w:rsidRPr="00D6025C" w14:paraId="4B8EC78D" w14:textId="77777777" w:rsidTr="003042BF">
        <w:trPr>
          <w:trHeight w:val="767"/>
        </w:trPr>
        <w:tc>
          <w:tcPr>
            <w:tcW w:w="691" w:type="dxa"/>
            <w:vMerge/>
            <w:tcBorders>
              <w:left w:val="single" w:sz="4" w:space="0" w:color="auto"/>
              <w:bottom w:val="single" w:sz="4" w:space="0" w:color="auto"/>
              <w:right w:val="single" w:sz="4" w:space="0" w:color="auto"/>
            </w:tcBorders>
            <w:vAlign w:val="center"/>
          </w:tcPr>
          <w:p w14:paraId="39D83C3A" w14:textId="77777777" w:rsidR="001E2A95" w:rsidRPr="004320B0" w:rsidRDefault="001E2A95" w:rsidP="00116E2C">
            <w:pPr>
              <w:pStyle w:val="ListParagraph"/>
              <w:numPr>
                <w:ilvl w:val="0"/>
                <w:numId w:val="3"/>
              </w:numPr>
              <w:spacing w:after="0" w:line="240" w:lineRule="auto"/>
              <w:rPr>
                <w:rFonts w:cs="Calibri"/>
                <w:color w:val="000000"/>
                <w:sz w:val="20"/>
                <w:szCs w:val="20"/>
                <w:lang w:eastAsia="lt-LT"/>
              </w:rPr>
            </w:pPr>
          </w:p>
        </w:tc>
        <w:tc>
          <w:tcPr>
            <w:tcW w:w="1533" w:type="dxa"/>
            <w:vMerge/>
            <w:tcBorders>
              <w:left w:val="single" w:sz="4" w:space="0" w:color="auto"/>
              <w:bottom w:val="single" w:sz="4" w:space="0" w:color="auto"/>
              <w:right w:val="single" w:sz="4" w:space="0" w:color="auto"/>
            </w:tcBorders>
            <w:vAlign w:val="center"/>
            <w:hideMark/>
          </w:tcPr>
          <w:p w14:paraId="378B5E67" w14:textId="77777777" w:rsidR="001E2A95" w:rsidRPr="006D38DE" w:rsidRDefault="001E2A95" w:rsidP="00116E2C">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tcPr>
          <w:p w14:paraId="78B16D61" w14:textId="22A0E4C5" w:rsidR="001E2A95" w:rsidRPr="00865A18" w:rsidRDefault="001E2A95" w:rsidP="00116E2C">
            <w:pPr>
              <w:spacing w:after="0" w:line="240" w:lineRule="auto"/>
              <w:jc w:val="both"/>
              <w:rPr>
                <w:rFonts w:cs="Calibri"/>
                <w:color w:val="000000"/>
                <w:sz w:val="20"/>
                <w:szCs w:val="20"/>
                <w:lang w:eastAsia="lt-LT"/>
              </w:rPr>
            </w:pPr>
            <w:r w:rsidRPr="3118F682">
              <w:rPr>
                <w:rFonts w:cs="Calibri"/>
                <w:color w:val="000000" w:themeColor="text1"/>
                <w:sz w:val="20"/>
                <w:szCs w:val="20"/>
                <w:lang w:eastAsia="lt-LT"/>
              </w:rPr>
              <w:t xml:space="preserve">Siūlomi </w:t>
            </w:r>
            <w:r w:rsidRPr="00865A18">
              <w:rPr>
                <w:rFonts w:cs="Calibri"/>
                <w:color w:val="000000" w:themeColor="text1"/>
                <w:sz w:val="20"/>
                <w:szCs w:val="20"/>
                <w:lang w:eastAsia="lt-LT"/>
              </w:rPr>
              <w:t xml:space="preserve">serveriai turi būti suderinami su kliento naudojama stebėjimo (monitoringo)  programine  įranga CloudIQ (AIOPS), turi būti pateiktos tam būtinos licencijos, kartu su serveriais, </w:t>
            </w:r>
          </w:p>
          <w:p w14:paraId="49BE2BE2" w14:textId="36CC21CB" w:rsidR="001E2A95" w:rsidRPr="00865A18" w:rsidRDefault="001E2A95" w:rsidP="00116E2C">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 xml:space="preserve">Nesant integracijos galimybės, turi būti pateikta stebėjimo (monitoringo)  programinė įranga,  suderinama su kliento naudojamais serveriais, įgalinanti atlikti nuolatinį įrangos parametrų stebėjimą, kaupti istorinę veiklos duomenų statistiką ne mažiau kaip 2 metus ir atlikti jų analizę. </w:t>
            </w:r>
          </w:p>
          <w:p w14:paraId="1FA64A81" w14:textId="11458845" w:rsidR="001E2A95" w:rsidRPr="00865A18" w:rsidRDefault="001E2A95" w:rsidP="00116E2C">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 xml:space="preserve">Duomenys turi būti pateikiami grafiškai, įvairiais pjūviais (pagal laiko periodą, įrangos elementus). Turi būti pateikta pilnaverčiam (maksimaliai detaliam) ilgalaikiam ne mažiau kaip 2 m. statistinių duomenų saugojimui reikalinga diskinė talpa ir veiklai reikalingi virtualizuoti resursai, kuri nebūtų įskaičiuojama į serverių naudingą talpą arba istorinė informacija ne mažiau kaip 2 metus turi būti saugoma gamintojo debesijos resursuose be papildomo mokesčio.  </w:t>
            </w:r>
          </w:p>
          <w:p w14:paraId="498502B1" w14:textId="5C494BBD" w:rsidR="001E2A95" w:rsidRPr="00CD6D78" w:rsidRDefault="001E2A95" w:rsidP="00116E2C">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Stebėjimo ir analizės duomenys</w:t>
            </w:r>
            <w:r w:rsidRPr="1CF22A8B">
              <w:rPr>
                <w:rFonts w:cs="Calibri"/>
                <w:color w:val="000000" w:themeColor="text1"/>
                <w:sz w:val="20"/>
                <w:szCs w:val="20"/>
                <w:lang w:eastAsia="lt-LT"/>
              </w:rPr>
              <w:t xml:space="preserve"> turi būti matomi ir pakeitimai atliekami tiek interneto naršyklėje, tiek ir specializuotoje programėlėje mobiliuose įrenginiuose veikiančiuose iOS bei Android operacinėje sistemose. </w:t>
            </w:r>
          </w:p>
          <w:p w14:paraId="0EC51340" w14:textId="77777777" w:rsidR="001E2A95" w:rsidRPr="00CD6D78" w:rsidRDefault="001E2A95" w:rsidP="00116E2C">
            <w:pPr>
              <w:spacing w:after="0" w:line="240" w:lineRule="auto"/>
              <w:jc w:val="both"/>
              <w:rPr>
                <w:rFonts w:cs="Calibri"/>
                <w:color w:val="000000"/>
                <w:sz w:val="20"/>
                <w:szCs w:val="20"/>
                <w:lang w:eastAsia="lt-LT"/>
              </w:rPr>
            </w:pPr>
          </w:p>
          <w:p w14:paraId="398034A6" w14:textId="67518859" w:rsidR="001E2A95" w:rsidRPr="00CD6D78" w:rsidRDefault="001E2A95" w:rsidP="00116E2C">
            <w:pPr>
              <w:spacing w:after="0" w:line="240" w:lineRule="auto"/>
              <w:jc w:val="both"/>
              <w:rPr>
                <w:rFonts w:cs="Calibri"/>
                <w:color w:val="000000"/>
                <w:sz w:val="20"/>
                <w:szCs w:val="20"/>
                <w:lang w:eastAsia="lt-LT"/>
              </w:rPr>
            </w:pPr>
            <w:r>
              <w:rPr>
                <w:rFonts w:cs="Calibri"/>
                <w:color w:val="000000"/>
                <w:sz w:val="20"/>
                <w:szCs w:val="20"/>
                <w:lang w:eastAsia="lt-LT"/>
              </w:rPr>
              <w:t xml:space="preserve">Serveris </w:t>
            </w:r>
            <w:r w:rsidRPr="00CD6D78">
              <w:rPr>
                <w:rFonts w:cs="Calibri"/>
                <w:color w:val="000000"/>
                <w:sz w:val="20"/>
                <w:szCs w:val="20"/>
                <w:lang w:eastAsia="lt-LT"/>
              </w:rPr>
              <w:t>turi informuoti valdymo sąsajoje bei el. paštu apie standžiųjų diskų, valdiklių, maitinimo šaltinių gedimus, kitus sutrikimus ir nukrypimus nuo normalaus darbo.</w:t>
            </w:r>
          </w:p>
          <w:p w14:paraId="06709934" w14:textId="77777777" w:rsidR="001E2A95" w:rsidRPr="00CD6D78" w:rsidRDefault="001E2A95" w:rsidP="00116E2C">
            <w:pPr>
              <w:spacing w:after="0" w:line="240" w:lineRule="auto"/>
              <w:jc w:val="both"/>
              <w:rPr>
                <w:rFonts w:cs="Calibri"/>
                <w:color w:val="000000"/>
                <w:sz w:val="20"/>
                <w:szCs w:val="20"/>
                <w:lang w:eastAsia="lt-LT"/>
              </w:rPr>
            </w:pPr>
          </w:p>
          <w:p w14:paraId="28B20BA7" w14:textId="4461DDA9" w:rsidR="001E2A95" w:rsidRPr="00CD6D78" w:rsidRDefault="001E2A95" w:rsidP="00116E2C">
            <w:pPr>
              <w:spacing w:after="0" w:line="240" w:lineRule="auto"/>
              <w:jc w:val="both"/>
              <w:rPr>
                <w:rFonts w:cs="Calibri"/>
                <w:sz w:val="20"/>
                <w:szCs w:val="20"/>
                <w:lang w:eastAsia="lt-LT"/>
              </w:rPr>
            </w:pPr>
            <w:r w:rsidRPr="00CD6D78">
              <w:rPr>
                <w:rFonts w:cs="Calibri"/>
                <w:sz w:val="20"/>
                <w:szCs w:val="20"/>
                <w:lang w:eastAsia="lt-LT"/>
              </w:rPr>
              <w:t xml:space="preserve">Stebėjimo (monitoringo) programinė įranga turi palaikyti visą gamintojo aparatinę įrangą - įskaitant ir neapsiribojant </w:t>
            </w:r>
            <w:r>
              <w:rPr>
                <w:rFonts w:cs="Calibri"/>
                <w:sz w:val="20"/>
                <w:szCs w:val="20"/>
                <w:lang w:eastAsia="lt-LT"/>
              </w:rPr>
              <w:t>- serverius</w:t>
            </w:r>
            <w:r w:rsidRPr="00CD6D78">
              <w:rPr>
                <w:rFonts w:cs="Calibri"/>
                <w:sz w:val="20"/>
                <w:szCs w:val="20"/>
                <w:lang w:eastAsia="lt-LT"/>
              </w:rPr>
              <w:t xml:space="preserve">, saugyklas, rezervinio kopijavimo įrangą, SAN bei LAN komutatorius. </w:t>
            </w:r>
          </w:p>
          <w:p w14:paraId="5175BC24" w14:textId="4A31F445" w:rsidR="001E2A95" w:rsidRPr="00D6025C" w:rsidRDefault="001E2A95" w:rsidP="00116E2C">
            <w:pPr>
              <w:spacing w:after="0" w:line="240" w:lineRule="auto"/>
              <w:jc w:val="both"/>
              <w:rPr>
                <w:rFonts w:cs="Calibri"/>
                <w:color w:val="000000"/>
                <w:sz w:val="20"/>
                <w:szCs w:val="20"/>
                <w:lang w:eastAsia="lt-LT"/>
              </w:rPr>
            </w:pPr>
            <w:r w:rsidRPr="7D63249D">
              <w:rPr>
                <w:rFonts w:cs="Calibri"/>
                <w:color w:val="000000" w:themeColor="text1"/>
                <w:sz w:val="20"/>
                <w:szCs w:val="20"/>
                <w:lang w:eastAsia="lt-LT"/>
              </w:rPr>
              <w:t>Siūlant naują stebėjimo (monitoringo) programinę įrangą, turi būti įskaičiuotos visos išlaidos, susijusios su jos instaliavimu bei migracija iš dabartinės sistemos, taip pat licencijos kliento turimiems serveriams .</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2CBF8CF1" w14:textId="77777777" w:rsidR="001E2A95" w:rsidRPr="00D6025C" w:rsidRDefault="001E2A95" w:rsidP="00116E2C">
            <w:pPr>
              <w:spacing w:after="0" w:line="240" w:lineRule="auto"/>
              <w:rPr>
                <w:rFonts w:cs="Calibri"/>
                <w:color w:val="000000"/>
                <w:sz w:val="20"/>
                <w:szCs w:val="20"/>
                <w:lang w:eastAsia="lt-LT"/>
              </w:rPr>
            </w:pPr>
          </w:p>
        </w:tc>
      </w:tr>
      <w:tr w:rsidR="00116E2C" w:rsidRPr="00D6025C" w14:paraId="0236A6C3" w14:textId="77777777" w:rsidTr="009B5A91">
        <w:trPr>
          <w:trHeight w:val="274"/>
        </w:trPr>
        <w:tc>
          <w:tcPr>
            <w:tcW w:w="691" w:type="dxa"/>
            <w:tcBorders>
              <w:top w:val="single" w:sz="4" w:space="0" w:color="auto"/>
              <w:left w:val="single" w:sz="4" w:space="0" w:color="auto"/>
              <w:bottom w:val="single" w:sz="4" w:space="0" w:color="auto"/>
              <w:right w:val="single" w:sz="4" w:space="0" w:color="auto"/>
            </w:tcBorders>
          </w:tcPr>
          <w:p w14:paraId="3F8A496F"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372FFFAA"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Valdymo modulio funkcionalumas</w:t>
            </w:r>
          </w:p>
        </w:tc>
        <w:tc>
          <w:tcPr>
            <w:tcW w:w="4142" w:type="dxa"/>
            <w:tcBorders>
              <w:top w:val="single" w:sz="4" w:space="0" w:color="auto"/>
              <w:left w:val="nil"/>
              <w:bottom w:val="single" w:sz="4" w:space="0" w:color="auto"/>
              <w:right w:val="single" w:sz="4" w:space="0" w:color="auto"/>
            </w:tcBorders>
            <w:hideMark/>
          </w:tcPr>
          <w:p w14:paraId="476FFC84" w14:textId="60B1BC44" w:rsidR="00116E2C" w:rsidRPr="00D6025C" w:rsidRDefault="00116E2C" w:rsidP="00116E2C">
            <w:pPr>
              <w:spacing w:after="0" w:line="240" w:lineRule="auto"/>
              <w:jc w:val="both"/>
              <w:rPr>
                <w:rFonts w:cs="Calibri"/>
                <w:color w:val="000000"/>
                <w:sz w:val="20"/>
                <w:szCs w:val="20"/>
                <w:lang w:eastAsia="lt-LT"/>
              </w:rPr>
            </w:pPr>
            <w:r w:rsidRPr="51E6AF22">
              <w:rPr>
                <w:rFonts w:cs="Calibri"/>
                <w:color w:val="000000" w:themeColor="text1"/>
                <w:sz w:val="20"/>
                <w:szCs w:val="20"/>
                <w:lang w:eastAsia="lt-LT"/>
              </w:rPr>
              <w:t xml:space="preserve">Valdymo modulis turi turėti </w:t>
            </w:r>
            <w:r w:rsidR="795AE220" w:rsidRPr="144B4BEC">
              <w:rPr>
                <w:rFonts w:cs="Calibri"/>
                <w:color w:val="000000" w:themeColor="text1"/>
                <w:sz w:val="20"/>
                <w:szCs w:val="20"/>
                <w:lang w:eastAsia="lt-LT"/>
              </w:rPr>
              <w:t>ne mažiau kaip</w:t>
            </w:r>
            <w:r w:rsidRPr="51E6AF22">
              <w:rPr>
                <w:rFonts w:cs="Calibri"/>
                <w:color w:val="000000" w:themeColor="text1"/>
                <w:sz w:val="20"/>
                <w:szCs w:val="20"/>
                <w:lang w:eastAsia="lt-LT"/>
              </w:rPr>
              <w:t xml:space="preserve"> šias funkcionalumo savybes:</w:t>
            </w:r>
            <w:r>
              <w:br/>
            </w:r>
            <w:r w:rsidRPr="51E6AF22">
              <w:rPr>
                <w:rFonts w:cs="Calibri"/>
                <w:color w:val="000000" w:themeColor="text1"/>
                <w:sz w:val="20"/>
                <w:szCs w:val="20"/>
                <w:lang w:eastAsia="lt-LT"/>
              </w:rPr>
              <w:t>Automatizuoto SSL sertifikatų instaliavimo ir atnaujinimo palaikymas</w:t>
            </w:r>
            <w:r w:rsidR="6C88E61F" w:rsidRPr="51E6AF22">
              <w:rPr>
                <w:rFonts w:cs="Calibri"/>
                <w:color w:val="000000" w:themeColor="text1"/>
                <w:sz w:val="20"/>
                <w:szCs w:val="20"/>
                <w:lang w:eastAsia="lt-LT"/>
              </w:rPr>
              <w:t>,</w:t>
            </w:r>
            <w:r w:rsidRPr="51E6AF22">
              <w:rPr>
                <w:rFonts w:cs="Calibri"/>
                <w:color w:val="000000" w:themeColor="text1"/>
                <w:sz w:val="20"/>
                <w:szCs w:val="20"/>
                <w:lang w:eastAsia="lt-LT"/>
              </w:rPr>
              <w:t xml:space="preserve"> </w:t>
            </w:r>
          </w:p>
          <w:p w14:paraId="2E37330A" w14:textId="5C5F079A" w:rsidR="00116E2C" w:rsidRPr="00D6025C" w:rsidRDefault="00116E2C" w:rsidP="00116E2C">
            <w:pPr>
              <w:spacing w:after="0" w:line="240" w:lineRule="auto"/>
              <w:jc w:val="both"/>
              <w:rPr>
                <w:rFonts w:cs="Calibri"/>
                <w:color w:val="000000"/>
                <w:sz w:val="20"/>
                <w:szCs w:val="20"/>
                <w:lang w:eastAsia="lt-LT"/>
              </w:rPr>
            </w:pPr>
            <w:r w:rsidRPr="51E6AF22">
              <w:rPr>
                <w:rFonts w:cs="Calibri"/>
                <w:color w:val="000000" w:themeColor="text1"/>
                <w:sz w:val="20"/>
                <w:szCs w:val="20"/>
                <w:lang w:eastAsia="lt-LT"/>
              </w:rPr>
              <w:t>Telemetrinio visų stebimų serverio parametrų srauto pateikimas realiu laiku</w:t>
            </w:r>
            <w:r w:rsidR="51C4F6AA" w:rsidRPr="51E6AF22">
              <w:rPr>
                <w:rFonts w:cs="Calibri"/>
                <w:color w:val="000000" w:themeColor="text1"/>
                <w:sz w:val="20"/>
                <w:szCs w:val="20"/>
                <w:lang w:eastAsia="lt-LT"/>
              </w:rPr>
              <w:t>,</w:t>
            </w:r>
            <w:r w:rsidRPr="51E6AF22">
              <w:rPr>
                <w:rFonts w:cs="Calibri"/>
                <w:color w:val="000000" w:themeColor="text1"/>
                <w:sz w:val="20"/>
                <w:szCs w:val="20"/>
                <w:lang w:eastAsia="lt-LT"/>
              </w:rPr>
              <w:t xml:space="preserve"> </w:t>
            </w:r>
          </w:p>
          <w:p w14:paraId="16ADCD5E" w14:textId="7611CA18" w:rsidR="00116E2C" w:rsidRPr="00D6025C" w:rsidRDefault="00116E2C" w:rsidP="00116E2C">
            <w:pPr>
              <w:spacing w:after="0" w:line="240" w:lineRule="auto"/>
              <w:jc w:val="both"/>
              <w:rPr>
                <w:rFonts w:cs="Calibri"/>
                <w:strike/>
                <w:color w:val="000000"/>
                <w:sz w:val="20"/>
                <w:szCs w:val="20"/>
                <w:lang w:eastAsia="lt-LT"/>
              </w:rPr>
            </w:pPr>
            <w:r w:rsidRPr="00D6025C">
              <w:rPr>
                <w:rFonts w:cs="Calibri"/>
                <w:color w:val="000000"/>
                <w:sz w:val="20"/>
                <w:szCs w:val="20"/>
                <w:lang w:eastAsia="lt-LT"/>
              </w:rPr>
              <w:t>Kietųjų diskų SMART duomenų pateikimas</w:t>
            </w:r>
            <w:r w:rsidR="00063EAA">
              <w:rPr>
                <w:rFonts w:cs="Calibri"/>
                <w:color w:val="000000"/>
                <w:sz w:val="20"/>
                <w:szCs w:val="20"/>
                <w:lang w:eastAsia="lt-LT"/>
              </w:rPr>
              <w:t>,</w:t>
            </w:r>
            <w:r w:rsidRPr="00D6025C">
              <w:rPr>
                <w:rFonts w:cs="Calibri"/>
                <w:color w:val="000000"/>
                <w:sz w:val="20"/>
                <w:szCs w:val="20"/>
                <w:lang w:eastAsia="lt-LT"/>
              </w:rPr>
              <w:t xml:space="preserve"> </w:t>
            </w:r>
            <w:r w:rsidRPr="00D6025C">
              <w:rPr>
                <w:rFonts w:cs="Calibri"/>
                <w:color w:val="000000"/>
                <w:sz w:val="20"/>
                <w:szCs w:val="20"/>
                <w:lang w:eastAsia="lt-LT"/>
              </w:rPr>
              <w:br/>
              <w:t xml:space="preserve">Serverio neveiklumo aptikimas („idle server detection“). </w:t>
            </w:r>
          </w:p>
        </w:tc>
        <w:tc>
          <w:tcPr>
            <w:tcW w:w="4119" w:type="dxa"/>
            <w:tcBorders>
              <w:top w:val="single" w:sz="4" w:space="0" w:color="auto"/>
              <w:left w:val="nil"/>
              <w:bottom w:val="single" w:sz="4" w:space="0" w:color="auto"/>
              <w:right w:val="single" w:sz="4" w:space="0" w:color="auto"/>
            </w:tcBorders>
            <w:hideMark/>
          </w:tcPr>
          <w:p w14:paraId="24AC549C"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D6025C" w14:paraId="68043A15" w14:textId="77777777" w:rsidTr="009B5A91">
        <w:trPr>
          <w:trHeight w:val="767"/>
        </w:trPr>
        <w:tc>
          <w:tcPr>
            <w:tcW w:w="691" w:type="dxa"/>
            <w:tcBorders>
              <w:top w:val="single" w:sz="4" w:space="0" w:color="auto"/>
              <w:left w:val="single" w:sz="4" w:space="0" w:color="auto"/>
              <w:bottom w:val="single" w:sz="4" w:space="0" w:color="auto"/>
              <w:right w:val="single" w:sz="4" w:space="0" w:color="auto"/>
            </w:tcBorders>
          </w:tcPr>
          <w:p w14:paraId="05A84243"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tcPr>
          <w:p w14:paraId="2302B965"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Suderinamumas</w:t>
            </w:r>
          </w:p>
        </w:tc>
        <w:tc>
          <w:tcPr>
            <w:tcW w:w="4142" w:type="dxa"/>
            <w:tcBorders>
              <w:top w:val="single" w:sz="4" w:space="0" w:color="auto"/>
              <w:left w:val="nil"/>
              <w:bottom w:val="single" w:sz="4" w:space="0" w:color="auto"/>
              <w:right w:val="single" w:sz="4" w:space="0" w:color="auto"/>
            </w:tcBorders>
          </w:tcPr>
          <w:p w14:paraId="3A8F12E0" w14:textId="0A6C5F6D" w:rsidR="00116E2C" w:rsidRPr="00D6025C" w:rsidRDefault="00116E2C" w:rsidP="00116E2C">
            <w:pPr>
              <w:spacing w:after="0" w:line="240" w:lineRule="auto"/>
              <w:jc w:val="both"/>
              <w:rPr>
                <w:rFonts w:cs="Calibri"/>
                <w:color w:val="000000"/>
                <w:sz w:val="20"/>
                <w:szCs w:val="20"/>
                <w:lang w:eastAsia="lt-LT"/>
              </w:rPr>
            </w:pPr>
            <w:r w:rsidRPr="0653CF90">
              <w:rPr>
                <w:rFonts w:cs="Calibri"/>
                <w:color w:val="000000" w:themeColor="text1"/>
                <w:sz w:val="20"/>
                <w:szCs w:val="20"/>
                <w:lang w:eastAsia="lt-LT"/>
              </w:rPr>
              <w:t xml:space="preserve">Siūlomas serverio modelis privalo būti sertifikuotas darbui su </w:t>
            </w:r>
            <w:r w:rsidR="6DE67A3B" w:rsidRPr="6608BFF9">
              <w:rPr>
                <w:rFonts w:cs="Calibri"/>
                <w:color w:val="000000" w:themeColor="text1"/>
                <w:sz w:val="20"/>
                <w:szCs w:val="20"/>
                <w:lang w:eastAsia="lt-LT"/>
              </w:rPr>
              <w:t xml:space="preserve">ne mažiau kaip šiomis </w:t>
            </w:r>
            <w:r w:rsidRPr="6608BFF9">
              <w:rPr>
                <w:rFonts w:cs="Calibri"/>
                <w:color w:val="000000" w:themeColor="text1"/>
                <w:sz w:val="20"/>
                <w:szCs w:val="20"/>
                <w:lang w:eastAsia="lt-LT"/>
              </w:rPr>
              <w:t>operacinėmis</w:t>
            </w:r>
            <w:r w:rsidRPr="0653CF90">
              <w:rPr>
                <w:rFonts w:cs="Calibri"/>
                <w:color w:val="000000" w:themeColor="text1"/>
                <w:sz w:val="20"/>
                <w:szCs w:val="20"/>
                <w:lang w:eastAsia="lt-LT"/>
              </w:rPr>
              <w:t xml:space="preserve"> sistemomis</w:t>
            </w:r>
            <w:r w:rsidR="5AF6931B" w:rsidRPr="6608BFF9">
              <w:rPr>
                <w:rFonts w:cs="Calibri"/>
                <w:color w:val="000000" w:themeColor="text1"/>
                <w:sz w:val="20"/>
                <w:szCs w:val="20"/>
                <w:lang w:eastAsia="lt-LT"/>
              </w:rPr>
              <w:t>:</w:t>
            </w:r>
            <w:r w:rsidRPr="0653CF90">
              <w:rPr>
                <w:rFonts w:cs="Calibri"/>
                <w:color w:val="000000" w:themeColor="text1"/>
                <w:sz w:val="20"/>
                <w:szCs w:val="20"/>
                <w:lang w:eastAsia="lt-LT"/>
              </w:rPr>
              <w:t xml:space="preserve"> Microsoft Windows Server (Standard /Enterprise/Datacenter Editions) 32/64-bit, Red Hat Enterprise, SUSE LINUX Enterprise Server, VMware vSphere. </w:t>
            </w:r>
          </w:p>
        </w:tc>
        <w:tc>
          <w:tcPr>
            <w:tcW w:w="4119" w:type="dxa"/>
            <w:tcBorders>
              <w:top w:val="single" w:sz="4" w:space="0" w:color="auto"/>
              <w:left w:val="nil"/>
              <w:bottom w:val="single" w:sz="4" w:space="0" w:color="auto"/>
              <w:right w:val="single" w:sz="4" w:space="0" w:color="auto"/>
            </w:tcBorders>
          </w:tcPr>
          <w:p w14:paraId="1DD3F900" w14:textId="77777777" w:rsidR="00116E2C" w:rsidRPr="00D6025C" w:rsidRDefault="00116E2C" w:rsidP="00116E2C">
            <w:pPr>
              <w:spacing w:after="0" w:line="240" w:lineRule="auto"/>
              <w:jc w:val="center"/>
              <w:rPr>
                <w:rFonts w:cs="Calibri"/>
                <w:color w:val="000000"/>
                <w:sz w:val="20"/>
                <w:szCs w:val="20"/>
                <w:lang w:eastAsia="lt-LT"/>
              </w:rPr>
            </w:pPr>
          </w:p>
        </w:tc>
      </w:tr>
      <w:tr w:rsidR="00116E2C" w:rsidRPr="00D6025C" w14:paraId="219CD136" w14:textId="77777777" w:rsidTr="3C2876EF">
        <w:trPr>
          <w:trHeight w:val="2636"/>
        </w:trPr>
        <w:tc>
          <w:tcPr>
            <w:tcW w:w="691" w:type="dxa"/>
            <w:tcBorders>
              <w:top w:val="nil"/>
              <w:left w:val="single" w:sz="4" w:space="0" w:color="auto"/>
              <w:bottom w:val="single" w:sz="4" w:space="0" w:color="auto"/>
              <w:right w:val="single" w:sz="4" w:space="0" w:color="auto"/>
            </w:tcBorders>
          </w:tcPr>
          <w:p w14:paraId="0535239B"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hideMark/>
          </w:tcPr>
          <w:p w14:paraId="62A39AF8" w14:textId="04AC2AD2" w:rsidR="00116E2C" w:rsidRPr="00865A18" w:rsidRDefault="00116E2C" w:rsidP="00116E2C">
            <w:pPr>
              <w:spacing w:after="0" w:line="240" w:lineRule="auto"/>
              <w:jc w:val="center"/>
              <w:rPr>
                <w:rFonts w:ascii="Times New Roman" w:hAnsi="Times New Roman"/>
                <w:color w:val="000000"/>
                <w:lang w:eastAsia="lt-LT"/>
              </w:rPr>
            </w:pPr>
            <w:r w:rsidRPr="00865A18">
              <w:rPr>
                <w:rFonts w:ascii="Times New Roman" w:hAnsi="Times New Roman"/>
                <w:color w:val="000000" w:themeColor="text1"/>
                <w:lang w:eastAsia="lt-LT"/>
              </w:rPr>
              <w:t>Garantinė techninė priežiūra</w:t>
            </w:r>
            <w:r w:rsidR="44990A37" w:rsidRPr="00865A18">
              <w:rPr>
                <w:rFonts w:ascii="Times New Roman" w:hAnsi="Times New Roman"/>
                <w:color w:val="000000" w:themeColor="text1"/>
                <w:lang w:eastAsia="lt-LT"/>
              </w:rPr>
              <w:t>*</w:t>
            </w:r>
          </w:p>
        </w:tc>
        <w:tc>
          <w:tcPr>
            <w:tcW w:w="4142" w:type="dxa"/>
            <w:tcBorders>
              <w:top w:val="single" w:sz="4" w:space="0" w:color="auto"/>
              <w:left w:val="nil"/>
              <w:bottom w:val="single" w:sz="4" w:space="0" w:color="auto"/>
              <w:right w:val="single" w:sz="4" w:space="0" w:color="auto"/>
            </w:tcBorders>
          </w:tcPr>
          <w:p w14:paraId="397CF5A2" w14:textId="4EB798A0" w:rsidR="00116E2C" w:rsidRPr="00865A18" w:rsidRDefault="4B28EB70" w:rsidP="00116E2C">
            <w:pPr>
              <w:spacing w:after="0" w:line="240" w:lineRule="auto"/>
              <w:jc w:val="both"/>
              <w:rPr>
                <w:rFonts w:ascii="Times New Roman" w:hAnsi="Times New Roman"/>
                <w:color w:val="000000"/>
                <w:lang w:eastAsia="lt-LT"/>
              </w:rPr>
            </w:pPr>
            <w:r w:rsidRPr="00865A18">
              <w:rPr>
                <w:rFonts w:ascii="Times New Roman" w:hAnsi="Times New Roman"/>
                <w:color w:val="000000" w:themeColor="text1"/>
                <w:lang w:eastAsia="lt-LT"/>
              </w:rPr>
              <w:t xml:space="preserve">Ne mažiau kaip </w:t>
            </w:r>
            <w:r w:rsidR="00116E2C" w:rsidRPr="00865A18">
              <w:rPr>
                <w:rFonts w:ascii="Times New Roman" w:hAnsi="Times New Roman"/>
                <w:color w:val="000000" w:themeColor="text1"/>
                <w:lang w:eastAsia="lt-LT"/>
              </w:rPr>
              <w:t>3 metų gamintojo garantija, aptarnaujant įrangos buvimo vietoje, gedimų registravimas gamintojo palaikymo linijoje 24x7x365</w:t>
            </w:r>
            <w:r w:rsidR="4E8ED4D8" w:rsidRPr="00865A18">
              <w:rPr>
                <w:rFonts w:ascii="Times New Roman" w:hAnsi="Times New Roman"/>
                <w:color w:val="000000" w:themeColor="text1"/>
                <w:lang w:eastAsia="lt-LT"/>
              </w:rPr>
              <w:t xml:space="preserve"> (</w:t>
            </w:r>
            <w:r w:rsidR="00CD4B3F" w:rsidRPr="00CD4B3F">
              <w:rPr>
                <w:rFonts w:ascii="Times New Roman" w:eastAsia="Segoe UI" w:hAnsi="Times New Roman"/>
                <w:color w:val="242424"/>
              </w:rPr>
              <w:t>24 valandas per parą, 7 dienas per savaitę ir 365 dienas per metus</w:t>
            </w:r>
            <w:r w:rsidR="61D59521" w:rsidRPr="00865A18">
              <w:rPr>
                <w:rFonts w:ascii="Times New Roman" w:eastAsia="Segoe UI" w:hAnsi="Times New Roman"/>
                <w:color w:val="242424"/>
              </w:rPr>
              <w:t>)</w:t>
            </w:r>
            <w:r w:rsidR="52E2C675" w:rsidRPr="00865A18">
              <w:rPr>
                <w:rFonts w:ascii="Times New Roman" w:hAnsi="Times New Roman"/>
                <w:color w:val="000000" w:themeColor="text1"/>
                <w:lang w:eastAsia="lt-LT"/>
              </w:rPr>
              <w:t>.</w:t>
            </w:r>
            <w:r w:rsidR="00116E2C" w:rsidRPr="00865A18">
              <w:rPr>
                <w:rFonts w:ascii="Times New Roman" w:hAnsi="Times New Roman"/>
                <w:color w:val="000000" w:themeColor="text1"/>
                <w:lang w:eastAsia="lt-LT"/>
              </w:rPr>
              <w:t xml:space="preserve">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p>
          <w:p w14:paraId="09E82404" w14:textId="77777777" w:rsidR="00116E2C" w:rsidRPr="007A3B6D" w:rsidRDefault="00116E2C" w:rsidP="3C2876EF">
            <w:pPr>
              <w:spacing w:after="0" w:line="240" w:lineRule="auto"/>
              <w:jc w:val="both"/>
              <w:rPr>
                <w:rFonts w:ascii="Times New Roman" w:hAnsi="Times New Roman"/>
                <w:color w:val="000000"/>
                <w:lang w:eastAsia="lt-LT"/>
              </w:rPr>
            </w:pPr>
            <w:r w:rsidRPr="007A3B6D">
              <w:rPr>
                <w:rFonts w:ascii="Times New Roman" w:hAnsi="Times New Roman"/>
                <w:color w:val="000000" w:themeColor="text1"/>
                <w:lang w:eastAsia="lt-LT"/>
              </w:rPr>
              <w:t xml:space="preserve">Visai naudojamos programinės ir techninės įrangos priežiūrai turi būti taikomas „vieno langelio principas“  –  visiems </w:t>
            </w:r>
            <w:r w:rsidRPr="00865A18">
              <w:rPr>
                <w:rFonts w:ascii="Times New Roman" w:hAnsi="Times New Roman"/>
                <w:lang w:eastAsia="lt-LT"/>
              </w:rPr>
              <w:t>komponentams (aparatinei ir programinei įrangai šiame pasiūlyme), sutrikimai ir gedimai registruojami tiesiogiai įrangos gamintojo pagalbos tarnyboje, sprendžiami to paties gamintojo inžinierių.</w:t>
            </w:r>
          </w:p>
          <w:p w14:paraId="29BA70F7" w14:textId="6C57D8FF" w:rsidR="00116E2C" w:rsidRPr="00865A18" w:rsidRDefault="00116E2C" w:rsidP="3C2876EF">
            <w:pPr>
              <w:spacing w:after="0" w:line="240" w:lineRule="auto"/>
              <w:jc w:val="both"/>
              <w:rPr>
                <w:rFonts w:ascii="Times New Roman" w:hAnsi="Times New Roman"/>
                <w:lang w:eastAsia="lt-LT"/>
              </w:rPr>
            </w:pPr>
            <w:r w:rsidRPr="00865A18">
              <w:rPr>
                <w:rFonts w:ascii="Times New Roman" w:hAnsi="Times New Roman"/>
                <w:color w:val="000000" w:themeColor="text1"/>
                <w:lang w:eastAsia="lt-LT"/>
              </w:rPr>
              <w:t>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w:t>
            </w:r>
            <w:r w:rsidRPr="00865A18">
              <w:rPr>
                <w:rFonts w:ascii="Times New Roman" w:hAnsi="Times New Roman"/>
                <w:lang w:eastAsia="lt-LT"/>
              </w:rPr>
              <w:t xml:space="preserve">nga turi būti pasiūlyta su paslaugos lygiu, užtikrinančiu sugedusių mazgų </w:t>
            </w:r>
            <w:r w:rsidR="005D75CD">
              <w:rPr>
                <w:rFonts w:ascii="Times New Roman" w:hAnsi="Times New Roman"/>
                <w:lang w:eastAsia="lt-LT"/>
              </w:rPr>
              <w:t>pakeitimą ne vėliau kaip per 2 valandas</w:t>
            </w:r>
            <w:r w:rsidRPr="00865A18">
              <w:rPr>
                <w:rFonts w:ascii="Times New Roman" w:hAnsi="Times New Roman"/>
                <w:lang w:eastAsia="lt-LT"/>
              </w:rPr>
              <w:t xml:space="preserve"> bet kurią metų dieną (24/7).</w:t>
            </w:r>
          </w:p>
          <w:p w14:paraId="708C8074" w14:textId="77777777" w:rsidR="00116E2C" w:rsidRPr="00865A18" w:rsidRDefault="00116E2C" w:rsidP="3C2876EF">
            <w:pPr>
              <w:spacing w:after="0" w:line="240" w:lineRule="auto"/>
              <w:jc w:val="both"/>
              <w:rPr>
                <w:rFonts w:ascii="Times New Roman" w:hAnsi="Times New Roman"/>
                <w:color w:val="000000"/>
                <w:lang w:eastAsia="lt-LT"/>
              </w:rPr>
            </w:pPr>
            <w:r w:rsidRPr="00865A18">
              <w:rPr>
                <w:rFonts w:ascii="Times New Roman" w:hAnsi="Times New Roman"/>
                <w:lang w:eastAsia="lt-LT"/>
              </w:rPr>
              <w:t>Turi būti užtikrinta galimybė gamintojo svetainėje pagal serijinį numerį pasitikrinti serverio garantijos galiojimą bei lygį</w:t>
            </w:r>
            <w:r w:rsidRPr="00865A18">
              <w:rPr>
                <w:rFonts w:ascii="Times New Roman" w:hAnsi="Times New Roman"/>
                <w:color w:val="000000" w:themeColor="text1"/>
                <w:lang w:eastAsia="lt-LT"/>
              </w:rPr>
              <w:t>, taip pat serverio konfigūraciją.</w:t>
            </w:r>
          </w:p>
          <w:p w14:paraId="5928E257" w14:textId="77777777" w:rsidR="00116E2C" w:rsidRPr="00865A18" w:rsidRDefault="00116E2C" w:rsidP="3C2876EF">
            <w:pPr>
              <w:spacing w:after="0" w:line="240" w:lineRule="auto"/>
              <w:jc w:val="both"/>
              <w:rPr>
                <w:rFonts w:ascii="Times New Roman" w:hAnsi="Times New Roman"/>
                <w:color w:val="000000"/>
                <w:lang w:eastAsia="lt-LT"/>
              </w:rPr>
            </w:pPr>
            <w:r w:rsidRPr="00865A18">
              <w:rPr>
                <w:rFonts w:ascii="Times New Roman" w:hAnsi="Times New Roman"/>
                <w:color w:val="000000" w:themeColor="text1"/>
                <w:lang w:eastAsia="lt-LT"/>
              </w:rPr>
              <w:t>Serveris turi būti sujungtas su gamintojo serviso centru bei turėti galimybę automatiškai registruoti incidentus bei gedimus.</w:t>
            </w:r>
          </w:p>
          <w:p w14:paraId="16A52821" w14:textId="3DFB0F2F" w:rsidR="1768FF79" w:rsidRPr="00865A18" w:rsidRDefault="1768FF79" w:rsidP="3C2876EF">
            <w:pPr>
              <w:spacing w:after="0" w:line="240" w:lineRule="auto"/>
              <w:jc w:val="both"/>
              <w:rPr>
                <w:rFonts w:ascii="Times New Roman" w:hAnsi="Times New Roman"/>
                <w:color w:val="000000" w:themeColor="text1"/>
                <w:lang w:eastAsia="lt-LT"/>
              </w:rPr>
            </w:pPr>
          </w:p>
          <w:p w14:paraId="0527D7AD" w14:textId="5D78D87D" w:rsidR="00CE595B" w:rsidRPr="00777433" w:rsidRDefault="00CE595B" w:rsidP="3C2876EF">
            <w:pPr>
              <w:spacing w:after="0" w:line="240" w:lineRule="auto"/>
              <w:jc w:val="both"/>
              <w:rPr>
                <w:rFonts w:ascii="Times New Roman" w:hAnsi="Times New Roman"/>
                <w:b/>
                <w:bCs/>
                <w:lang w:eastAsia="lt-LT"/>
              </w:rPr>
            </w:pPr>
            <w:r w:rsidRPr="00777433">
              <w:rPr>
                <w:rFonts w:ascii="Times New Roman" w:hAnsi="Times New Roman"/>
                <w:b/>
                <w:bCs/>
                <w:lang w:eastAsia="lt-LT"/>
              </w:rPr>
              <w:t xml:space="preserve">Tiekėjas </w:t>
            </w:r>
            <w:r w:rsidR="573D1B99" w:rsidRPr="00777433">
              <w:rPr>
                <w:rFonts w:ascii="Times New Roman" w:hAnsi="Times New Roman"/>
                <w:b/>
                <w:bCs/>
                <w:lang w:eastAsia="lt-LT"/>
              </w:rPr>
              <w:t xml:space="preserve">kartu su pristatoma preke </w:t>
            </w:r>
            <w:r w:rsidRPr="00777433">
              <w:rPr>
                <w:rFonts w:ascii="Times New Roman" w:hAnsi="Times New Roman"/>
                <w:b/>
                <w:bCs/>
                <w:lang w:eastAsia="lt-LT"/>
              </w:rPr>
              <w:t>tur</w:t>
            </w:r>
            <w:r w:rsidR="2A7C60DE" w:rsidRPr="00777433">
              <w:rPr>
                <w:rFonts w:ascii="Times New Roman" w:hAnsi="Times New Roman"/>
                <w:b/>
                <w:bCs/>
                <w:lang w:eastAsia="lt-LT"/>
              </w:rPr>
              <w:t>ės</w:t>
            </w:r>
            <w:r w:rsidRPr="00777433">
              <w:rPr>
                <w:rFonts w:ascii="Times New Roman" w:hAnsi="Times New Roman"/>
                <w:b/>
                <w:bCs/>
                <w:lang w:eastAsia="lt-LT"/>
              </w:rPr>
              <w:t xml:space="preserve"> pateikti pažymą </w:t>
            </w:r>
            <w:r w:rsidR="00116E2C" w:rsidRPr="00777433">
              <w:rPr>
                <w:rFonts w:ascii="Times New Roman" w:hAnsi="Times New Roman"/>
                <w:b/>
                <w:bCs/>
                <w:lang w:eastAsia="lt-LT"/>
              </w:rPr>
              <w:t>iš įrangos gamintojo, kad tiekėjo siūloma įranga atitinka techninius bei garantinius reikalavimus.</w:t>
            </w:r>
          </w:p>
          <w:p w14:paraId="10801BB8" w14:textId="6489A944" w:rsidR="00EB5D06" w:rsidRPr="00865A18" w:rsidRDefault="00EB5D06" w:rsidP="00116E2C">
            <w:pPr>
              <w:spacing w:after="0" w:line="240" w:lineRule="auto"/>
              <w:jc w:val="both"/>
              <w:rPr>
                <w:rFonts w:ascii="Times New Roman" w:hAnsi="Times New Roman"/>
                <w:color w:val="000000"/>
                <w:lang w:eastAsia="lt-LT"/>
              </w:rPr>
            </w:pPr>
          </w:p>
        </w:tc>
        <w:tc>
          <w:tcPr>
            <w:tcW w:w="4119" w:type="dxa"/>
            <w:tcBorders>
              <w:top w:val="nil"/>
              <w:left w:val="single" w:sz="4" w:space="0" w:color="auto"/>
              <w:bottom w:val="single" w:sz="4" w:space="0" w:color="auto"/>
              <w:right w:val="single" w:sz="4" w:space="0" w:color="auto"/>
            </w:tcBorders>
            <w:hideMark/>
          </w:tcPr>
          <w:p w14:paraId="1DB41BD7" w14:textId="77777777" w:rsidR="00116E2C" w:rsidRPr="00D6025C" w:rsidRDefault="00116E2C" w:rsidP="00116E2C">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116E2C" w:rsidRPr="00CD6D78" w14:paraId="299DFF72" w14:textId="77777777" w:rsidTr="00865A18">
        <w:trPr>
          <w:trHeight w:val="1544"/>
        </w:trPr>
        <w:tc>
          <w:tcPr>
            <w:tcW w:w="691" w:type="dxa"/>
            <w:tcBorders>
              <w:top w:val="nil"/>
              <w:left w:val="single" w:sz="4" w:space="0" w:color="auto"/>
              <w:bottom w:val="single" w:sz="4" w:space="0" w:color="auto"/>
              <w:right w:val="single" w:sz="4" w:space="0" w:color="auto"/>
            </w:tcBorders>
          </w:tcPr>
          <w:p w14:paraId="1812D0BF" w14:textId="77777777" w:rsidR="00116E2C" w:rsidRPr="004320B0" w:rsidRDefault="00116E2C"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hideMark/>
          </w:tcPr>
          <w:p w14:paraId="24DEF7D8" w14:textId="77777777" w:rsidR="00116E2C" w:rsidRPr="006D38DE" w:rsidRDefault="00116E2C" w:rsidP="00116E2C">
            <w:pPr>
              <w:spacing w:after="0" w:line="240" w:lineRule="auto"/>
              <w:jc w:val="center"/>
              <w:rPr>
                <w:rFonts w:cs="Calibri"/>
                <w:color w:val="000000"/>
                <w:sz w:val="20"/>
                <w:szCs w:val="20"/>
                <w:lang w:eastAsia="lt-LT"/>
              </w:rPr>
            </w:pPr>
            <w:r w:rsidRPr="006D38DE">
              <w:rPr>
                <w:rFonts w:cs="Calibri"/>
                <w:color w:val="000000"/>
                <w:sz w:val="20"/>
                <w:szCs w:val="20"/>
                <w:lang w:eastAsia="lt-LT"/>
              </w:rPr>
              <w:t>Surinkimo reikalavimai</w:t>
            </w:r>
          </w:p>
        </w:tc>
        <w:tc>
          <w:tcPr>
            <w:tcW w:w="4142" w:type="dxa"/>
            <w:tcBorders>
              <w:top w:val="single" w:sz="4" w:space="0" w:color="auto"/>
              <w:left w:val="nil"/>
              <w:bottom w:val="single" w:sz="4" w:space="0" w:color="auto"/>
              <w:right w:val="single" w:sz="4" w:space="0" w:color="auto"/>
            </w:tcBorders>
            <w:hideMark/>
          </w:tcPr>
          <w:p w14:paraId="18D6E5C0" w14:textId="77777777" w:rsidR="00116E2C" w:rsidRPr="00C26FE9" w:rsidRDefault="00116E2C" w:rsidP="00116E2C">
            <w:pPr>
              <w:spacing w:after="0" w:line="240" w:lineRule="auto"/>
              <w:jc w:val="both"/>
              <w:rPr>
                <w:rFonts w:cs="Calibri"/>
                <w:color w:val="000000"/>
                <w:sz w:val="20"/>
                <w:szCs w:val="20"/>
                <w:lang w:eastAsia="lt-LT"/>
              </w:rPr>
            </w:pPr>
            <w:r w:rsidRPr="00C26FE9">
              <w:rPr>
                <w:rFonts w:cs="Calibri"/>
                <w:color w:val="000000"/>
                <w:sz w:val="20"/>
                <w:szCs w:val="20"/>
                <w:lang w:eastAsia="lt-LT"/>
              </w:rPr>
              <w:t xml:space="preserve">Siūlomi įrenginiai turi būti nauji ir ankščiau nenaudoti, gamykliškai atnaujinti (angl. Renewed, Refurbished, Remarketed) komponentai neleistini. </w:t>
            </w:r>
          </w:p>
          <w:p w14:paraId="0738A6C8" w14:textId="77777777" w:rsidR="00116E2C" w:rsidRPr="00CD6D78" w:rsidRDefault="00116E2C" w:rsidP="00116E2C">
            <w:pPr>
              <w:spacing w:after="0" w:line="240" w:lineRule="auto"/>
              <w:jc w:val="both"/>
              <w:rPr>
                <w:rFonts w:cs="Calibri"/>
                <w:color w:val="000000"/>
                <w:sz w:val="20"/>
                <w:szCs w:val="20"/>
                <w:lang w:eastAsia="lt-LT"/>
              </w:rPr>
            </w:pPr>
            <w:r w:rsidRPr="00C26FE9">
              <w:rPr>
                <w:rFonts w:cs="Calibri"/>
                <w:color w:val="000000"/>
                <w:sz w:val="20"/>
                <w:szCs w:val="20"/>
                <w:lang w:eastAsia="lt-LT"/>
              </w:rPr>
              <w:t>Visos komplektuojamos įrenginio dalys privalo būti komplektuojamos įrenginio gamintojo ir pažymėtos gamintojo gamykliniais kodais.</w:t>
            </w:r>
          </w:p>
        </w:tc>
        <w:tc>
          <w:tcPr>
            <w:tcW w:w="4119" w:type="dxa"/>
            <w:tcBorders>
              <w:top w:val="nil"/>
              <w:left w:val="single" w:sz="4" w:space="0" w:color="auto"/>
              <w:bottom w:val="single" w:sz="4" w:space="0" w:color="auto"/>
              <w:right w:val="single" w:sz="4" w:space="0" w:color="auto"/>
            </w:tcBorders>
            <w:hideMark/>
          </w:tcPr>
          <w:p w14:paraId="23630AB1" w14:textId="77777777" w:rsidR="00116E2C" w:rsidRPr="00CD6D78" w:rsidRDefault="00116E2C" w:rsidP="00116E2C">
            <w:pPr>
              <w:spacing w:after="0" w:line="240" w:lineRule="auto"/>
              <w:jc w:val="center"/>
              <w:rPr>
                <w:rFonts w:cs="Calibri"/>
                <w:color w:val="000000"/>
                <w:sz w:val="20"/>
                <w:szCs w:val="20"/>
                <w:lang w:eastAsia="lt-LT"/>
              </w:rPr>
            </w:pPr>
            <w:r w:rsidRPr="00CD6D78">
              <w:rPr>
                <w:rFonts w:cs="Calibri"/>
                <w:color w:val="000000"/>
                <w:sz w:val="20"/>
                <w:szCs w:val="20"/>
                <w:lang w:eastAsia="lt-LT"/>
              </w:rPr>
              <w:t> </w:t>
            </w:r>
          </w:p>
        </w:tc>
      </w:tr>
      <w:tr w:rsidR="002B1510" w:rsidRPr="00CD6D78" w14:paraId="0A284BAF" w14:textId="77777777" w:rsidTr="00865A18">
        <w:trPr>
          <w:trHeight w:val="1544"/>
        </w:trPr>
        <w:tc>
          <w:tcPr>
            <w:tcW w:w="691" w:type="dxa"/>
            <w:tcBorders>
              <w:top w:val="single" w:sz="4" w:space="0" w:color="auto"/>
              <w:left w:val="single" w:sz="4" w:space="0" w:color="auto"/>
              <w:bottom w:val="single" w:sz="4" w:space="0" w:color="auto"/>
              <w:right w:val="single" w:sz="4" w:space="0" w:color="auto"/>
            </w:tcBorders>
          </w:tcPr>
          <w:p w14:paraId="1FF7E579" w14:textId="77777777" w:rsidR="002B1510" w:rsidRPr="004320B0" w:rsidRDefault="002B1510"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tcPr>
          <w:p w14:paraId="042B095C" w14:textId="2E594442" w:rsidR="002B1510" w:rsidRPr="006D38DE" w:rsidRDefault="00B66C7B" w:rsidP="00116E2C">
            <w:pPr>
              <w:spacing w:after="0" w:line="240" w:lineRule="auto"/>
              <w:jc w:val="center"/>
              <w:rPr>
                <w:rFonts w:cs="Calibri"/>
                <w:color w:val="000000"/>
                <w:sz w:val="20"/>
                <w:szCs w:val="20"/>
                <w:lang w:eastAsia="lt-LT"/>
              </w:rPr>
            </w:pPr>
            <w:r w:rsidRPr="00B66C7B">
              <w:rPr>
                <w:rFonts w:cs="Calibri"/>
                <w:color w:val="000000"/>
                <w:sz w:val="20"/>
                <w:szCs w:val="20"/>
                <w:lang w:eastAsia="lt-LT"/>
              </w:rPr>
              <w:t>Ekologinio projektavimo reikalavimai</w:t>
            </w:r>
          </w:p>
        </w:tc>
        <w:tc>
          <w:tcPr>
            <w:tcW w:w="4142" w:type="dxa"/>
            <w:tcBorders>
              <w:top w:val="single" w:sz="4" w:space="0" w:color="auto"/>
              <w:left w:val="nil"/>
              <w:bottom w:val="single" w:sz="4" w:space="0" w:color="auto"/>
              <w:right w:val="single" w:sz="4" w:space="0" w:color="auto"/>
            </w:tcBorders>
          </w:tcPr>
          <w:p w14:paraId="720D4145" w14:textId="77777777" w:rsidR="00B66C7B" w:rsidRPr="00B66C7B" w:rsidRDefault="00B66C7B" w:rsidP="00B66C7B">
            <w:pPr>
              <w:spacing w:after="0" w:line="240" w:lineRule="auto"/>
              <w:jc w:val="both"/>
              <w:rPr>
                <w:rFonts w:cs="Calibri"/>
                <w:color w:val="000000"/>
                <w:sz w:val="20"/>
                <w:szCs w:val="20"/>
                <w:lang w:eastAsia="lt-LT"/>
              </w:rPr>
            </w:pPr>
            <w:r w:rsidRPr="00B66C7B">
              <w:rPr>
                <w:rFonts w:cs="Calibri"/>
                <w:color w:val="000000"/>
                <w:sz w:val="20"/>
                <w:szCs w:val="20"/>
                <w:lang w:eastAsia="lt-LT"/>
              </w:rPr>
              <w:t>Siūlomi serveriai turi atitikti Komisijos reglamento (ES) 2019/424 su visais pakeitimais nustatytus ekologinio projektavimo reikalavimus, taikomus konkrečiai siūlomai serverio konfigūracijai.</w:t>
            </w:r>
          </w:p>
          <w:p w14:paraId="018DEB48" w14:textId="77777777" w:rsidR="00B66C7B" w:rsidRPr="00B66C7B" w:rsidRDefault="00B66C7B" w:rsidP="00B66C7B">
            <w:pPr>
              <w:spacing w:after="0" w:line="240" w:lineRule="auto"/>
              <w:jc w:val="both"/>
              <w:rPr>
                <w:rFonts w:cs="Calibri"/>
                <w:color w:val="000000"/>
                <w:sz w:val="20"/>
                <w:szCs w:val="20"/>
                <w:lang w:eastAsia="lt-LT"/>
              </w:rPr>
            </w:pPr>
            <w:r w:rsidRPr="00B66C7B">
              <w:rPr>
                <w:rFonts w:cs="Calibri"/>
                <w:color w:val="000000"/>
                <w:sz w:val="20"/>
                <w:szCs w:val="20"/>
                <w:lang w:eastAsia="lt-LT"/>
              </w:rPr>
              <w:t>Tiekėjas kartu su pasiūlymu turi pateikti gaminio atitikties deklaraciją, gamintojo techninius dokumentus, ErP / Ecodesign dokumentaciją arba kitus lygiaverčius įrodymus, patvirtinančius, kad siūloma įranga atitinka Europos Komisijos reglamentuose dėl gaminių ekologinio projektavimo nustatytus reikalavimus.</w:t>
            </w:r>
          </w:p>
          <w:p w14:paraId="0212BCF5" w14:textId="77777777" w:rsidR="002B1510" w:rsidRPr="00C26FE9" w:rsidRDefault="002B1510" w:rsidP="00116E2C">
            <w:pPr>
              <w:spacing w:after="0" w:line="240" w:lineRule="auto"/>
              <w:jc w:val="both"/>
              <w:rPr>
                <w:rFonts w:cs="Calibri"/>
                <w:color w:val="000000"/>
                <w:sz w:val="20"/>
                <w:szCs w:val="20"/>
                <w:lang w:eastAsia="lt-LT"/>
              </w:rPr>
            </w:pPr>
          </w:p>
        </w:tc>
        <w:tc>
          <w:tcPr>
            <w:tcW w:w="4119" w:type="dxa"/>
            <w:tcBorders>
              <w:top w:val="single" w:sz="4" w:space="0" w:color="auto"/>
              <w:left w:val="single" w:sz="4" w:space="0" w:color="auto"/>
              <w:bottom w:val="single" w:sz="4" w:space="0" w:color="auto"/>
              <w:right w:val="single" w:sz="4" w:space="0" w:color="auto"/>
            </w:tcBorders>
          </w:tcPr>
          <w:p w14:paraId="23E7AEC4" w14:textId="77777777" w:rsidR="002B1510" w:rsidRPr="00CD6D78" w:rsidRDefault="002B1510" w:rsidP="00116E2C">
            <w:pPr>
              <w:spacing w:after="0" w:line="240" w:lineRule="auto"/>
              <w:jc w:val="center"/>
              <w:rPr>
                <w:rFonts w:cs="Calibri"/>
                <w:color w:val="000000"/>
                <w:sz w:val="20"/>
                <w:szCs w:val="20"/>
                <w:lang w:eastAsia="lt-LT"/>
              </w:rPr>
            </w:pPr>
          </w:p>
        </w:tc>
      </w:tr>
      <w:tr w:rsidR="00B66C7B" w:rsidRPr="00CD6D78" w14:paraId="13DE36B6" w14:textId="77777777" w:rsidTr="3C2876EF">
        <w:trPr>
          <w:trHeight w:val="1544"/>
        </w:trPr>
        <w:tc>
          <w:tcPr>
            <w:tcW w:w="691" w:type="dxa"/>
            <w:tcBorders>
              <w:top w:val="single" w:sz="4" w:space="0" w:color="auto"/>
              <w:left w:val="single" w:sz="4" w:space="0" w:color="auto"/>
              <w:bottom w:val="single" w:sz="4" w:space="0" w:color="auto"/>
              <w:right w:val="single" w:sz="4" w:space="0" w:color="auto"/>
            </w:tcBorders>
          </w:tcPr>
          <w:p w14:paraId="12236642" w14:textId="77777777" w:rsidR="00B66C7B" w:rsidRPr="004320B0" w:rsidRDefault="00B66C7B" w:rsidP="00116E2C">
            <w:pPr>
              <w:pStyle w:val="ListParagraph"/>
              <w:numPr>
                <w:ilvl w:val="0"/>
                <w:numId w:val="3"/>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tcPr>
          <w:p w14:paraId="7316ACB8" w14:textId="1BB0FFB3" w:rsidR="00B66C7B" w:rsidRPr="00B66C7B" w:rsidRDefault="005163E1" w:rsidP="00116E2C">
            <w:pPr>
              <w:spacing w:after="0" w:line="240" w:lineRule="auto"/>
              <w:jc w:val="center"/>
              <w:rPr>
                <w:rFonts w:cs="Calibri"/>
                <w:color w:val="000000"/>
                <w:sz w:val="20"/>
                <w:szCs w:val="20"/>
                <w:lang w:eastAsia="lt-LT"/>
              </w:rPr>
            </w:pPr>
            <w:r w:rsidRPr="005163E1">
              <w:rPr>
                <w:rFonts w:cs="Calibri"/>
                <w:color w:val="000000"/>
                <w:sz w:val="20"/>
                <w:szCs w:val="20"/>
                <w:lang w:eastAsia="lt-LT"/>
              </w:rPr>
              <w:t>Energijos vartojimo efektyvumas</w:t>
            </w:r>
          </w:p>
        </w:tc>
        <w:tc>
          <w:tcPr>
            <w:tcW w:w="4142" w:type="dxa"/>
            <w:tcBorders>
              <w:top w:val="single" w:sz="4" w:space="0" w:color="auto"/>
              <w:left w:val="nil"/>
              <w:bottom w:val="single" w:sz="4" w:space="0" w:color="auto"/>
              <w:right w:val="single" w:sz="4" w:space="0" w:color="auto"/>
            </w:tcBorders>
          </w:tcPr>
          <w:p w14:paraId="3B8CAB9F" w14:textId="77777777" w:rsidR="0078616B" w:rsidRPr="0078616B" w:rsidRDefault="0078616B" w:rsidP="0078616B">
            <w:pPr>
              <w:spacing w:after="0" w:line="240" w:lineRule="auto"/>
              <w:jc w:val="both"/>
              <w:rPr>
                <w:rFonts w:cs="Calibri"/>
                <w:color w:val="000000"/>
                <w:sz w:val="20"/>
                <w:szCs w:val="20"/>
                <w:lang w:eastAsia="lt-LT"/>
              </w:rPr>
            </w:pPr>
            <w:r w:rsidRPr="21397F1E">
              <w:rPr>
                <w:rFonts w:cs="Calibri"/>
                <w:color w:val="000000" w:themeColor="text1"/>
                <w:sz w:val="20"/>
                <w:szCs w:val="20"/>
                <w:lang w:eastAsia="lt-LT"/>
              </w:rPr>
              <w:t>Siūlomų serverių maitinimo šaltiniai turi atitikti Reglamento (ES) 2019/424 reikalavimus dėl maitinimo šaltinių efektyvumo ir galios koeficiento. Serveriai turi būti pateikiami su gamintojo numatytais energijos vartojimo efektyvumo valdymo nustatymais arba šie nustatymai turi būti aktyvuoti iki įrangos perdavimo perkančiajai organizacijai.</w:t>
            </w:r>
          </w:p>
          <w:p w14:paraId="1EA0D4D8" w14:textId="3C7DEFA7" w:rsidR="0078616B" w:rsidRPr="0078616B" w:rsidRDefault="0078616B" w:rsidP="0078616B">
            <w:pPr>
              <w:spacing w:after="0" w:line="240" w:lineRule="auto"/>
              <w:jc w:val="both"/>
              <w:rPr>
                <w:rFonts w:cs="Calibri"/>
                <w:color w:val="000000"/>
                <w:sz w:val="20"/>
                <w:szCs w:val="20"/>
                <w:lang w:eastAsia="lt-LT"/>
              </w:rPr>
            </w:pPr>
            <w:r w:rsidRPr="00FB4D3E">
              <w:rPr>
                <w:rFonts w:cs="Calibri"/>
                <w:color w:val="000000"/>
                <w:sz w:val="20"/>
                <w:szCs w:val="20"/>
                <w:lang w:eastAsia="lt-LT"/>
              </w:rPr>
              <w:t xml:space="preserve">Atitiktis įrodoma gamintojo techniniais dokumentais, maitinimo šaltinių efektyvumo deklaracija, ErP / Ecodesign dokumentacija arba kitais lygiaverčiais </w:t>
            </w:r>
            <w:r w:rsidR="00B12C51">
              <w:rPr>
                <w:rFonts w:cs="Calibri"/>
                <w:color w:val="000000"/>
                <w:sz w:val="20"/>
                <w:szCs w:val="20"/>
                <w:lang w:eastAsia="lt-LT"/>
              </w:rPr>
              <w:t>įrodymais, pateikiamais kartu su pasiūlymu</w:t>
            </w:r>
            <w:r w:rsidR="001E2A95" w:rsidRPr="00FB4D3E">
              <w:rPr>
                <w:rFonts w:cs="Calibri"/>
                <w:color w:val="000000"/>
                <w:sz w:val="20"/>
                <w:szCs w:val="20"/>
                <w:lang w:eastAsia="lt-LT"/>
              </w:rPr>
              <w:t>.</w:t>
            </w:r>
          </w:p>
          <w:p w14:paraId="47ED0F45" w14:textId="77777777" w:rsidR="00B66C7B" w:rsidRPr="00B66C7B" w:rsidRDefault="00B66C7B" w:rsidP="00B66C7B">
            <w:pPr>
              <w:spacing w:after="0" w:line="240" w:lineRule="auto"/>
              <w:jc w:val="both"/>
              <w:rPr>
                <w:rFonts w:cs="Calibri"/>
                <w:color w:val="000000"/>
                <w:sz w:val="20"/>
                <w:szCs w:val="20"/>
                <w:lang w:eastAsia="lt-LT"/>
              </w:rPr>
            </w:pPr>
          </w:p>
        </w:tc>
        <w:tc>
          <w:tcPr>
            <w:tcW w:w="4119" w:type="dxa"/>
            <w:tcBorders>
              <w:top w:val="single" w:sz="4" w:space="0" w:color="auto"/>
              <w:left w:val="single" w:sz="4" w:space="0" w:color="auto"/>
              <w:bottom w:val="single" w:sz="4" w:space="0" w:color="auto"/>
              <w:right w:val="single" w:sz="4" w:space="0" w:color="auto"/>
            </w:tcBorders>
          </w:tcPr>
          <w:p w14:paraId="6C6FB0CA" w14:textId="77777777" w:rsidR="00B66C7B" w:rsidRPr="00CD6D78" w:rsidRDefault="00B66C7B" w:rsidP="00116E2C">
            <w:pPr>
              <w:spacing w:after="0" w:line="240" w:lineRule="auto"/>
              <w:jc w:val="center"/>
              <w:rPr>
                <w:rFonts w:cs="Calibri"/>
                <w:color w:val="000000"/>
                <w:sz w:val="20"/>
                <w:szCs w:val="20"/>
                <w:lang w:eastAsia="lt-LT"/>
              </w:rPr>
            </w:pPr>
          </w:p>
        </w:tc>
      </w:tr>
    </w:tbl>
    <w:p w14:paraId="2D5D7568" w14:textId="77777777" w:rsidR="004923FA" w:rsidRDefault="004923FA" w:rsidP="004923FA"/>
    <w:p w14:paraId="3B8ADE13" w14:textId="4B5DB134" w:rsidR="004923FA" w:rsidRDefault="54D0785D" w:rsidP="00865A18">
      <w:pPr>
        <w:pStyle w:val="ListParagraph"/>
      </w:pPr>
      <w:r>
        <w:t xml:space="preserve">1.2. </w:t>
      </w:r>
      <w:r w:rsidR="00DB4A7B">
        <w:t>Specializuotas serveris SIEM aplinkai</w:t>
      </w:r>
    </w:p>
    <w:tbl>
      <w:tblPr>
        <w:tblW w:w="10612" w:type="dxa"/>
        <w:jc w:val="center"/>
        <w:tblLook w:val="04A0" w:firstRow="1" w:lastRow="0" w:firstColumn="1" w:lastColumn="0" w:noHBand="0" w:noVBand="1"/>
      </w:tblPr>
      <w:tblGrid>
        <w:gridCol w:w="837"/>
        <w:gridCol w:w="1533"/>
        <w:gridCol w:w="4204"/>
        <w:gridCol w:w="4038"/>
      </w:tblGrid>
      <w:tr w:rsidR="00201EFA" w:rsidRPr="00C26FE9" w14:paraId="1EF95D44" w14:textId="77777777" w:rsidTr="008A4F8D">
        <w:trPr>
          <w:trHeight w:val="471"/>
          <w:jc w:val="center"/>
        </w:trPr>
        <w:tc>
          <w:tcPr>
            <w:tcW w:w="83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704A44" w14:textId="6E2CB2E1" w:rsidR="00201EFA" w:rsidRPr="00C26FE9" w:rsidRDefault="00201EFA" w:rsidP="00201EFA">
            <w:pPr>
              <w:spacing w:after="0" w:line="240" w:lineRule="auto"/>
              <w:jc w:val="center"/>
              <w:rPr>
                <w:rFonts w:cs="Calibri"/>
                <w:b/>
                <w:bCs/>
                <w:color w:val="000000"/>
                <w:sz w:val="20"/>
                <w:szCs w:val="20"/>
                <w:lang w:eastAsia="lt-LT"/>
              </w:rPr>
            </w:pPr>
            <w:r w:rsidRPr="00CD6D78">
              <w:rPr>
                <w:rFonts w:cs="Calibri"/>
                <w:b/>
                <w:bCs/>
                <w:color w:val="000000"/>
                <w:sz w:val="20"/>
                <w:szCs w:val="20"/>
                <w:lang w:eastAsia="lt-LT"/>
              </w:rPr>
              <w:t>Eil. Nr.</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DDF097" w14:textId="370940FE" w:rsidR="00201EFA" w:rsidRPr="00C26FE9" w:rsidRDefault="00201EFA" w:rsidP="00201EFA">
            <w:pPr>
              <w:spacing w:after="0" w:line="240" w:lineRule="auto"/>
              <w:jc w:val="center"/>
              <w:rPr>
                <w:rFonts w:cs="Calibri"/>
                <w:b/>
                <w:bCs/>
                <w:color w:val="000000"/>
                <w:sz w:val="20"/>
                <w:szCs w:val="20"/>
                <w:lang w:eastAsia="lt-LT"/>
              </w:rPr>
            </w:pPr>
            <w:r w:rsidRPr="00CD6D78">
              <w:rPr>
                <w:rFonts w:cs="Calibri"/>
                <w:b/>
                <w:bCs/>
                <w:color w:val="000000"/>
                <w:sz w:val="20"/>
                <w:szCs w:val="20"/>
                <w:lang w:eastAsia="lt-LT"/>
              </w:rPr>
              <w:t>Komponento pavadinimas</w:t>
            </w:r>
          </w:p>
        </w:tc>
        <w:tc>
          <w:tcPr>
            <w:tcW w:w="420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39B2F" w14:textId="6784A5B6" w:rsidR="00201EFA" w:rsidRPr="00C26FE9" w:rsidRDefault="00201EFA" w:rsidP="00201EFA">
            <w:pPr>
              <w:spacing w:after="0" w:line="240" w:lineRule="auto"/>
              <w:jc w:val="center"/>
              <w:rPr>
                <w:rFonts w:cs="Calibri"/>
                <w:b/>
                <w:bCs/>
                <w:color w:val="000000"/>
                <w:sz w:val="20"/>
                <w:szCs w:val="20"/>
                <w:lang w:eastAsia="lt-LT"/>
              </w:rPr>
            </w:pPr>
            <w:r w:rsidRPr="08901742">
              <w:rPr>
                <w:rFonts w:cs="Calibri"/>
                <w:b/>
                <w:color w:val="000000" w:themeColor="text1"/>
                <w:sz w:val="20"/>
                <w:szCs w:val="20"/>
                <w:lang w:eastAsia="lt-LT"/>
              </w:rPr>
              <w:t>Reikalaujama charakteristika</w:t>
            </w:r>
          </w:p>
        </w:tc>
        <w:tc>
          <w:tcPr>
            <w:tcW w:w="40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3B1A" w14:textId="61368353" w:rsidR="00201EFA" w:rsidRPr="00C26FE9" w:rsidRDefault="00201EFA" w:rsidP="00201EFA">
            <w:pPr>
              <w:tabs>
                <w:tab w:val="left" w:pos="1318"/>
              </w:tabs>
              <w:spacing w:after="0" w:line="240" w:lineRule="auto"/>
              <w:ind w:left="42" w:hanging="42"/>
              <w:jc w:val="center"/>
              <w:rPr>
                <w:rFonts w:cs="Calibri"/>
                <w:b/>
                <w:bCs/>
                <w:color w:val="000000"/>
                <w:sz w:val="20"/>
                <w:szCs w:val="20"/>
                <w:lang w:eastAsia="lt-LT"/>
              </w:rPr>
            </w:pPr>
            <w:r w:rsidRPr="009E53E0">
              <w:rPr>
                <w:rFonts w:cstheme="minorHAnsi"/>
                <w:b/>
                <w:sz w:val="20"/>
                <w:szCs w:val="20"/>
              </w:rPr>
              <w:t>Tiekėjo siūlomų prekių techninės charakteristikos</w:t>
            </w:r>
          </w:p>
        </w:tc>
      </w:tr>
      <w:tr w:rsidR="00201EFA" w:rsidRPr="00C26FE9" w14:paraId="665EF7A9" w14:textId="77777777" w:rsidTr="008A4F8D">
        <w:trPr>
          <w:trHeight w:val="471"/>
          <w:jc w:val="center"/>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5F7BC741" w14:textId="77777777" w:rsidR="00201EFA" w:rsidRPr="00C26FE9" w:rsidRDefault="00201EFA" w:rsidP="00755125">
            <w:pPr>
              <w:spacing w:after="0" w:line="240" w:lineRule="auto"/>
              <w:rPr>
                <w:rFonts w:cs="Calibri"/>
                <w:b/>
                <w:bCs/>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2A97E261" w14:textId="77777777" w:rsidR="00201EFA" w:rsidRPr="00C26FE9" w:rsidRDefault="00201EFA" w:rsidP="00755125">
            <w:pPr>
              <w:spacing w:after="0" w:line="240" w:lineRule="auto"/>
              <w:rPr>
                <w:rFonts w:cs="Calibri"/>
                <w:b/>
                <w:bCs/>
                <w:color w:val="000000"/>
                <w:sz w:val="20"/>
                <w:szCs w:val="20"/>
                <w:lang w:eastAsia="lt-LT"/>
              </w:rPr>
            </w:pPr>
          </w:p>
        </w:tc>
        <w:tc>
          <w:tcPr>
            <w:tcW w:w="4204" w:type="dxa"/>
            <w:vMerge/>
            <w:tcBorders>
              <w:top w:val="single" w:sz="4" w:space="0" w:color="auto"/>
              <w:left w:val="single" w:sz="4" w:space="0" w:color="auto"/>
              <w:bottom w:val="single" w:sz="4" w:space="0" w:color="auto"/>
              <w:right w:val="single" w:sz="4" w:space="0" w:color="auto"/>
            </w:tcBorders>
            <w:vAlign w:val="center"/>
            <w:hideMark/>
          </w:tcPr>
          <w:p w14:paraId="1FD46DF2" w14:textId="77777777" w:rsidR="00201EFA" w:rsidRPr="00C26FE9" w:rsidRDefault="00201EFA" w:rsidP="00755125">
            <w:pPr>
              <w:spacing w:after="0" w:line="240" w:lineRule="auto"/>
              <w:rPr>
                <w:rFonts w:cs="Calibri"/>
                <w:b/>
                <w:bCs/>
                <w:color w:val="000000"/>
                <w:sz w:val="20"/>
                <w:szCs w:val="20"/>
                <w:lang w:eastAsia="lt-LT"/>
              </w:rPr>
            </w:pPr>
          </w:p>
        </w:tc>
        <w:tc>
          <w:tcPr>
            <w:tcW w:w="4038" w:type="dxa"/>
            <w:vMerge/>
            <w:tcBorders>
              <w:top w:val="single" w:sz="4" w:space="0" w:color="auto"/>
              <w:left w:val="single" w:sz="4" w:space="0" w:color="auto"/>
              <w:bottom w:val="single" w:sz="4" w:space="0" w:color="auto"/>
              <w:right w:val="single" w:sz="4" w:space="0" w:color="auto"/>
            </w:tcBorders>
            <w:vAlign w:val="center"/>
          </w:tcPr>
          <w:p w14:paraId="338A9410" w14:textId="77777777" w:rsidR="00201EFA" w:rsidRPr="00C26FE9" w:rsidRDefault="00201EFA" w:rsidP="00755125">
            <w:pPr>
              <w:tabs>
                <w:tab w:val="left" w:pos="1318"/>
              </w:tabs>
              <w:spacing w:after="0" w:line="240" w:lineRule="auto"/>
              <w:ind w:left="42" w:hanging="42"/>
              <w:rPr>
                <w:rFonts w:cs="Calibri"/>
                <w:b/>
                <w:bCs/>
                <w:color w:val="000000"/>
                <w:sz w:val="20"/>
                <w:szCs w:val="20"/>
                <w:lang w:eastAsia="lt-LT"/>
              </w:rPr>
            </w:pPr>
          </w:p>
        </w:tc>
      </w:tr>
      <w:tr w:rsidR="00201EFA" w:rsidRPr="00C26FE9" w14:paraId="0C992995" w14:textId="77777777" w:rsidTr="008A4F8D">
        <w:trPr>
          <w:trHeight w:val="300"/>
          <w:jc w:val="center"/>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00408" w14:textId="77777777" w:rsidR="00201EFA" w:rsidRPr="00C26FE9" w:rsidRDefault="00201EFA" w:rsidP="00755125">
            <w:pPr>
              <w:spacing w:after="0" w:line="240" w:lineRule="auto"/>
              <w:jc w:val="center"/>
              <w:rPr>
                <w:rFonts w:cstheme="minorHAnsi"/>
                <w:color w:val="000000"/>
                <w:sz w:val="20"/>
                <w:szCs w:val="20"/>
                <w:lang w:eastAsia="lt-LT"/>
              </w:rPr>
            </w:pPr>
            <w:r w:rsidRPr="00C26FE9">
              <w:rPr>
                <w:rFonts w:cstheme="minorHAnsi"/>
                <w:color w:val="000000"/>
                <w:sz w:val="20"/>
                <w:szCs w:val="20"/>
                <w:lang w:eastAsia="lt-LT"/>
              </w:rPr>
              <w:t>1</w:t>
            </w:r>
          </w:p>
        </w:tc>
        <w:tc>
          <w:tcPr>
            <w:tcW w:w="1533" w:type="dxa"/>
            <w:tcBorders>
              <w:top w:val="single" w:sz="4" w:space="0" w:color="auto"/>
              <w:left w:val="nil"/>
              <w:bottom w:val="single" w:sz="4" w:space="0" w:color="auto"/>
              <w:right w:val="single" w:sz="4" w:space="0" w:color="auto"/>
            </w:tcBorders>
            <w:shd w:val="clear" w:color="auto" w:fill="D9D9D9" w:themeFill="background1" w:themeFillShade="D9"/>
            <w:hideMark/>
          </w:tcPr>
          <w:p w14:paraId="6CB7877D" w14:textId="77777777" w:rsidR="00201EFA" w:rsidRPr="00C26FE9" w:rsidRDefault="00201EFA" w:rsidP="00755125">
            <w:pPr>
              <w:spacing w:after="0" w:line="240" w:lineRule="auto"/>
              <w:jc w:val="center"/>
              <w:rPr>
                <w:rFonts w:cstheme="minorHAnsi"/>
                <w:color w:val="000000"/>
                <w:sz w:val="20"/>
                <w:szCs w:val="20"/>
                <w:lang w:eastAsia="lt-LT"/>
              </w:rPr>
            </w:pPr>
            <w:r w:rsidRPr="00C26FE9">
              <w:rPr>
                <w:rFonts w:cstheme="minorHAnsi"/>
                <w:color w:val="000000"/>
                <w:sz w:val="20"/>
                <w:szCs w:val="20"/>
                <w:lang w:eastAsia="lt-LT"/>
              </w:rPr>
              <w:t>2</w:t>
            </w:r>
          </w:p>
        </w:tc>
        <w:tc>
          <w:tcPr>
            <w:tcW w:w="4204" w:type="dxa"/>
            <w:tcBorders>
              <w:top w:val="single" w:sz="4" w:space="0" w:color="auto"/>
              <w:left w:val="nil"/>
              <w:bottom w:val="single" w:sz="4" w:space="0" w:color="auto"/>
              <w:right w:val="single" w:sz="4" w:space="0" w:color="auto"/>
            </w:tcBorders>
            <w:shd w:val="clear" w:color="auto" w:fill="D9D9D9" w:themeFill="background1" w:themeFillShade="D9"/>
            <w:hideMark/>
          </w:tcPr>
          <w:p w14:paraId="57D5A56B" w14:textId="77777777" w:rsidR="00201EFA" w:rsidRPr="00C26FE9" w:rsidRDefault="00201EFA" w:rsidP="00755125">
            <w:pPr>
              <w:spacing w:after="0" w:line="240" w:lineRule="auto"/>
              <w:jc w:val="center"/>
              <w:rPr>
                <w:rFonts w:cstheme="minorHAnsi"/>
                <w:color w:val="000000"/>
                <w:sz w:val="20"/>
                <w:szCs w:val="20"/>
                <w:lang w:eastAsia="lt-LT"/>
              </w:rPr>
            </w:pPr>
            <w:r w:rsidRPr="00C26FE9">
              <w:rPr>
                <w:rFonts w:cstheme="minorHAnsi"/>
                <w:color w:val="000000"/>
                <w:sz w:val="20"/>
                <w:szCs w:val="20"/>
                <w:lang w:eastAsia="lt-LT"/>
              </w:rPr>
              <w:t>3</w:t>
            </w:r>
          </w:p>
        </w:tc>
        <w:tc>
          <w:tcPr>
            <w:tcW w:w="4038" w:type="dxa"/>
            <w:tcBorders>
              <w:top w:val="single" w:sz="4" w:space="0" w:color="auto"/>
              <w:left w:val="nil"/>
              <w:bottom w:val="single" w:sz="4" w:space="0" w:color="auto"/>
              <w:right w:val="single" w:sz="4" w:space="0" w:color="auto"/>
            </w:tcBorders>
            <w:shd w:val="clear" w:color="auto" w:fill="D9D9D9" w:themeFill="background1" w:themeFillShade="D9"/>
          </w:tcPr>
          <w:p w14:paraId="3A37E000" w14:textId="0BC4D8BF" w:rsidR="00201EFA" w:rsidRPr="00C26FE9" w:rsidRDefault="008D3F31" w:rsidP="00755125">
            <w:pPr>
              <w:tabs>
                <w:tab w:val="left" w:pos="1318"/>
              </w:tabs>
              <w:spacing w:after="0" w:line="240" w:lineRule="auto"/>
              <w:ind w:left="42" w:hanging="42"/>
              <w:jc w:val="center"/>
              <w:rPr>
                <w:rFonts w:cstheme="minorHAnsi"/>
                <w:color w:val="000000"/>
                <w:sz w:val="20"/>
                <w:szCs w:val="20"/>
                <w:lang w:eastAsia="lt-LT"/>
              </w:rPr>
            </w:pPr>
            <w:r>
              <w:rPr>
                <w:rFonts w:cstheme="minorHAnsi"/>
                <w:color w:val="000000"/>
                <w:sz w:val="20"/>
                <w:szCs w:val="20"/>
                <w:lang w:eastAsia="lt-LT"/>
              </w:rPr>
              <w:t>4</w:t>
            </w:r>
          </w:p>
        </w:tc>
      </w:tr>
      <w:tr w:rsidR="00201EFA" w:rsidRPr="00E02425" w14:paraId="1623AE5A" w14:textId="77777777" w:rsidTr="008A4F8D">
        <w:trPr>
          <w:trHeight w:val="992"/>
          <w:jc w:val="center"/>
        </w:trPr>
        <w:tc>
          <w:tcPr>
            <w:tcW w:w="837" w:type="dxa"/>
            <w:tcBorders>
              <w:top w:val="nil"/>
              <w:left w:val="single" w:sz="4" w:space="0" w:color="auto"/>
              <w:bottom w:val="single" w:sz="4" w:space="0" w:color="auto"/>
              <w:right w:val="single" w:sz="4" w:space="0" w:color="auto"/>
            </w:tcBorders>
          </w:tcPr>
          <w:p w14:paraId="6ADCFAD7" w14:textId="77777777" w:rsidR="00201EFA" w:rsidRPr="00A36F71"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3A8FEF69"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Procesorius</w:t>
            </w:r>
          </w:p>
        </w:tc>
        <w:tc>
          <w:tcPr>
            <w:tcW w:w="4204" w:type="dxa"/>
            <w:tcBorders>
              <w:top w:val="nil"/>
              <w:left w:val="nil"/>
              <w:bottom w:val="single" w:sz="4" w:space="0" w:color="auto"/>
              <w:right w:val="single" w:sz="4" w:space="0" w:color="auto"/>
            </w:tcBorders>
            <w:hideMark/>
          </w:tcPr>
          <w:p w14:paraId="3EE058CD" w14:textId="027F6EC6" w:rsidR="00201EFA" w:rsidRPr="00E02425" w:rsidRDefault="00201EFA" w:rsidP="00755125">
            <w:pPr>
              <w:spacing w:after="0" w:line="240" w:lineRule="auto"/>
              <w:jc w:val="both"/>
              <w:rPr>
                <w:rFonts w:cs="Calibri"/>
                <w:color w:val="000000"/>
                <w:sz w:val="20"/>
                <w:szCs w:val="20"/>
                <w:lang w:eastAsia="lt-LT"/>
              </w:rPr>
            </w:pPr>
            <w:r w:rsidRPr="3991B7A1">
              <w:rPr>
                <w:rFonts w:cs="Calibri"/>
                <w:color w:val="000000" w:themeColor="text1"/>
                <w:sz w:val="20"/>
                <w:szCs w:val="20"/>
                <w:lang w:eastAsia="lt-LT"/>
              </w:rPr>
              <w:t>Ne mažiau kaip 2 procesoriai, palaikantys taikomąsias programas, 64 bitų instrukcijų išplėtimą, virtualizavimo instrukcijas aparatiniu lygmeniu, ne mažiau kaip 32 fiziniai branduoliai dviejų procesorių sistemoje bei ne mažiau kaip 12 atminties kanalų viename procesoriuje. Procesoriaus dažnis ne mažesnis kaip 3.6 Ghz.</w:t>
            </w:r>
          </w:p>
        </w:tc>
        <w:tc>
          <w:tcPr>
            <w:tcW w:w="4038" w:type="dxa"/>
            <w:tcBorders>
              <w:top w:val="nil"/>
              <w:left w:val="nil"/>
              <w:bottom w:val="single" w:sz="4" w:space="0" w:color="auto"/>
              <w:right w:val="single" w:sz="4" w:space="0" w:color="auto"/>
            </w:tcBorders>
          </w:tcPr>
          <w:p w14:paraId="3FBB7927" w14:textId="77777777" w:rsidR="00201EFA" w:rsidRPr="00E02425" w:rsidRDefault="00201EFA" w:rsidP="00755125">
            <w:pPr>
              <w:tabs>
                <w:tab w:val="left" w:pos="1318"/>
              </w:tabs>
              <w:spacing w:after="0" w:line="240" w:lineRule="auto"/>
              <w:ind w:left="42" w:hanging="42"/>
              <w:rPr>
                <w:rFonts w:cs="Calibri"/>
                <w:color w:val="000000"/>
                <w:sz w:val="20"/>
                <w:szCs w:val="20"/>
                <w:lang w:eastAsia="lt-LT"/>
              </w:rPr>
            </w:pPr>
          </w:p>
        </w:tc>
      </w:tr>
      <w:tr w:rsidR="00201EFA" w:rsidRPr="00E02425" w14:paraId="35CB1094" w14:textId="77777777" w:rsidTr="008A4F8D">
        <w:trPr>
          <w:trHeight w:val="1534"/>
          <w:jc w:val="center"/>
        </w:trPr>
        <w:tc>
          <w:tcPr>
            <w:tcW w:w="837" w:type="dxa"/>
            <w:tcBorders>
              <w:top w:val="nil"/>
              <w:left w:val="single" w:sz="4" w:space="0" w:color="auto"/>
              <w:bottom w:val="single" w:sz="4" w:space="0" w:color="auto"/>
              <w:right w:val="single" w:sz="4" w:space="0" w:color="auto"/>
            </w:tcBorders>
          </w:tcPr>
          <w:p w14:paraId="71E47CB9"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6591B0BA"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Procesoriaus našumas</w:t>
            </w:r>
          </w:p>
        </w:tc>
        <w:tc>
          <w:tcPr>
            <w:tcW w:w="4204" w:type="dxa"/>
            <w:tcBorders>
              <w:top w:val="nil"/>
              <w:left w:val="nil"/>
              <w:bottom w:val="single" w:sz="4" w:space="0" w:color="auto"/>
              <w:right w:val="single" w:sz="4" w:space="0" w:color="auto"/>
            </w:tcBorders>
            <w:hideMark/>
          </w:tcPr>
          <w:p w14:paraId="2135C296" w14:textId="6F5CB32F" w:rsidR="00201EFA" w:rsidRPr="00E02425" w:rsidRDefault="00201EFA" w:rsidP="00755125">
            <w:pPr>
              <w:spacing w:after="0" w:line="240" w:lineRule="auto"/>
              <w:jc w:val="both"/>
              <w:rPr>
                <w:rFonts w:cs="Calibri"/>
                <w:sz w:val="20"/>
                <w:szCs w:val="20"/>
                <w:lang w:eastAsia="lt-LT"/>
              </w:rPr>
            </w:pPr>
            <w:r w:rsidRPr="00E02425">
              <w:rPr>
                <w:rFonts w:cs="Calibri"/>
                <w:sz w:val="20"/>
                <w:szCs w:val="20"/>
                <w:lang w:eastAsia="lt-LT"/>
              </w:rPr>
              <w:t>Siūlomų procesorių našumo parametrai turi būti viešai publikuojami puslapyje www.spec.org. Procesorių testas turi būti atliktas siūlomoje serverio gamintojo aparatinėje platformoje ir turi atitikti siūlomos sistemos procesorių bazinio našumo rodiklį. Matavimai turi būti atlikti 2 procesorių sistemai ir būti ne  mažesni nei SPECrate2017_int_base=4</w:t>
            </w:r>
            <w:r w:rsidR="003F73E9">
              <w:rPr>
                <w:rFonts w:cs="Calibri"/>
                <w:sz w:val="20"/>
                <w:szCs w:val="20"/>
                <w:lang w:eastAsia="lt-LT"/>
              </w:rPr>
              <w:t>4</w:t>
            </w:r>
            <w:r w:rsidRPr="00E02425">
              <w:rPr>
                <w:rFonts w:cs="Calibri"/>
                <w:sz w:val="20"/>
                <w:szCs w:val="20"/>
                <w:lang w:eastAsia="lt-LT"/>
              </w:rPr>
              <w:t xml:space="preserve">7 ir </w:t>
            </w:r>
            <w:r w:rsidR="001D0195">
              <w:rPr>
                <w:rFonts w:cs="Calibri"/>
                <w:sz w:val="20"/>
                <w:szCs w:val="20"/>
                <w:lang w:eastAsia="lt-LT"/>
              </w:rPr>
              <w:t>ne</w:t>
            </w:r>
            <w:r w:rsidR="007B6716">
              <w:rPr>
                <w:rFonts w:cs="Calibri"/>
                <w:sz w:val="20"/>
                <w:szCs w:val="20"/>
                <w:lang w:eastAsia="lt-LT"/>
              </w:rPr>
              <w:t xml:space="preserve"> </w:t>
            </w:r>
            <w:r w:rsidR="001D0195">
              <w:rPr>
                <w:rFonts w:cs="Calibri"/>
                <w:sz w:val="20"/>
                <w:szCs w:val="20"/>
                <w:lang w:eastAsia="lt-LT"/>
              </w:rPr>
              <w:t>ma</w:t>
            </w:r>
            <w:r w:rsidR="00EE599F">
              <w:rPr>
                <w:rFonts w:cs="Calibri"/>
                <w:sz w:val="20"/>
                <w:szCs w:val="20"/>
                <w:lang w:eastAsia="lt-LT"/>
              </w:rPr>
              <w:t xml:space="preserve">žiau nei </w:t>
            </w:r>
            <w:r w:rsidRPr="00E02425">
              <w:rPr>
                <w:rFonts w:cs="Calibri"/>
                <w:sz w:val="20"/>
                <w:szCs w:val="20"/>
                <w:lang w:eastAsia="lt-LT"/>
              </w:rPr>
              <w:t>SPECrate_fp_base=</w:t>
            </w:r>
            <w:r w:rsidR="00C35472">
              <w:rPr>
                <w:rFonts w:cs="Calibri"/>
                <w:sz w:val="20"/>
                <w:szCs w:val="20"/>
                <w:lang w:eastAsia="lt-LT"/>
              </w:rPr>
              <w:t>300</w:t>
            </w:r>
            <w:r w:rsidRPr="00E02425">
              <w:rPr>
                <w:rFonts w:cs="Calibri"/>
                <w:sz w:val="20"/>
                <w:szCs w:val="20"/>
                <w:lang w:eastAsia="lt-LT"/>
              </w:rPr>
              <w:t xml:space="preserve"> </w:t>
            </w:r>
          </w:p>
        </w:tc>
        <w:tc>
          <w:tcPr>
            <w:tcW w:w="4038" w:type="dxa"/>
            <w:tcBorders>
              <w:top w:val="nil"/>
              <w:left w:val="nil"/>
              <w:bottom w:val="single" w:sz="4" w:space="0" w:color="auto"/>
              <w:right w:val="single" w:sz="4" w:space="0" w:color="auto"/>
            </w:tcBorders>
            <w:hideMark/>
          </w:tcPr>
          <w:p w14:paraId="2676C75D"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2CB1702F" w14:textId="77777777" w:rsidTr="008A4F8D">
        <w:trPr>
          <w:trHeight w:val="992"/>
          <w:jc w:val="center"/>
        </w:trPr>
        <w:tc>
          <w:tcPr>
            <w:tcW w:w="837" w:type="dxa"/>
            <w:tcBorders>
              <w:top w:val="nil"/>
              <w:left w:val="single" w:sz="4" w:space="0" w:color="auto"/>
              <w:bottom w:val="single" w:sz="4" w:space="0" w:color="auto"/>
              <w:right w:val="single" w:sz="4" w:space="0" w:color="auto"/>
            </w:tcBorders>
          </w:tcPr>
          <w:p w14:paraId="4A47D6C8"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41078867"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Operatyvioji atmintis</w:t>
            </w:r>
          </w:p>
        </w:tc>
        <w:tc>
          <w:tcPr>
            <w:tcW w:w="4204" w:type="dxa"/>
            <w:tcBorders>
              <w:top w:val="nil"/>
              <w:left w:val="nil"/>
              <w:bottom w:val="single" w:sz="4" w:space="0" w:color="auto"/>
              <w:right w:val="single" w:sz="4" w:space="0" w:color="auto"/>
            </w:tcBorders>
            <w:hideMark/>
          </w:tcPr>
          <w:p w14:paraId="5908B7C6" w14:textId="47FFC4EA"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 xml:space="preserve">Ne mažiau ir ne lėtesnė kaip: 256GB DDR5 6400 MTs ECC RDIMM. Atmintis plečiama  </w:t>
            </w:r>
            <w:r w:rsidR="00721741">
              <w:rPr>
                <w:rFonts w:cs="Calibri"/>
                <w:color w:val="000000"/>
                <w:sz w:val="20"/>
                <w:szCs w:val="20"/>
                <w:lang w:eastAsia="lt-LT"/>
              </w:rPr>
              <w:t xml:space="preserve">iki </w:t>
            </w:r>
            <w:r w:rsidRPr="00E02425">
              <w:rPr>
                <w:rFonts w:cs="Calibri"/>
                <w:color w:val="000000"/>
                <w:sz w:val="20"/>
                <w:szCs w:val="20"/>
                <w:lang w:eastAsia="lt-LT"/>
              </w:rPr>
              <w:t>6TB su ne mažiau nei 24 atminties lizdų.</w:t>
            </w:r>
          </w:p>
        </w:tc>
        <w:tc>
          <w:tcPr>
            <w:tcW w:w="4038" w:type="dxa"/>
            <w:tcBorders>
              <w:top w:val="nil"/>
              <w:left w:val="nil"/>
              <w:bottom w:val="single" w:sz="4" w:space="0" w:color="auto"/>
              <w:right w:val="single" w:sz="4" w:space="0" w:color="auto"/>
            </w:tcBorders>
            <w:hideMark/>
          </w:tcPr>
          <w:p w14:paraId="3E7F1766"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4F5F4E55" w14:textId="77777777" w:rsidTr="008A4F8D">
        <w:trPr>
          <w:trHeight w:val="450"/>
          <w:jc w:val="center"/>
        </w:trPr>
        <w:tc>
          <w:tcPr>
            <w:tcW w:w="837" w:type="dxa"/>
            <w:vMerge w:val="restart"/>
            <w:tcBorders>
              <w:top w:val="single" w:sz="4" w:space="0" w:color="auto"/>
              <w:left w:val="single" w:sz="4" w:space="0" w:color="auto"/>
              <w:bottom w:val="single" w:sz="4" w:space="0" w:color="auto"/>
              <w:right w:val="single" w:sz="4" w:space="0" w:color="auto"/>
            </w:tcBorders>
          </w:tcPr>
          <w:p w14:paraId="2E298388"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vMerge w:val="restart"/>
            <w:tcBorders>
              <w:top w:val="single" w:sz="4" w:space="0" w:color="auto"/>
              <w:left w:val="single" w:sz="4" w:space="0" w:color="auto"/>
              <w:bottom w:val="single" w:sz="4" w:space="0" w:color="auto"/>
              <w:right w:val="single" w:sz="4" w:space="0" w:color="auto"/>
            </w:tcBorders>
            <w:hideMark/>
          </w:tcPr>
          <w:p w14:paraId="09A7C4B0"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Diskiniai kaupikliai ir jų kontroleris</w:t>
            </w:r>
          </w:p>
        </w:tc>
        <w:tc>
          <w:tcPr>
            <w:tcW w:w="4204" w:type="dxa"/>
            <w:vMerge w:val="restart"/>
            <w:tcBorders>
              <w:top w:val="single" w:sz="4" w:space="0" w:color="auto"/>
              <w:left w:val="single" w:sz="4" w:space="0" w:color="auto"/>
              <w:bottom w:val="single" w:sz="4" w:space="0" w:color="auto"/>
              <w:right w:val="single" w:sz="4" w:space="0" w:color="auto"/>
            </w:tcBorders>
            <w:hideMark/>
          </w:tcPr>
          <w:p w14:paraId="043143F8" w14:textId="55395ED6" w:rsidR="00201EFA"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 xml:space="preserve">Turi būti ne mažiau kaip </w:t>
            </w:r>
            <w:r w:rsidR="003F73E9">
              <w:rPr>
                <w:rFonts w:cs="Calibri"/>
                <w:color w:val="000000"/>
                <w:sz w:val="20"/>
                <w:szCs w:val="20"/>
                <w:lang w:eastAsia="lt-LT"/>
              </w:rPr>
              <w:t>12</w:t>
            </w:r>
            <w:r w:rsidR="003F73E9" w:rsidRPr="00E02425">
              <w:rPr>
                <w:rFonts w:cs="Calibri"/>
                <w:color w:val="000000"/>
                <w:sz w:val="20"/>
                <w:szCs w:val="20"/>
                <w:lang w:eastAsia="lt-LT"/>
              </w:rPr>
              <w:t xml:space="preserve"> </w:t>
            </w:r>
            <w:r w:rsidRPr="00E02425">
              <w:rPr>
                <w:rFonts w:cs="Calibri"/>
                <w:color w:val="000000"/>
                <w:sz w:val="20"/>
                <w:szCs w:val="20"/>
                <w:lang w:eastAsia="lt-LT"/>
              </w:rPr>
              <w:t xml:space="preserve">vnt., ne mažesnės talpos kaip </w:t>
            </w:r>
            <w:r w:rsidR="000623E5">
              <w:rPr>
                <w:rFonts w:cs="Calibri"/>
                <w:color w:val="000000"/>
                <w:sz w:val="20"/>
                <w:szCs w:val="20"/>
                <w:lang w:eastAsia="lt-LT"/>
              </w:rPr>
              <w:t>960G</w:t>
            </w:r>
            <w:r w:rsidRPr="00E02425">
              <w:rPr>
                <w:rFonts w:cs="Calibri"/>
                <w:color w:val="000000"/>
                <w:sz w:val="20"/>
                <w:szCs w:val="20"/>
                <w:lang w:eastAsia="lt-LT"/>
              </w:rPr>
              <w:t xml:space="preserve">B, ne blogesnės kaip </w:t>
            </w:r>
            <w:r w:rsidR="000623E5">
              <w:rPr>
                <w:rFonts w:cs="Calibri"/>
                <w:color w:val="000000"/>
                <w:sz w:val="20"/>
                <w:szCs w:val="20"/>
                <w:lang w:eastAsia="lt-LT"/>
              </w:rPr>
              <w:t>SSD SATA</w:t>
            </w:r>
            <w:r w:rsidRPr="00E02425">
              <w:rPr>
                <w:rFonts w:cs="Calibri"/>
                <w:color w:val="000000"/>
                <w:sz w:val="20"/>
                <w:szCs w:val="20"/>
                <w:lang w:eastAsia="lt-LT"/>
              </w:rPr>
              <w:t xml:space="preserve"> technologijos  karšto keitimo diskai. </w:t>
            </w:r>
          </w:p>
          <w:p w14:paraId="0D2E5F37" w14:textId="0EDD15EA" w:rsidR="00C35472" w:rsidRPr="00E02425" w:rsidRDefault="00D80D8A" w:rsidP="00755125">
            <w:pPr>
              <w:spacing w:after="0" w:line="240" w:lineRule="auto"/>
              <w:jc w:val="both"/>
              <w:rPr>
                <w:rFonts w:cs="Calibri"/>
                <w:color w:val="000000"/>
                <w:sz w:val="20"/>
                <w:szCs w:val="20"/>
                <w:lang w:eastAsia="lt-LT"/>
              </w:rPr>
            </w:pPr>
            <w:r>
              <w:rPr>
                <w:rFonts w:cs="Calibri"/>
                <w:color w:val="000000"/>
                <w:sz w:val="20"/>
                <w:szCs w:val="20"/>
                <w:lang w:eastAsia="lt-LT"/>
              </w:rPr>
              <w:t>Ne</w:t>
            </w:r>
            <w:r w:rsidR="00294418">
              <w:rPr>
                <w:rFonts w:cs="Calibri"/>
                <w:color w:val="000000"/>
                <w:sz w:val="20"/>
                <w:szCs w:val="20"/>
                <w:lang w:eastAsia="lt-LT"/>
              </w:rPr>
              <w:t xml:space="preserve"> </w:t>
            </w:r>
            <w:r>
              <w:rPr>
                <w:rFonts w:cs="Calibri"/>
                <w:color w:val="000000"/>
                <w:sz w:val="20"/>
                <w:szCs w:val="20"/>
                <w:lang w:eastAsia="lt-LT"/>
              </w:rPr>
              <w:t>mažiau kaip 2 vnt., ne mažesnės kaip 460GB, ne blogesnės kaip SSD SATA technologijos keiti</w:t>
            </w:r>
            <w:r w:rsidR="006410B9">
              <w:rPr>
                <w:rFonts w:cs="Calibri"/>
                <w:color w:val="000000"/>
                <w:sz w:val="20"/>
                <w:szCs w:val="20"/>
                <w:lang w:eastAsia="lt-LT"/>
              </w:rPr>
              <w:t>mo diskai.</w:t>
            </w:r>
          </w:p>
          <w:p w14:paraId="71094520" w14:textId="77777777"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lastRenderedPageBreak/>
              <w:t xml:space="preserve">Turi būti ne mažiau kaip 8 vnt., ne mažesnės talpos kaip 2.4 TB, ne blogesnės kaip SAS 10K 2.5“ technologijos karšto keitimo diskai. </w:t>
            </w:r>
          </w:p>
          <w:p w14:paraId="0BADDA22" w14:textId="2D7CDCD6" w:rsidR="00201EFA" w:rsidRPr="00E02425" w:rsidRDefault="00A54D09" w:rsidP="00755125">
            <w:pPr>
              <w:spacing w:after="0" w:line="240" w:lineRule="auto"/>
              <w:jc w:val="both"/>
              <w:rPr>
                <w:rFonts w:cs="Calibri"/>
                <w:color w:val="000000"/>
                <w:sz w:val="20"/>
                <w:szCs w:val="20"/>
                <w:lang w:eastAsia="lt-LT"/>
              </w:rPr>
            </w:pPr>
            <w:r w:rsidRPr="52292479">
              <w:rPr>
                <w:rFonts w:cs="Calibri"/>
                <w:color w:val="000000" w:themeColor="text1"/>
                <w:sz w:val="20"/>
                <w:szCs w:val="20"/>
                <w:lang w:eastAsia="lt-LT"/>
              </w:rPr>
              <w:t xml:space="preserve">Turi būti </w:t>
            </w:r>
            <w:r w:rsidRPr="26A83943">
              <w:rPr>
                <w:rFonts w:cs="Calibri"/>
                <w:color w:val="000000" w:themeColor="text1"/>
                <w:sz w:val="20"/>
                <w:szCs w:val="20"/>
                <w:lang w:eastAsia="lt-LT"/>
              </w:rPr>
              <w:t>galima</w:t>
            </w:r>
            <w:r w:rsidR="00201EFA" w:rsidRPr="00E02425">
              <w:rPr>
                <w:rFonts w:cs="Calibri"/>
                <w:color w:val="000000"/>
                <w:sz w:val="20"/>
                <w:szCs w:val="20"/>
                <w:lang w:eastAsia="lt-LT"/>
              </w:rPr>
              <w:t xml:space="preserve"> plėsti iki 24 vnt. diskų.</w:t>
            </w:r>
          </w:p>
          <w:p w14:paraId="2796076C" w14:textId="476EEDCF"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 xml:space="preserve">Ne blogiau nei </w:t>
            </w:r>
            <w:r w:rsidR="002C75EE">
              <w:rPr>
                <w:rFonts w:cs="Calibri"/>
                <w:color w:val="000000"/>
                <w:sz w:val="20"/>
                <w:szCs w:val="20"/>
                <w:lang w:eastAsia="lt-LT"/>
              </w:rPr>
              <w:t>vienas</w:t>
            </w:r>
            <w:r w:rsidRPr="00E02425">
              <w:rPr>
                <w:rFonts w:cs="Calibri"/>
                <w:color w:val="000000"/>
                <w:sz w:val="20"/>
                <w:szCs w:val="20"/>
                <w:lang w:eastAsia="lt-LT"/>
              </w:rPr>
              <w:t xml:space="preserve"> vieneta</w:t>
            </w:r>
            <w:r w:rsidR="002C75EE">
              <w:rPr>
                <w:rFonts w:cs="Calibri"/>
                <w:color w:val="000000"/>
                <w:sz w:val="20"/>
                <w:szCs w:val="20"/>
                <w:lang w:eastAsia="lt-LT"/>
              </w:rPr>
              <w:t>s</w:t>
            </w:r>
            <w:r w:rsidRPr="00E02425">
              <w:rPr>
                <w:rFonts w:cs="Calibri"/>
                <w:color w:val="000000"/>
                <w:sz w:val="20"/>
                <w:szCs w:val="20"/>
                <w:lang w:eastAsia="lt-LT"/>
              </w:rPr>
              <w:t xml:space="preserve"> PCIe Gen</w:t>
            </w:r>
            <w:r w:rsidR="002C75EE">
              <w:rPr>
                <w:rFonts w:cs="Calibri"/>
                <w:color w:val="000000"/>
                <w:sz w:val="20"/>
                <w:szCs w:val="20"/>
                <w:lang w:eastAsia="lt-LT"/>
              </w:rPr>
              <w:t>4</w:t>
            </w:r>
            <w:r w:rsidRPr="00E02425">
              <w:rPr>
                <w:rFonts w:cs="Calibri"/>
                <w:color w:val="000000"/>
                <w:sz w:val="20"/>
                <w:szCs w:val="20"/>
                <w:lang w:eastAsia="lt-LT"/>
              </w:rPr>
              <w:t xml:space="preserve"> RAID kontrolerių palaikančių RAID lygius </w:t>
            </w:r>
            <w:r w:rsidRPr="00E02425">
              <w:rPr>
                <w:rFonts w:cs="Calibri" w:hint="cs"/>
                <w:color w:val="000000"/>
                <w:sz w:val="20"/>
                <w:szCs w:val="20"/>
                <w:lang w:eastAsia="lt-LT"/>
              </w:rPr>
              <w:t xml:space="preserve">0, 1, 5, 6, 10, 50, </w:t>
            </w:r>
            <w:r w:rsidRPr="00E02425">
              <w:rPr>
                <w:rFonts w:cs="Calibri"/>
                <w:color w:val="000000"/>
                <w:sz w:val="20"/>
                <w:szCs w:val="20"/>
                <w:lang w:eastAsia="lt-LT"/>
              </w:rPr>
              <w:t xml:space="preserve">ir </w:t>
            </w:r>
            <w:r w:rsidRPr="00E02425">
              <w:rPr>
                <w:rFonts w:cs="Calibri" w:hint="cs"/>
                <w:color w:val="000000"/>
                <w:sz w:val="20"/>
                <w:szCs w:val="20"/>
                <w:lang w:eastAsia="lt-LT"/>
              </w:rPr>
              <w:t>60</w:t>
            </w:r>
            <w:r w:rsidRPr="00E02425">
              <w:rPr>
                <w:rFonts w:cs="Calibri"/>
                <w:color w:val="000000"/>
                <w:sz w:val="20"/>
                <w:szCs w:val="20"/>
                <w:lang w:eastAsia="lt-LT"/>
              </w:rPr>
              <w:t xml:space="preserve">. </w:t>
            </w:r>
          </w:p>
        </w:tc>
        <w:tc>
          <w:tcPr>
            <w:tcW w:w="4038" w:type="dxa"/>
            <w:vMerge w:val="restart"/>
            <w:tcBorders>
              <w:top w:val="single" w:sz="4" w:space="0" w:color="auto"/>
              <w:left w:val="single" w:sz="4" w:space="0" w:color="auto"/>
              <w:bottom w:val="single" w:sz="4" w:space="0" w:color="auto"/>
              <w:right w:val="single" w:sz="4" w:space="0" w:color="auto"/>
            </w:tcBorders>
            <w:hideMark/>
          </w:tcPr>
          <w:p w14:paraId="41A76F22"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lastRenderedPageBreak/>
              <w:t> </w:t>
            </w:r>
          </w:p>
        </w:tc>
      </w:tr>
      <w:tr w:rsidR="00201EFA" w:rsidRPr="00E02425" w14:paraId="4868E1F4" w14:textId="77777777" w:rsidTr="008A4F8D">
        <w:trPr>
          <w:trHeight w:val="496"/>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164CEAB3" w14:textId="77777777" w:rsidR="00201EFA" w:rsidRPr="00E02425" w:rsidRDefault="00201EFA" w:rsidP="00201EFA">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1FD48402" w14:textId="77777777" w:rsidR="00201EFA" w:rsidRPr="00E02425" w:rsidRDefault="00201EFA" w:rsidP="00755125">
            <w:pPr>
              <w:spacing w:after="0" w:line="240" w:lineRule="auto"/>
              <w:rPr>
                <w:rFonts w:cs="Calibri"/>
                <w:color w:val="000000"/>
                <w:sz w:val="20"/>
                <w:szCs w:val="20"/>
                <w:lang w:eastAsia="lt-LT"/>
              </w:rPr>
            </w:pPr>
          </w:p>
        </w:tc>
        <w:tc>
          <w:tcPr>
            <w:tcW w:w="4204" w:type="dxa"/>
            <w:vMerge/>
            <w:tcBorders>
              <w:top w:val="single" w:sz="4" w:space="0" w:color="auto"/>
              <w:left w:val="single" w:sz="4" w:space="0" w:color="auto"/>
              <w:bottom w:val="single" w:sz="4" w:space="0" w:color="auto"/>
              <w:right w:val="single" w:sz="4" w:space="0" w:color="auto"/>
            </w:tcBorders>
            <w:vAlign w:val="center"/>
            <w:hideMark/>
          </w:tcPr>
          <w:p w14:paraId="36D9164C" w14:textId="77777777" w:rsidR="00201EFA" w:rsidRPr="00E02425" w:rsidRDefault="00201EFA" w:rsidP="00755125">
            <w:pPr>
              <w:spacing w:after="0" w:line="240" w:lineRule="auto"/>
              <w:jc w:val="both"/>
              <w:rPr>
                <w:rFonts w:cs="Calibri"/>
                <w:color w:val="000000"/>
                <w:sz w:val="20"/>
                <w:szCs w:val="20"/>
                <w:lang w:eastAsia="lt-LT"/>
              </w:rPr>
            </w:pP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413925B8" w14:textId="77777777" w:rsidR="00201EFA" w:rsidRPr="00E02425" w:rsidRDefault="00201EFA" w:rsidP="00755125">
            <w:pPr>
              <w:tabs>
                <w:tab w:val="left" w:pos="1318"/>
              </w:tabs>
              <w:spacing w:after="0" w:line="240" w:lineRule="auto"/>
              <w:ind w:left="42" w:hanging="42"/>
              <w:rPr>
                <w:rFonts w:cs="Calibri"/>
                <w:color w:val="000000"/>
                <w:sz w:val="20"/>
                <w:szCs w:val="20"/>
                <w:lang w:eastAsia="lt-LT"/>
              </w:rPr>
            </w:pPr>
          </w:p>
        </w:tc>
      </w:tr>
      <w:tr w:rsidR="00201EFA" w:rsidRPr="00E02425" w14:paraId="74F9F320" w14:textId="77777777" w:rsidTr="008A4F8D">
        <w:trPr>
          <w:trHeight w:val="300"/>
          <w:jc w:val="center"/>
        </w:trPr>
        <w:tc>
          <w:tcPr>
            <w:tcW w:w="837" w:type="dxa"/>
            <w:tcBorders>
              <w:top w:val="nil"/>
              <w:left w:val="single" w:sz="4" w:space="0" w:color="auto"/>
              <w:bottom w:val="single" w:sz="4" w:space="0" w:color="auto"/>
              <w:right w:val="single" w:sz="4" w:space="0" w:color="auto"/>
            </w:tcBorders>
          </w:tcPr>
          <w:p w14:paraId="6E97B16F"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4C7EDD52"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Tinklo plokštės:</w:t>
            </w:r>
          </w:p>
        </w:tc>
        <w:tc>
          <w:tcPr>
            <w:tcW w:w="4204" w:type="dxa"/>
            <w:tcBorders>
              <w:top w:val="nil"/>
              <w:left w:val="nil"/>
              <w:bottom w:val="single" w:sz="4" w:space="0" w:color="auto"/>
              <w:right w:val="single" w:sz="4" w:space="0" w:color="auto"/>
            </w:tcBorders>
            <w:hideMark/>
          </w:tcPr>
          <w:p w14:paraId="39FD6AAE" w14:textId="77777777"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Ne mažiau kaip  6 vnt. 25G SFP28 prievadų.</w:t>
            </w:r>
          </w:p>
        </w:tc>
        <w:tc>
          <w:tcPr>
            <w:tcW w:w="4038" w:type="dxa"/>
            <w:tcBorders>
              <w:top w:val="nil"/>
              <w:left w:val="nil"/>
              <w:bottom w:val="single" w:sz="4" w:space="0" w:color="auto"/>
              <w:right w:val="single" w:sz="4" w:space="0" w:color="auto"/>
            </w:tcBorders>
            <w:hideMark/>
          </w:tcPr>
          <w:p w14:paraId="49F27186"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50C0D604" w14:textId="77777777" w:rsidTr="008A4F8D">
        <w:trPr>
          <w:trHeight w:val="511"/>
          <w:jc w:val="center"/>
        </w:trPr>
        <w:tc>
          <w:tcPr>
            <w:tcW w:w="837" w:type="dxa"/>
            <w:tcBorders>
              <w:top w:val="nil"/>
              <w:left w:val="single" w:sz="4" w:space="0" w:color="auto"/>
              <w:bottom w:val="single" w:sz="4" w:space="0" w:color="auto"/>
              <w:right w:val="single" w:sz="4" w:space="0" w:color="auto"/>
            </w:tcBorders>
          </w:tcPr>
          <w:p w14:paraId="33F0FD79"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3F38E5B2"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Kitos jungtys</w:t>
            </w:r>
          </w:p>
        </w:tc>
        <w:tc>
          <w:tcPr>
            <w:tcW w:w="4204" w:type="dxa"/>
            <w:tcBorders>
              <w:top w:val="nil"/>
              <w:left w:val="nil"/>
              <w:bottom w:val="single" w:sz="4" w:space="0" w:color="auto"/>
              <w:right w:val="single" w:sz="4" w:space="0" w:color="auto"/>
            </w:tcBorders>
            <w:hideMark/>
          </w:tcPr>
          <w:p w14:paraId="04D0B63C" w14:textId="77777777"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 xml:space="preserve">Ne mažiau kaip: 4 x USB, 1 x VGA. </w:t>
            </w:r>
          </w:p>
        </w:tc>
        <w:tc>
          <w:tcPr>
            <w:tcW w:w="4038" w:type="dxa"/>
            <w:tcBorders>
              <w:top w:val="nil"/>
              <w:left w:val="nil"/>
              <w:bottom w:val="single" w:sz="4" w:space="0" w:color="auto"/>
              <w:right w:val="single" w:sz="4" w:space="0" w:color="auto"/>
            </w:tcBorders>
            <w:hideMark/>
          </w:tcPr>
          <w:p w14:paraId="55EBC3BC"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15258E4C" w14:textId="77777777" w:rsidTr="008A4F8D">
        <w:trPr>
          <w:trHeight w:val="511"/>
          <w:jc w:val="center"/>
        </w:trPr>
        <w:tc>
          <w:tcPr>
            <w:tcW w:w="837" w:type="dxa"/>
            <w:tcBorders>
              <w:top w:val="nil"/>
              <w:left w:val="single" w:sz="4" w:space="0" w:color="auto"/>
              <w:bottom w:val="single" w:sz="4" w:space="0" w:color="auto"/>
              <w:right w:val="single" w:sz="4" w:space="0" w:color="auto"/>
            </w:tcBorders>
          </w:tcPr>
          <w:p w14:paraId="10DF45AD"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6080B8BD"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PCI jungtys</w:t>
            </w:r>
          </w:p>
        </w:tc>
        <w:tc>
          <w:tcPr>
            <w:tcW w:w="4204" w:type="dxa"/>
            <w:tcBorders>
              <w:top w:val="nil"/>
              <w:left w:val="nil"/>
              <w:bottom w:val="single" w:sz="4" w:space="0" w:color="auto"/>
              <w:right w:val="single" w:sz="4" w:space="0" w:color="auto"/>
            </w:tcBorders>
            <w:hideMark/>
          </w:tcPr>
          <w:p w14:paraId="453C2205" w14:textId="77777777"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Turi būti sukonfigūruoti ne mažiau kaip 4 vnt</w:t>
            </w:r>
            <w:r>
              <w:rPr>
                <w:rFonts w:cs="Calibri"/>
                <w:color w:val="000000"/>
                <w:sz w:val="20"/>
                <w:szCs w:val="20"/>
                <w:lang w:eastAsia="lt-LT"/>
              </w:rPr>
              <w:t>.</w:t>
            </w:r>
            <w:r w:rsidRPr="00E02425">
              <w:rPr>
                <w:rFonts w:cs="Calibri"/>
                <w:color w:val="000000"/>
                <w:sz w:val="20"/>
                <w:szCs w:val="20"/>
                <w:lang w:eastAsia="lt-LT"/>
              </w:rPr>
              <w:t xml:space="preserve"> PCI-E 5.0 tipo lizdai ir 2 vnt. OCP lizdai.</w:t>
            </w:r>
          </w:p>
        </w:tc>
        <w:tc>
          <w:tcPr>
            <w:tcW w:w="4038" w:type="dxa"/>
            <w:tcBorders>
              <w:top w:val="nil"/>
              <w:left w:val="nil"/>
              <w:bottom w:val="single" w:sz="4" w:space="0" w:color="auto"/>
              <w:right w:val="single" w:sz="4" w:space="0" w:color="auto"/>
            </w:tcBorders>
            <w:hideMark/>
          </w:tcPr>
          <w:p w14:paraId="2EF20138"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2C0F456C" w14:textId="77777777" w:rsidTr="008A4F8D">
        <w:trPr>
          <w:trHeight w:val="992"/>
          <w:jc w:val="center"/>
        </w:trPr>
        <w:tc>
          <w:tcPr>
            <w:tcW w:w="837" w:type="dxa"/>
            <w:tcBorders>
              <w:top w:val="single" w:sz="4" w:space="0" w:color="auto"/>
              <w:left w:val="single" w:sz="4" w:space="0" w:color="auto"/>
              <w:bottom w:val="single" w:sz="4" w:space="0" w:color="auto"/>
              <w:right w:val="single" w:sz="4" w:space="0" w:color="auto"/>
            </w:tcBorders>
          </w:tcPr>
          <w:p w14:paraId="5CD0C1FD"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4FAEF295"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Konstrukcija ir komplektacija</w:t>
            </w:r>
          </w:p>
        </w:tc>
        <w:tc>
          <w:tcPr>
            <w:tcW w:w="4204" w:type="dxa"/>
            <w:tcBorders>
              <w:top w:val="single" w:sz="4" w:space="0" w:color="auto"/>
              <w:left w:val="nil"/>
              <w:bottom w:val="single" w:sz="4" w:space="0" w:color="auto"/>
              <w:right w:val="single" w:sz="4" w:space="0" w:color="auto"/>
            </w:tcBorders>
            <w:hideMark/>
          </w:tcPr>
          <w:p w14:paraId="059D18A5" w14:textId="39127E52" w:rsidR="00201EFA" w:rsidRPr="00865A18"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 xml:space="preserve">Serveris turi būti montuojamas į standartinę 19“ spintą. Bėgiai turi būti pritaikyti greitam montavimui bei serverio ištraukimui („sliding rails“). Korpuso aukštis neturi viršyti 2U. </w:t>
            </w:r>
            <w:r w:rsidR="00BA78D6" w:rsidRPr="00BA78D6">
              <w:rPr>
                <w:rFonts w:cs="Calibri"/>
                <w:color w:val="000000"/>
                <w:sz w:val="20"/>
                <w:szCs w:val="20"/>
                <w:lang w:eastAsia="lt-LT"/>
              </w:rPr>
              <w:t>Serverio</w:t>
            </w:r>
            <w:r w:rsidR="008E490A">
              <w:rPr>
                <w:rFonts w:cs="Calibri"/>
                <w:color w:val="000000"/>
                <w:sz w:val="20"/>
                <w:szCs w:val="20"/>
                <w:lang w:eastAsia="lt-LT"/>
              </w:rPr>
              <w:t xml:space="preserve"> </w:t>
            </w:r>
            <w:r w:rsidRPr="00E02425">
              <w:rPr>
                <w:rFonts w:cs="Calibri"/>
                <w:color w:val="000000"/>
                <w:sz w:val="20"/>
                <w:szCs w:val="20"/>
                <w:lang w:eastAsia="lt-LT"/>
              </w:rPr>
              <w:t xml:space="preserve">priekinėje dalyje turi būti sumontuota </w:t>
            </w:r>
            <w:r w:rsidRPr="00865A18">
              <w:rPr>
                <w:rFonts w:cs="Calibri"/>
                <w:color w:val="000000"/>
                <w:sz w:val="20"/>
                <w:szCs w:val="20"/>
                <w:lang w:eastAsia="lt-LT"/>
              </w:rPr>
              <w:t>užrakinama apsauga.</w:t>
            </w:r>
          </w:p>
          <w:p w14:paraId="76C73599" w14:textId="797C4030" w:rsidR="00201EFA" w:rsidRPr="00E02425" w:rsidRDefault="00E22EFD" w:rsidP="00755125">
            <w:pPr>
              <w:spacing w:after="0" w:line="240" w:lineRule="auto"/>
              <w:jc w:val="both"/>
              <w:rPr>
                <w:rFonts w:cs="Calibri"/>
                <w:color w:val="000000"/>
                <w:sz w:val="20"/>
                <w:szCs w:val="20"/>
                <w:lang w:eastAsia="lt-LT"/>
              </w:rPr>
            </w:pPr>
            <w:r w:rsidRPr="00865A18">
              <w:rPr>
                <w:rFonts w:cs="Calibri"/>
                <w:color w:val="000000"/>
                <w:sz w:val="20"/>
                <w:szCs w:val="20"/>
                <w:lang w:eastAsia="lt-LT"/>
              </w:rPr>
              <w:t>Turi būti pateikti jungiamieji kabeliai</w:t>
            </w:r>
            <w:r w:rsidR="00201EFA" w:rsidRPr="00865A18">
              <w:rPr>
                <w:rFonts w:cs="Calibri"/>
                <w:color w:val="000000"/>
                <w:sz w:val="20"/>
                <w:szCs w:val="20"/>
                <w:lang w:eastAsia="lt-LT"/>
              </w:rPr>
              <w:t>, jungtys, tvirtinimo detalės, bėgiai, bei priemonės, skirtos įrangos pajungimui ir montavimui į 19“ montažinę spintą, bei apjungimui su tink</w:t>
            </w:r>
            <w:r w:rsidR="00157D32" w:rsidRPr="00865A18">
              <w:rPr>
                <w:rFonts w:cs="Calibri"/>
                <w:color w:val="000000"/>
                <w:sz w:val="20"/>
                <w:szCs w:val="20"/>
                <w:lang w:eastAsia="lt-LT"/>
              </w:rPr>
              <w:t>l</w:t>
            </w:r>
            <w:r w:rsidR="00201EFA" w:rsidRPr="00865A18">
              <w:rPr>
                <w:rFonts w:cs="Calibri"/>
                <w:color w:val="000000"/>
                <w:sz w:val="20"/>
                <w:szCs w:val="20"/>
                <w:lang w:eastAsia="lt-LT"/>
              </w:rPr>
              <w:t>o įranga.</w:t>
            </w:r>
            <w:r w:rsidR="00201EFA" w:rsidRPr="00E02425">
              <w:rPr>
                <w:rFonts w:cs="Calibri"/>
                <w:color w:val="000000"/>
                <w:sz w:val="20"/>
                <w:szCs w:val="20"/>
                <w:lang w:eastAsia="lt-LT"/>
              </w:rPr>
              <w:t xml:space="preserve">  </w:t>
            </w:r>
          </w:p>
        </w:tc>
        <w:tc>
          <w:tcPr>
            <w:tcW w:w="4038" w:type="dxa"/>
            <w:tcBorders>
              <w:top w:val="single" w:sz="4" w:space="0" w:color="auto"/>
              <w:left w:val="nil"/>
              <w:bottom w:val="single" w:sz="4" w:space="0" w:color="auto"/>
              <w:right w:val="single" w:sz="4" w:space="0" w:color="auto"/>
            </w:tcBorders>
            <w:hideMark/>
          </w:tcPr>
          <w:p w14:paraId="53602F9C"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4B58B163" w14:textId="77777777" w:rsidTr="008A4F8D">
        <w:trPr>
          <w:trHeight w:val="992"/>
          <w:jc w:val="center"/>
        </w:trPr>
        <w:tc>
          <w:tcPr>
            <w:tcW w:w="837" w:type="dxa"/>
            <w:tcBorders>
              <w:top w:val="single" w:sz="4" w:space="0" w:color="auto"/>
              <w:left w:val="single" w:sz="4" w:space="0" w:color="auto"/>
              <w:bottom w:val="single" w:sz="4" w:space="0" w:color="auto"/>
              <w:right w:val="single" w:sz="4" w:space="0" w:color="auto"/>
            </w:tcBorders>
          </w:tcPr>
          <w:p w14:paraId="60E6FA3A"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181A738A"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Maitinimo šaltiniai</w:t>
            </w:r>
          </w:p>
        </w:tc>
        <w:tc>
          <w:tcPr>
            <w:tcW w:w="4204" w:type="dxa"/>
            <w:tcBorders>
              <w:top w:val="single" w:sz="4" w:space="0" w:color="auto"/>
              <w:left w:val="nil"/>
              <w:bottom w:val="single" w:sz="4" w:space="0" w:color="auto"/>
              <w:right w:val="single" w:sz="4" w:space="0" w:color="auto"/>
            </w:tcBorders>
            <w:hideMark/>
          </w:tcPr>
          <w:p w14:paraId="49CF4142" w14:textId="082A796C" w:rsidR="00201EFA" w:rsidRPr="00E02425" w:rsidRDefault="00201EFA" w:rsidP="00755125">
            <w:pPr>
              <w:spacing w:after="0" w:line="240" w:lineRule="auto"/>
              <w:jc w:val="both"/>
              <w:rPr>
                <w:rFonts w:cs="Calibri"/>
                <w:color w:val="000000"/>
                <w:sz w:val="20"/>
                <w:szCs w:val="20"/>
                <w:lang w:eastAsia="lt-LT"/>
              </w:rPr>
            </w:pPr>
            <w:r w:rsidRPr="00E02425">
              <w:rPr>
                <w:rFonts w:cs="Calibri"/>
                <w:color w:val="000000"/>
                <w:sz w:val="20"/>
                <w:szCs w:val="20"/>
                <w:lang w:eastAsia="lt-LT"/>
              </w:rPr>
              <w:t>Ne mažiau kaip du nepriklausomi „karšto keitimo“ (angl.</w:t>
            </w:r>
            <w:r w:rsidRPr="00E02425">
              <w:rPr>
                <w:rFonts w:cs="Calibri"/>
                <w:i/>
                <w:iCs/>
                <w:color w:val="000000"/>
                <w:sz w:val="20"/>
                <w:szCs w:val="20"/>
                <w:lang w:eastAsia="lt-LT"/>
              </w:rPr>
              <w:t>Hot-plug)</w:t>
            </w:r>
            <w:r w:rsidRPr="00E02425">
              <w:rPr>
                <w:rFonts w:cs="Calibri"/>
                <w:color w:val="000000"/>
                <w:sz w:val="20"/>
                <w:szCs w:val="20"/>
                <w:lang w:eastAsia="lt-LT"/>
              </w:rPr>
              <w:t xml:space="preserve"> 230 V 50 Hz įrenginiai, ne mažesnio kaip 1100 W galingumo su atskirais įvadais. </w:t>
            </w:r>
            <w:r w:rsidR="001D6C07">
              <w:rPr>
                <w:rFonts w:cs="Calibri"/>
                <w:color w:val="000000"/>
                <w:sz w:val="20"/>
                <w:szCs w:val="20"/>
                <w:lang w:eastAsia="lt-LT"/>
              </w:rPr>
              <w:t>Maitinimo šaltiniai turi turėti ne žemesnę kaip Titanium arba lygiavertę efektyvumo sertifikaciją.</w:t>
            </w:r>
          </w:p>
        </w:tc>
        <w:tc>
          <w:tcPr>
            <w:tcW w:w="4038" w:type="dxa"/>
            <w:tcBorders>
              <w:top w:val="single" w:sz="4" w:space="0" w:color="auto"/>
              <w:left w:val="nil"/>
              <w:bottom w:val="single" w:sz="4" w:space="0" w:color="auto"/>
              <w:right w:val="single" w:sz="4" w:space="0" w:color="auto"/>
            </w:tcBorders>
            <w:hideMark/>
          </w:tcPr>
          <w:p w14:paraId="2F076FCC"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169BE1E8" w14:textId="77777777" w:rsidTr="008A4F8D">
        <w:trPr>
          <w:trHeight w:val="511"/>
          <w:jc w:val="center"/>
        </w:trPr>
        <w:tc>
          <w:tcPr>
            <w:tcW w:w="837" w:type="dxa"/>
            <w:tcBorders>
              <w:top w:val="single" w:sz="4" w:space="0" w:color="auto"/>
              <w:left w:val="single" w:sz="4" w:space="0" w:color="auto"/>
              <w:bottom w:val="single" w:sz="4" w:space="0" w:color="auto"/>
              <w:right w:val="single" w:sz="4" w:space="0" w:color="auto"/>
            </w:tcBorders>
          </w:tcPr>
          <w:p w14:paraId="2499F95C"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42000275"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Aušinimas</w:t>
            </w:r>
          </w:p>
        </w:tc>
        <w:tc>
          <w:tcPr>
            <w:tcW w:w="4204" w:type="dxa"/>
            <w:tcBorders>
              <w:top w:val="single" w:sz="4" w:space="0" w:color="auto"/>
              <w:left w:val="nil"/>
              <w:bottom w:val="single" w:sz="4" w:space="0" w:color="auto"/>
              <w:right w:val="single" w:sz="4" w:space="0" w:color="auto"/>
            </w:tcBorders>
            <w:hideMark/>
          </w:tcPr>
          <w:p w14:paraId="156B19A6" w14:textId="26FD96BF" w:rsidR="00201EFA" w:rsidRPr="00E02425" w:rsidRDefault="00DA1576" w:rsidP="00755125">
            <w:pPr>
              <w:spacing w:after="0" w:line="240" w:lineRule="auto"/>
              <w:jc w:val="both"/>
              <w:rPr>
                <w:rFonts w:cs="Calibri"/>
                <w:color w:val="000000"/>
                <w:sz w:val="20"/>
                <w:szCs w:val="20"/>
                <w:lang w:eastAsia="lt-LT"/>
              </w:rPr>
            </w:pPr>
            <w:r>
              <w:rPr>
                <w:rFonts w:cs="Calibri"/>
                <w:color w:val="000000"/>
                <w:sz w:val="20"/>
                <w:szCs w:val="20"/>
                <w:lang w:eastAsia="lt-LT"/>
              </w:rPr>
              <w:t>Turi būti įrengti dubliuoti „karšto keitimo“ (angl. Hot-plug) tipo aušinimo moduliai.</w:t>
            </w:r>
          </w:p>
        </w:tc>
        <w:tc>
          <w:tcPr>
            <w:tcW w:w="4038" w:type="dxa"/>
            <w:tcBorders>
              <w:top w:val="single" w:sz="4" w:space="0" w:color="auto"/>
              <w:left w:val="nil"/>
              <w:bottom w:val="single" w:sz="4" w:space="0" w:color="auto"/>
              <w:right w:val="single" w:sz="4" w:space="0" w:color="auto"/>
            </w:tcBorders>
            <w:hideMark/>
          </w:tcPr>
          <w:p w14:paraId="48C3B24C"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FB4D3E" w:rsidRPr="00E02425" w14:paraId="4D8AC148" w14:textId="77777777" w:rsidTr="008A4F8D">
        <w:trPr>
          <w:trHeight w:val="992"/>
          <w:jc w:val="center"/>
        </w:trPr>
        <w:tc>
          <w:tcPr>
            <w:tcW w:w="837" w:type="dxa"/>
            <w:vMerge w:val="restart"/>
            <w:tcBorders>
              <w:top w:val="single" w:sz="4" w:space="0" w:color="auto"/>
              <w:left w:val="single" w:sz="4" w:space="0" w:color="auto"/>
              <w:bottom w:val="single" w:sz="4" w:space="0" w:color="auto"/>
              <w:right w:val="single" w:sz="4" w:space="0" w:color="auto"/>
            </w:tcBorders>
          </w:tcPr>
          <w:p w14:paraId="75364204" w14:textId="77777777" w:rsidR="00FB4D3E" w:rsidRPr="00E02425" w:rsidRDefault="00FB4D3E" w:rsidP="00FB4D3E">
            <w:pPr>
              <w:pStyle w:val="ListParagraph"/>
              <w:numPr>
                <w:ilvl w:val="0"/>
                <w:numId w:val="4"/>
              </w:numPr>
              <w:spacing w:after="0" w:line="240" w:lineRule="auto"/>
              <w:jc w:val="center"/>
              <w:rPr>
                <w:rFonts w:cs="Calibri"/>
                <w:color w:val="000000"/>
                <w:sz w:val="20"/>
                <w:szCs w:val="20"/>
                <w:lang w:eastAsia="lt-LT"/>
              </w:rPr>
            </w:pPr>
          </w:p>
        </w:tc>
        <w:tc>
          <w:tcPr>
            <w:tcW w:w="1533" w:type="dxa"/>
            <w:vMerge w:val="restart"/>
            <w:tcBorders>
              <w:top w:val="single" w:sz="4" w:space="0" w:color="auto"/>
              <w:left w:val="single" w:sz="4" w:space="0" w:color="auto"/>
              <w:bottom w:val="single" w:sz="4" w:space="0" w:color="auto"/>
              <w:right w:val="single" w:sz="4" w:space="0" w:color="auto"/>
            </w:tcBorders>
            <w:hideMark/>
          </w:tcPr>
          <w:p w14:paraId="3D8F9142" w14:textId="7CEFBDE7" w:rsidR="00FB4D3E" w:rsidRPr="00E02425" w:rsidRDefault="00FB4D3E" w:rsidP="00FB4D3E">
            <w:pPr>
              <w:spacing w:after="0" w:line="240" w:lineRule="auto"/>
              <w:jc w:val="center"/>
              <w:rPr>
                <w:rFonts w:cs="Calibri"/>
                <w:color w:val="000000"/>
                <w:sz w:val="20"/>
                <w:szCs w:val="20"/>
                <w:lang w:eastAsia="lt-LT"/>
              </w:rPr>
            </w:pPr>
            <w:r w:rsidRPr="001E2A95">
              <w:rPr>
                <w:rFonts w:cs="Calibri"/>
                <w:color w:val="000000"/>
                <w:sz w:val="20"/>
                <w:szCs w:val="20"/>
                <w:lang w:eastAsia="lt-LT"/>
              </w:rPr>
              <w:t>Valdymo sistema</w:t>
            </w:r>
          </w:p>
        </w:tc>
        <w:tc>
          <w:tcPr>
            <w:tcW w:w="4204" w:type="dxa"/>
            <w:tcBorders>
              <w:top w:val="single" w:sz="4" w:space="0" w:color="auto"/>
              <w:left w:val="nil"/>
              <w:bottom w:val="single" w:sz="4" w:space="0" w:color="auto"/>
              <w:right w:val="single" w:sz="4" w:space="0" w:color="auto"/>
            </w:tcBorders>
            <w:hideMark/>
          </w:tcPr>
          <w:p w14:paraId="47C469EB" w14:textId="27E916BD" w:rsidR="00FB4D3E" w:rsidRPr="00E02425" w:rsidRDefault="00FB4D3E" w:rsidP="00FB4D3E">
            <w:pPr>
              <w:spacing w:after="0" w:line="240" w:lineRule="auto"/>
              <w:jc w:val="both"/>
              <w:rPr>
                <w:rFonts w:cs="Calibri"/>
                <w:color w:val="000000"/>
                <w:sz w:val="20"/>
                <w:szCs w:val="20"/>
                <w:lang w:eastAsia="lt-LT"/>
              </w:rPr>
            </w:pPr>
            <w:r w:rsidRPr="00D6025C">
              <w:rPr>
                <w:rFonts w:cs="Calibri"/>
                <w:color w:val="000000"/>
                <w:sz w:val="20"/>
                <w:szCs w:val="20"/>
                <w:lang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w:t>
            </w:r>
          </w:p>
        </w:tc>
        <w:tc>
          <w:tcPr>
            <w:tcW w:w="4038" w:type="dxa"/>
            <w:vMerge w:val="restart"/>
            <w:tcBorders>
              <w:top w:val="single" w:sz="4" w:space="0" w:color="auto"/>
              <w:left w:val="single" w:sz="4" w:space="0" w:color="auto"/>
              <w:bottom w:val="single" w:sz="4" w:space="0" w:color="auto"/>
              <w:right w:val="single" w:sz="4" w:space="0" w:color="auto"/>
            </w:tcBorders>
            <w:hideMark/>
          </w:tcPr>
          <w:p w14:paraId="55202726" w14:textId="77777777" w:rsidR="00FB4D3E" w:rsidRPr="00E02425" w:rsidRDefault="00FB4D3E" w:rsidP="00FB4D3E">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FB4D3E" w:rsidRPr="00E02425" w14:paraId="36C75479"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5F25D73F"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49BF81E6"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52E7319D" w14:textId="341A14FF" w:rsidR="00FB4D3E" w:rsidRPr="00E02425" w:rsidRDefault="00FB4D3E" w:rsidP="00FB4D3E">
            <w:pPr>
              <w:spacing w:after="0" w:line="240" w:lineRule="auto"/>
              <w:jc w:val="both"/>
              <w:rPr>
                <w:rFonts w:cs="Calibri"/>
                <w:color w:val="000000"/>
                <w:sz w:val="20"/>
                <w:szCs w:val="20"/>
                <w:lang w:eastAsia="lt-LT"/>
              </w:rPr>
            </w:pPr>
            <w:r w:rsidRPr="46A0C2C8">
              <w:rPr>
                <w:rFonts w:cs="Calibri"/>
                <w:color w:val="000000" w:themeColor="text1"/>
                <w:sz w:val="20"/>
                <w:szCs w:val="20"/>
                <w:lang w:eastAsia="lt-LT"/>
              </w:rPr>
              <w:t>Turi būti „KVM over IP“ funkcionalumas (</w:t>
            </w:r>
            <w:r w:rsidRPr="3D922414">
              <w:rPr>
                <w:rFonts w:cs="Calibri"/>
                <w:color w:val="000000" w:themeColor="text1"/>
                <w:sz w:val="20"/>
                <w:szCs w:val="20"/>
                <w:lang w:eastAsia="lt-LT"/>
              </w:rPr>
              <w:t>paaiškinimas:</w:t>
            </w:r>
            <w:r w:rsidRPr="6F99747E">
              <w:rPr>
                <w:rFonts w:cs="Calibri"/>
                <w:color w:val="000000" w:themeColor="text1"/>
                <w:sz w:val="20"/>
                <w:szCs w:val="20"/>
                <w:lang w:eastAsia="lt-LT"/>
              </w:rPr>
              <w:t xml:space="preserve"> </w:t>
            </w:r>
            <w:r w:rsidRPr="3D922414">
              <w:rPr>
                <w:rFonts w:cs="Calibri"/>
                <w:color w:val="000000" w:themeColor="text1"/>
                <w:sz w:val="20"/>
                <w:szCs w:val="20"/>
                <w:lang w:eastAsia="lt-LT"/>
              </w:rPr>
              <w:t>grafinė</w:t>
            </w:r>
            <w:r w:rsidRPr="46A0C2C8">
              <w:rPr>
                <w:rFonts w:cs="Calibri"/>
                <w:color w:val="000000" w:themeColor="text1"/>
                <w:sz w:val="20"/>
                <w:szCs w:val="20"/>
                <w:lang w:eastAsia="lt-LT"/>
              </w:rPr>
              <w:t xml:space="preserve"> nepriklausoma nuo operacinės sistemos sąsaja, virtuali grafinė konsolė, virtualių lokalių CD-ROM įrenginių valdymas).</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0A6744CE"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795A3262" w14:textId="77777777" w:rsidTr="008A4F8D">
        <w:trPr>
          <w:trHeight w:val="511"/>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1800844B"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66DFFF05"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3A47517C" w14:textId="67A44749" w:rsidR="00FB4D3E" w:rsidRPr="00E02425" w:rsidRDefault="00FB4D3E" w:rsidP="00FB4D3E">
            <w:pPr>
              <w:spacing w:after="0" w:line="240" w:lineRule="auto"/>
              <w:jc w:val="both"/>
              <w:rPr>
                <w:rFonts w:cs="Calibri"/>
                <w:color w:val="000000"/>
                <w:sz w:val="20"/>
                <w:szCs w:val="20"/>
                <w:lang w:eastAsia="lt-LT"/>
              </w:rPr>
            </w:pPr>
            <w:r w:rsidRPr="00D6025C">
              <w:rPr>
                <w:rFonts w:cs="Calibri"/>
                <w:color w:val="000000"/>
                <w:sz w:val="20"/>
                <w:szCs w:val="20"/>
                <w:lang w:eastAsia="lt-LT"/>
              </w:rPr>
              <w:t>HTML 5 arba lygiavertė vartotojo sąsaja tiek vartotojo aplinkai, tiek virtualiai konsolei.</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5D0DE6C0"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631E6837" w14:textId="77777777" w:rsidTr="008A4F8D">
        <w:trPr>
          <w:trHeight w:val="511"/>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144BC341"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398E4C96"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231CE445" w14:textId="244FB4C1" w:rsidR="00FB4D3E" w:rsidRPr="00E02425" w:rsidRDefault="00FB4D3E" w:rsidP="00FB4D3E">
            <w:pPr>
              <w:spacing w:after="0" w:line="240" w:lineRule="auto"/>
              <w:jc w:val="both"/>
              <w:rPr>
                <w:rFonts w:cs="Calibri"/>
                <w:color w:val="000000"/>
                <w:sz w:val="20"/>
                <w:szCs w:val="20"/>
                <w:lang w:eastAsia="lt-LT"/>
              </w:rPr>
            </w:pPr>
            <w:r w:rsidRPr="00D6025C">
              <w:rPr>
                <w:rFonts w:cs="Calibri"/>
                <w:color w:val="000000"/>
                <w:sz w:val="20"/>
                <w:szCs w:val="20"/>
                <w:lang w:eastAsia="lt-LT"/>
              </w:rPr>
              <w:t>Sistemos mikrokodo („firmware“) atnaujinimai turi būti apsaugoti kriptografiniu parašu.</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266DF360"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3C213EA1" w14:textId="77777777" w:rsidTr="008A4F8D">
        <w:trPr>
          <w:trHeight w:val="300"/>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2090E49E"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19F44AE"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061ACBC3" w14:textId="20D625E9" w:rsidR="00FB4D3E" w:rsidRPr="00E02425" w:rsidRDefault="00FB4D3E" w:rsidP="00FB4D3E">
            <w:pPr>
              <w:spacing w:after="0" w:line="240" w:lineRule="auto"/>
              <w:jc w:val="both"/>
              <w:rPr>
                <w:rFonts w:cs="Calibri"/>
                <w:color w:val="000000"/>
                <w:sz w:val="20"/>
                <w:szCs w:val="20"/>
                <w:lang w:eastAsia="lt-LT"/>
              </w:rPr>
            </w:pPr>
            <w:r w:rsidRPr="3A89C331">
              <w:rPr>
                <w:rFonts w:cs="Calibri"/>
                <w:color w:val="000000" w:themeColor="text1"/>
                <w:sz w:val="20"/>
                <w:szCs w:val="20"/>
                <w:lang w:eastAsia="lt-LT"/>
              </w:rPr>
              <w:t>Turi palaikyti nuotolinį pilną serverio įtampos išjungimą.</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4D07B7C1"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49510CAB" w14:textId="77777777" w:rsidTr="008A4F8D">
        <w:trPr>
          <w:trHeight w:val="511"/>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626C8652"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869DDD7"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10706A15" w14:textId="52790E4C" w:rsidR="00FB4D3E" w:rsidRPr="00E02425" w:rsidRDefault="00FB4D3E" w:rsidP="00FB4D3E">
            <w:pPr>
              <w:spacing w:after="0" w:line="240" w:lineRule="auto"/>
              <w:jc w:val="both"/>
              <w:rPr>
                <w:rFonts w:cs="Calibri"/>
                <w:color w:val="000000"/>
                <w:sz w:val="20"/>
                <w:szCs w:val="20"/>
                <w:lang w:eastAsia="lt-LT"/>
              </w:rPr>
            </w:pPr>
            <w:r w:rsidRPr="3CBE5034">
              <w:rPr>
                <w:rFonts w:cs="Calibri"/>
                <w:color w:val="000000" w:themeColor="text1"/>
                <w:sz w:val="20"/>
                <w:szCs w:val="20"/>
                <w:lang w:eastAsia="lt-LT"/>
              </w:rPr>
              <w:t xml:space="preserve">Turi palaikyti saugų visišką duomenų sunaikinimą nuotoliniu būdu visų tipų laikmenose, sunaikinant saugomus duomenis HDD, SSD, NVMe, Flash. </w:t>
            </w:r>
          </w:p>
        </w:tc>
        <w:tc>
          <w:tcPr>
            <w:tcW w:w="4038" w:type="dxa"/>
            <w:vMerge/>
            <w:tcBorders>
              <w:top w:val="single" w:sz="4" w:space="0" w:color="auto"/>
              <w:left w:val="single" w:sz="4" w:space="0" w:color="auto"/>
              <w:bottom w:val="single" w:sz="4" w:space="0" w:color="auto"/>
              <w:right w:val="single" w:sz="4" w:space="0" w:color="auto"/>
            </w:tcBorders>
            <w:hideMark/>
          </w:tcPr>
          <w:p w14:paraId="43A26D89"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4FAB83E1"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455FC52D"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61C2D03"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hideMark/>
          </w:tcPr>
          <w:p w14:paraId="01F78185" w14:textId="3CB5DEF3" w:rsidR="00FB4D3E" w:rsidRPr="00E02425" w:rsidRDefault="00FB4D3E" w:rsidP="00FB4D3E">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 xml:space="preserve">Turi palaikyti pilną sistemos nustatymų, įskaitant tinklo, Raid, HBA adapterius, bei sisteminio kodo </w:t>
            </w:r>
            <w:r w:rsidRPr="6A11E61D">
              <w:rPr>
                <w:rFonts w:cs="Calibri"/>
                <w:color w:val="000000" w:themeColor="text1"/>
                <w:sz w:val="20"/>
                <w:szCs w:val="20"/>
                <w:lang w:eastAsia="lt-LT"/>
              </w:rPr>
              <w:lastRenderedPageBreak/>
              <w:t>atnaujinimų užrakinimą nuo neautorizuotų veiksmų, nepriklausomai nuo vartotojų teisių.</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0F306BFD"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3B6A1895"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01EF3DB6"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521F22F7"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tcPr>
          <w:p w14:paraId="01D68ACA" w14:textId="77777777" w:rsidR="00FB4D3E" w:rsidRPr="00301CB2" w:rsidRDefault="00FB4D3E" w:rsidP="00FB4D3E">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 xml:space="preserve">Siūlomi serveriai </w:t>
            </w:r>
            <w:r w:rsidRPr="6A11E61D">
              <w:rPr>
                <w:rFonts w:cs="Calibri"/>
                <w:b/>
                <w:bCs/>
                <w:color w:val="000000" w:themeColor="text1"/>
                <w:sz w:val="20"/>
                <w:szCs w:val="20"/>
                <w:lang w:eastAsia="lt-LT"/>
              </w:rPr>
              <w:t xml:space="preserve">turi būti suderinami </w:t>
            </w:r>
            <w:r w:rsidRPr="6A11E61D">
              <w:rPr>
                <w:rFonts w:cs="Calibri"/>
                <w:color w:val="000000" w:themeColor="text1"/>
                <w:sz w:val="20"/>
                <w:szCs w:val="20"/>
                <w:lang w:eastAsia="lt-LT"/>
              </w:rPr>
              <w:t xml:space="preserve">su kliento naudojama programine valdymo įranga „Open Manage Enterprise“ bei  integruotis su esamos infrastruktūros centralizuotu administravimu, </w:t>
            </w:r>
            <w:r w:rsidRPr="6A11E61D">
              <w:rPr>
                <w:rFonts w:cs="Calibri"/>
                <w:b/>
                <w:bCs/>
                <w:color w:val="000000" w:themeColor="text1"/>
                <w:sz w:val="20"/>
                <w:szCs w:val="20"/>
                <w:lang w:eastAsia="lt-LT"/>
              </w:rPr>
              <w:t>turi būti pateiktos tam būtinos licencijos, kartu su serveriais.</w:t>
            </w:r>
          </w:p>
          <w:p w14:paraId="1E9717A4" w14:textId="77777777" w:rsidR="00FB4D3E" w:rsidRPr="00301CB2" w:rsidRDefault="00FB4D3E" w:rsidP="00FB4D3E">
            <w:pPr>
              <w:spacing w:after="0" w:line="240" w:lineRule="auto"/>
              <w:jc w:val="both"/>
              <w:rPr>
                <w:rFonts w:cs="Calibri"/>
                <w:color w:val="000000"/>
                <w:sz w:val="20"/>
                <w:szCs w:val="20"/>
                <w:lang w:eastAsia="lt-LT"/>
              </w:rPr>
            </w:pPr>
          </w:p>
          <w:p w14:paraId="2572A129" w14:textId="77777777" w:rsidR="00FB4D3E" w:rsidRPr="00301CB2" w:rsidRDefault="00FB4D3E" w:rsidP="00FB4D3E">
            <w:pPr>
              <w:spacing w:after="0" w:line="240" w:lineRule="auto"/>
              <w:jc w:val="both"/>
              <w:rPr>
                <w:rFonts w:cs="Calibri"/>
                <w:color w:val="000000"/>
                <w:sz w:val="20"/>
                <w:szCs w:val="20"/>
                <w:lang w:eastAsia="lt-LT"/>
              </w:rPr>
            </w:pPr>
            <w:r w:rsidRPr="79520019">
              <w:rPr>
                <w:rFonts w:cs="Calibri"/>
                <w:color w:val="000000" w:themeColor="text1"/>
                <w:sz w:val="20"/>
                <w:szCs w:val="20"/>
                <w:lang w:eastAsia="lt-LT"/>
              </w:rPr>
              <w:t>Nesant integracijos galimybės, turi būti pateikta programinė valdymo įranga,  suderinama su kliento naudojamais serveriais,  įgalinanti atlikti visų serverių, įskaitant kliento turimas bei naudojamus serverius, centralizuotą administravimą. Programinė įranga turi integruotis į Microsoft Admin Center, VMware vCenter, turi stebėti, valdyti bei centralizuotai atnaujinti visus serverius, palaikyti greitą serverių instaliavimą panaudojant šablonus.</w:t>
            </w:r>
          </w:p>
          <w:p w14:paraId="399D5D50" w14:textId="77777777" w:rsidR="00FB4D3E" w:rsidRPr="00301CB2" w:rsidRDefault="00FB4D3E" w:rsidP="00FB4D3E">
            <w:pPr>
              <w:spacing w:after="0" w:line="240" w:lineRule="auto"/>
              <w:jc w:val="both"/>
              <w:rPr>
                <w:rFonts w:cs="Calibri"/>
                <w:color w:val="000000"/>
                <w:sz w:val="20"/>
                <w:szCs w:val="20"/>
                <w:lang w:eastAsia="lt-LT"/>
              </w:rPr>
            </w:pPr>
          </w:p>
          <w:p w14:paraId="7B07B1E0" w14:textId="73CCAC24" w:rsidR="00FB4D3E" w:rsidRPr="00E02425" w:rsidRDefault="00FB4D3E" w:rsidP="00FB4D3E">
            <w:pPr>
              <w:spacing w:after="0" w:line="240" w:lineRule="auto"/>
              <w:jc w:val="both"/>
              <w:rPr>
                <w:rFonts w:cs="Calibri"/>
                <w:sz w:val="20"/>
                <w:szCs w:val="20"/>
                <w:lang w:eastAsia="lt-LT"/>
              </w:rPr>
            </w:pPr>
            <w:r w:rsidRPr="574A36EB">
              <w:rPr>
                <w:rFonts w:cs="Calibri"/>
                <w:color w:val="000000" w:themeColor="text1"/>
                <w:sz w:val="20"/>
                <w:szCs w:val="20"/>
                <w:lang w:eastAsia="lt-LT"/>
              </w:rPr>
              <w:t>Siūlant naują administravimo programinę įrangą, turi būti įskaičiuotos visos išlaidos, susijusios su jos instaliavimu bei migracija iš dabartinės sistemos, taip pat licencijos kliento turimiems serveriams.</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713FE611"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FB4D3E" w:rsidRPr="00E02425" w14:paraId="148DF7A5" w14:textId="77777777" w:rsidTr="008A4F8D">
        <w:trPr>
          <w:trHeight w:val="767"/>
          <w:jc w:val="center"/>
        </w:trPr>
        <w:tc>
          <w:tcPr>
            <w:tcW w:w="837" w:type="dxa"/>
            <w:vMerge/>
            <w:tcBorders>
              <w:top w:val="single" w:sz="4" w:space="0" w:color="auto"/>
              <w:left w:val="single" w:sz="4" w:space="0" w:color="auto"/>
              <w:bottom w:val="single" w:sz="4" w:space="0" w:color="auto"/>
              <w:right w:val="single" w:sz="4" w:space="0" w:color="auto"/>
            </w:tcBorders>
            <w:vAlign w:val="center"/>
          </w:tcPr>
          <w:p w14:paraId="703DD016" w14:textId="77777777" w:rsidR="00FB4D3E" w:rsidRPr="00E02425" w:rsidRDefault="00FB4D3E" w:rsidP="00FB4D3E">
            <w:pPr>
              <w:pStyle w:val="ListParagraph"/>
              <w:numPr>
                <w:ilvl w:val="0"/>
                <w:numId w:val="4"/>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E64D288" w14:textId="77777777" w:rsidR="00FB4D3E" w:rsidRPr="00E02425" w:rsidRDefault="00FB4D3E" w:rsidP="00FB4D3E">
            <w:pPr>
              <w:spacing w:after="0" w:line="240" w:lineRule="auto"/>
              <w:rPr>
                <w:rFonts w:cs="Calibri"/>
                <w:color w:val="000000"/>
                <w:sz w:val="20"/>
                <w:szCs w:val="20"/>
                <w:lang w:eastAsia="lt-LT"/>
              </w:rPr>
            </w:pPr>
          </w:p>
        </w:tc>
        <w:tc>
          <w:tcPr>
            <w:tcW w:w="4204" w:type="dxa"/>
            <w:tcBorders>
              <w:top w:val="single" w:sz="4" w:space="0" w:color="auto"/>
              <w:left w:val="single" w:sz="4" w:space="0" w:color="auto"/>
              <w:bottom w:val="single" w:sz="4" w:space="0" w:color="auto"/>
              <w:right w:val="single" w:sz="4" w:space="0" w:color="auto"/>
            </w:tcBorders>
          </w:tcPr>
          <w:p w14:paraId="45D93A8F" w14:textId="77777777" w:rsidR="00FB4D3E" w:rsidRPr="00865A18" w:rsidRDefault="00FB4D3E" w:rsidP="00FB4D3E">
            <w:pPr>
              <w:spacing w:after="0" w:line="240" w:lineRule="auto"/>
              <w:jc w:val="both"/>
              <w:rPr>
                <w:rFonts w:cs="Calibri"/>
                <w:color w:val="000000"/>
                <w:sz w:val="20"/>
                <w:szCs w:val="20"/>
                <w:lang w:eastAsia="lt-LT"/>
              </w:rPr>
            </w:pPr>
            <w:r w:rsidRPr="3118F682">
              <w:rPr>
                <w:rFonts w:cs="Calibri"/>
                <w:color w:val="000000" w:themeColor="text1"/>
                <w:sz w:val="20"/>
                <w:szCs w:val="20"/>
                <w:lang w:eastAsia="lt-LT"/>
              </w:rPr>
              <w:t xml:space="preserve">Siūlomi </w:t>
            </w:r>
            <w:r w:rsidRPr="00865A18">
              <w:rPr>
                <w:rFonts w:cs="Calibri"/>
                <w:color w:val="000000" w:themeColor="text1"/>
                <w:sz w:val="20"/>
                <w:szCs w:val="20"/>
                <w:lang w:eastAsia="lt-LT"/>
              </w:rPr>
              <w:t xml:space="preserve">serveriai turi būti suderinami su kliento naudojama stebėjimo (monitoringo)  programine  įranga CloudIQ (AIOPS), turi būti pateiktos tam būtinos licencijos, kartu su serveriais, </w:t>
            </w:r>
          </w:p>
          <w:p w14:paraId="39A86CE5" w14:textId="77777777" w:rsidR="00FB4D3E" w:rsidRPr="00865A18" w:rsidRDefault="00FB4D3E" w:rsidP="00FB4D3E">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 xml:space="preserve">Nesant integracijos galimybės, turi būti pateikta stebėjimo (monitoringo)  programinė įranga,  suderinama su kliento naudojamais serveriais, įgalinanti atlikti nuolatinį įrangos parametrų stebėjimą, kaupti istorinę veiklos duomenų statistiką ne mažiau kaip 2 metus ir atlikti jų analizę. </w:t>
            </w:r>
          </w:p>
          <w:p w14:paraId="0D666B14" w14:textId="77777777" w:rsidR="00FB4D3E" w:rsidRPr="00865A18" w:rsidRDefault="00FB4D3E" w:rsidP="00FB4D3E">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 xml:space="preserve">Duomenys turi būti pateikiami grafiškai, įvairiais pjūviais (pagal laiko periodą, įrangos elementus). Turi būti pateikta pilnaverčiam (maksimaliai detaliam) ilgalaikiam ne mažiau kaip 2 m. statistinių duomenų saugojimui reikalinga diskinė talpa ir veiklai reikalingi virtualizuoti resursai, kuri nebūtų įskaičiuojama į serverių naudingą talpą arba istorinė informacija ne mažiau kaip 2 metus turi būti saugoma gamintojo debesijos resursuose be papildomo mokesčio.  </w:t>
            </w:r>
          </w:p>
          <w:p w14:paraId="2D26A899" w14:textId="77777777" w:rsidR="00FB4D3E" w:rsidRPr="00CD6D78" w:rsidRDefault="00FB4D3E" w:rsidP="00FB4D3E">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Stebėjimo ir analizės duomenys</w:t>
            </w:r>
            <w:r w:rsidRPr="1CF22A8B">
              <w:rPr>
                <w:rFonts w:cs="Calibri"/>
                <w:color w:val="000000" w:themeColor="text1"/>
                <w:sz w:val="20"/>
                <w:szCs w:val="20"/>
                <w:lang w:eastAsia="lt-LT"/>
              </w:rPr>
              <w:t xml:space="preserve"> turi būti matomi ir pakeitimai atliekami tiek interneto naršyklėje, tiek ir specializuotoje programėlėje mobiliuose įrenginiuose veikiančiuose iOS bei Android operacinėje sistemose. </w:t>
            </w:r>
          </w:p>
          <w:p w14:paraId="3F1EB040" w14:textId="77777777" w:rsidR="00FB4D3E" w:rsidRPr="00CD6D78" w:rsidRDefault="00FB4D3E" w:rsidP="00FB4D3E">
            <w:pPr>
              <w:spacing w:after="0" w:line="240" w:lineRule="auto"/>
              <w:jc w:val="both"/>
              <w:rPr>
                <w:rFonts w:cs="Calibri"/>
                <w:color w:val="000000"/>
                <w:sz w:val="20"/>
                <w:szCs w:val="20"/>
                <w:lang w:eastAsia="lt-LT"/>
              </w:rPr>
            </w:pPr>
          </w:p>
          <w:p w14:paraId="175C69B5" w14:textId="77777777" w:rsidR="00FB4D3E" w:rsidRPr="00CD6D78" w:rsidRDefault="00FB4D3E" w:rsidP="00FB4D3E">
            <w:pPr>
              <w:spacing w:after="0" w:line="240" w:lineRule="auto"/>
              <w:jc w:val="both"/>
              <w:rPr>
                <w:rFonts w:cs="Calibri"/>
                <w:color w:val="000000"/>
                <w:sz w:val="20"/>
                <w:szCs w:val="20"/>
                <w:lang w:eastAsia="lt-LT"/>
              </w:rPr>
            </w:pPr>
            <w:r>
              <w:rPr>
                <w:rFonts w:cs="Calibri"/>
                <w:color w:val="000000"/>
                <w:sz w:val="20"/>
                <w:szCs w:val="20"/>
                <w:lang w:eastAsia="lt-LT"/>
              </w:rPr>
              <w:t xml:space="preserve">Serveris </w:t>
            </w:r>
            <w:r w:rsidRPr="00CD6D78">
              <w:rPr>
                <w:rFonts w:cs="Calibri"/>
                <w:color w:val="000000"/>
                <w:sz w:val="20"/>
                <w:szCs w:val="20"/>
                <w:lang w:eastAsia="lt-LT"/>
              </w:rPr>
              <w:t>turi informuoti valdymo sąsajoje bei el. paštu apie standžiųjų diskų, valdiklių, maitinimo šaltinių gedimus, kitus sutrikimus ir nukrypimus nuo normalaus darbo.</w:t>
            </w:r>
          </w:p>
          <w:p w14:paraId="4F501227" w14:textId="77777777" w:rsidR="00FB4D3E" w:rsidRPr="00CD6D78" w:rsidRDefault="00FB4D3E" w:rsidP="00FB4D3E">
            <w:pPr>
              <w:spacing w:after="0" w:line="240" w:lineRule="auto"/>
              <w:jc w:val="both"/>
              <w:rPr>
                <w:rFonts w:cs="Calibri"/>
                <w:color w:val="000000"/>
                <w:sz w:val="20"/>
                <w:szCs w:val="20"/>
                <w:lang w:eastAsia="lt-LT"/>
              </w:rPr>
            </w:pPr>
          </w:p>
          <w:p w14:paraId="4DD5545C" w14:textId="77777777" w:rsidR="00FB4D3E" w:rsidRPr="00CD6D78" w:rsidRDefault="00FB4D3E" w:rsidP="00FB4D3E">
            <w:pPr>
              <w:spacing w:after="0" w:line="240" w:lineRule="auto"/>
              <w:jc w:val="both"/>
              <w:rPr>
                <w:rFonts w:cs="Calibri"/>
                <w:sz w:val="20"/>
                <w:szCs w:val="20"/>
                <w:lang w:eastAsia="lt-LT"/>
              </w:rPr>
            </w:pPr>
            <w:r w:rsidRPr="00CD6D78">
              <w:rPr>
                <w:rFonts w:cs="Calibri"/>
                <w:sz w:val="20"/>
                <w:szCs w:val="20"/>
                <w:lang w:eastAsia="lt-LT"/>
              </w:rPr>
              <w:t xml:space="preserve">Stebėjimo (monitoringo) programinė įranga turi palaikyti visą gamintojo aparatinę įrangą - įskaitant ir neapsiribojant </w:t>
            </w:r>
            <w:r>
              <w:rPr>
                <w:rFonts w:cs="Calibri"/>
                <w:sz w:val="20"/>
                <w:szCs w:val="20"/>
                <w:lang w:eastAsia="lt-LT"/>
              </w:rPr>
              <w:t>- serverius</w:t>
            </w:r>
            <w:r w:rsidRPr="00CD6D78">
              <w:rPr>
                <w:rFonts w:cs="Calibri"/>
                <w:sz w:val="20"/>
                <w:szCs w:val="20"/>
                <w:lang w:eastAsia="lt-LT"/>
              </w:rPr>
              <w:t xml:space="preserve">, saugyklas, </w:t>
            </w:r>
            <w:r w:rsidRPr="00CD6D78">
              <w:rPr>
                <w:rFonts w:cs="Calibri"/>
                <w:sz w:val="20"/>
                <w:szCs w:val="20"/>
                <w:lang w:eastAsia="lt-LT"/>
              </w:rPr>
              <w:lastRenderedPageBreak/>
              <w:t xml:space="preserve">rezervinio kopijavimo įrangą, SAN bei LAN komutatorius. </w:t>
            </w:r>
          </w:p>
          <w:p w14:paraId="78059B8F" w14:textId="43FD7AC5" w:rsidR="00FB4D3E" w:rsidRPr="00E02425" w:rsidRDefault="00FB4D3E" w:rsidP="00FB4D3E">
            <w:pPr>
              <w:spacing w:after="0" w:line="240" w:lineRule="auto"/>
              <w:jc w:val="both"/>
              <w:rPr>
                <w:rFonts w:cs="Calibri"/>
                <w:color w:val="000000"/>
                <w:sz w:val="20"/>
                <w:szCs w:val="20"/>
                <w:lang w:eastAsia="lt-LT"/>
              </w:rPr>
            </w:pPr>
            <w:r w:rsidRPr="7D63249D">
              <w:rPr>
                <w:rFonts w:cs="Calibri"/>
                <w:color w:val="000000" w:themeColor="text1"/>
                <w:sz w:val="20"/>
                <w:szCs w:val="20"/>
                <w:lang w:eastAsia="lt-LT"/>
              </w:rPr>
              <w:t>Siūlant naują stebėjimo (monitoringo) programinę įrangą, turi būti įskaičiuotos visos išlaidos, susijusios su jos instaliavimu bei migracija iš dabartinės sistemos, taip pat licencijos kliento turimiems serveriams .</w:t>
            </w:r>
          </w:p>
        </w:tc>
        <w:tc>
          <w:tcPr>
            <w:tcW w:w="4038" w:type="dxa"/>
            <w:vMerge/>
            <w:tcBorders>
              <w:top w:val="single" w:sz="4" w:space="0" w:color="auto"/>
              <w:left w:val="single" w:sz="4" w:space="0" w:color="auto"/>
              <w:bottom w:val="single" w:sz="4" w:space="0" w:color="auto"/>
              <w:right w:val="single" w:sz="4" w:space="0" w:color="auto"/>
            </w:tcBorders>
            <w:vAlign w:val="center"/>
            <w:hideMark/>
          </w:tcPr>
          <w:p w14:paraId="0A2DA7E0" w14:textId="77777777" w:rsidR="00FB4D3E" w:rsidRPr="00E02425" w:rsidRDefault="00FB4D3E" w:rsidP="00FB4D3E">
            <w:pPr>
              <w:tabs>
                <w:tab w:val="left" w:pos="1318"/>
              </w:tabs>
              <w:spacing w:after="0" w:line="240" w:lineRule="auto"/>
              <w:ind w:left="42" w:hanging="42"/>
              <w:rPr>
                <w:rFonts w:cs="Calibri"/>
                <w:color w:val="000000"/>
                <w:sz w:val="20"/>
                <w:szCs w:val="20"/>
                <w:lang w:eastAsia="lt-LT"/>
              </w:rPr>
            </w:pPr>
          </w:p>
        </w:tc>
      </w:tr>
      <w:tr w:rsidR="00201EFA" w:rsidRPr="00E02425" w14:paraId="2BF7604B" w14:textId="77777777" w:rsidTr="008A4F8D">
        <w:trPr>
          <w:trHeight w:val="274"/>
          <w:jc w:val="center"/>
        </w:trPr>
        <w:tc>
          <w:tcPr>
            <w:tcW w:w="837" w:type="dxa"/>
            <w:tcBorders>
              <w:top w:val="single" w:sz="4" w:space="0" w:color="auto"/>
              <w:left w:val="single" w:sz="4" w:space="0" w:color="auto"/>
              <w:bottom w:val="single" w:sz="4" w:space="0" w:color="auto"/>
              <w:right w:val="single" w:sz="4" w:space="0" w:color="auto"/>
            </w:tcBorders>
          </w:tcPr>
          <w:p w14:paraId="2562426B"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459AD5AB"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Valdymo modulio funkcionalumas</w:t>
            </w:r>
          </w:p>
        </w:tc>
        <w:tc>
          <w:tcPr>
            <w:tcW w:w="4204" w:type="dxa"/>
            <w:tcBorders>
              <w:top w:val="single" w:sz="4" w:space="0" w:color="auto"/>
              <w:left w:val="nil"/>
              <w:bottom w:val="single" w:sz="4" w:space="0" w:color="auto"/>
              <w:right w:val="single" w:sz="4" w:space="0" w:color="auto"/>
            </w:tcBorders>
            <w:hideMark/>
          </w:tcPr>
          <w:p w14:paraId="6003CFF2" w14:textId="7166ED20" w:rsidR="00201EFA" w:rsidRPr="00E02425" w:rsidRDefault="00201EFA" w:rsidP="00755125">
            <w:pPr>
              <w:spacing w:after="0" w:line="240" w:lineRule="auto"/>
              <w:jc w:val="both"/>
              <w:rPr>
                <w:rFonts w:cs="Calibri"/>
                <w:color w:val="000000"/>
                <w:sz w:val="20"/>
                <w:szCs w:val="20"/>
                <w:lang w:eastAsia="lt-LT"/>
              </w:rPr>
            </w:pPr>
            <w:r w:rsidRPr="413BC066">
              <w:rPr>
                <w:rFonts w:cs="Calibri"/>
                <w:color w:val="000000" w:themeColor="text1"/>
                <w:sz w:val="20"/>
                <w:szCs w:val="20"/>
                <w:lang w:eastAsia="lt-LT"/>
              </w:rPr>
              <w:t xml:space="preserve">Valdymo modulis turi turėti </w:t>
            </w:r>
            <w:r w:rsidR="58B902E0" w:rsidRPr="24B581A1">
              <w:rPr>
                <w:rFonts w:cs="Calibri"/>
                <w:color w:val="000000" w:themeColor="text1"/>
                <w:sz w:val="20"/>
                <w:szCs w:val="20"/>
                <w:lang w:eastAsia="lt-LT"/>
              </w:rPr>
              <w:t>ne mažiau</w:t>
            </w:r>
            <w:r w:rsidRPr="413BC066">
              <w:rPr>
                <w:rFonts w:cs="Calibri"/>
                <w:color w:val="000000" w:themeColor="text1"/>
                <w:sz w:val="20"/>
                <w:szCs w:val="20"/>
                <w:lang w:eastAsia="lt-LT"/>
              </w:rPr>
              <w:t xml:space="preserve"> </w:t>
            </w:r>
            <w:r w:rsidR="58B902E0" w:rsidRPr="72019846">
              <w:rPr>
                <w:rFonts w:cs="Calibri"/>
                <w:color w:val="000000" w:themeColor="text1"/>
                <w:sz w:val="20"/>
                <w:szCs w:val="20"/>
                <w:lang w:eastAsia="lt-LT"/>
              </w:rPr>
              <w:t>kaip</w:t>
            </w:r>
            <w:r w:rsidRPr="72019846">
              <w:rPr>
                <w:rFonts w:cs="Calibri"/>
                <w:color w:val="000000" w:themeColor="text1"/>
                <w:sz w:val="20"/>
                <w:szCs w:val="20"/>
                <w:lang w:eastAsia="lt-LT"/>
              </w:rPr>
              <w:t xml:space="preserve"> </w:t>
            </w:r>
            <w:r w:rsidRPr="413BC066">
              <w:rPr>
                <w:rFonts w:cs="Calibri"/>
                <w:color w:val="000000" w:themeColor="text1"/>
                <w:sz w:val="20"/>
                <w:szCs w:val="20"/>
                <w:lang w:eastAsia="lt-LT"/>
              </w:rPr>
              <w:t>šias funkcionalumo savybes:</w:t>
            </w:r>
            <w:r>
              <w:br/>
            </w:r>
            <w:r w:rsidRPr="413BC066">
              <w:rPr>
                <w:rFonts w:cs="Calibri"/>
                <w:color w:val="000000" w:themeColor="text1"/>
                <w:sz w:val="20"/>
                <w:szCs w:val="20"/>
                <w:lang w:eastAsia="lt-LT"/>
              </w:rPr>
              <w:t>Automatizuoto SSL sertifikatų instaliavimo ir atnaujinimo palaikymas</w:t>
            </w:r>
            <w:r w:rsidR="702ABEBC" w:rsidRPr="1E339D3F">
              <w:rPr>
                <w:rFonts w:cs="Calibri"/>
                <w:color w:val="000000" w:themeColor="text1"/>
                <w:sz w:val="20"/>
                <w:szCs w:val="20"/>
                <w:lang w:eastAsia="lt-LT"/>
              </w:rPr>
              <w:t>,</w:t>
            </w:r>
            <w:r w:rsidRPr="413BC066">
              <w:rPr>
                <w:rFonts w:cs="Calibri"/>
                <w:color w:val="000000" w:themeColor="text1"/>
                <w:sz w:val="20"/>
                <w:szCs w:val="20"/>
                <w:lang w:eastAsia="lt-LT"/>
              </w:rPr>
              <w:t xml:space="preserve"> </w:t>
            </w:r>
          </w:p>
          <w:p w14:paraId="0D4D540E" w14:textId="5BD435E7" w:rsidR="00201EFA" w:rsidRPr="00E02425" w:rsidRDefault="00201EFA" w:rsidP="00755125">
            <w:pPr>
              <w:spacing w:after="0" w:line="240" w:lineRule="auto"/>
              <w:jc w:val="both"/>
              <w:rPr>
                <w:rFonts w:cs="Calibri"/>
                <w:color w:val="000000"/>
                <w:sz w:val="20"/>
                <w:szCs w:val="20"/>
                <w:lang w:eastAsia="lt-LT"/>
              </w:rPr>
            </w:pPr>
            <w:r w:rsidRPr="57CDA8E1">
              <w:rPr>
                <w:rFonts w:cs="Calibri"/>
                <w:color w:val="000000" w:themeColor="text1"/>
                <w:sz w:val="20"/>
                <w:szCs w:val="20"/>
                <w:lang w:eastAsia="lt-LT"/>
              </w:rPr>
              <w:t>Telemetrinio visų stebimų serverio parametrų srauto pateikimas realiu laiku</w:t>
            </w:r>
            <w:r w:rsidR="17DEBFBC" w:rsidRPr="57CDA8E1">
              <w:rPr>
                <w:rFonts w:cs="Calibri"/>
                <w:color w:val="000000" w:themeColor="text1"/>
                <w:sz w:val="20"/>
                <w:szCs w:val="20"/>
                <w:lang w:eastAsia="lt-LT"/>
              </w:rPr>
              <w:t>,</w:t>
            </w:r>
            <w:r w:rsidRPr="57CDA8E1">
              <w:rPr>
                <w:rFonts w:cs="Calibri"/>
                <w:color w:val="000000" w:themeColor="text1"/>
                <w:sz w:val="20"/>
                <w:szCs w:val="20"/>
                <w:lang w:eastAsia="lt-LT"/>
              </w:rPr>
              <w:t xml:space="preserve"> </w:t>
            </w:r>
          </w:p>
          <w:p w14:paraId="6A9E4818" w14:textId="424BE6F6" w:rsidR="00201EFA" w:rsidRPr="00E02425" w:rsidRDefault="00201EFA" w:rsidP="00755125">
            <w:pPr>
              <w:spacing w:after="0" w:line="240" w:lineRule="auto"/>
              <w:jc w:val="both"/>
              <w:rPr>
                <w:rFonts w:cs="Calibri"/>
                <w:strike/>
                <w:color w:val="000000"/>
                <w:sz w:val="20"/>
                <w:szCs w:val="20"/>
                <w:lang w:eastAsia="lt-LT"/>
              </w:rPr>
            </w:pPr>
            <w:r w:rsidRPr="00E02425">
              <w:rPr>
                <w:rFonts w:cs="Calibri"/>
                <w:color w:val="000000"/>
                <w:sz w:val="20"/>
                <w:szCs w:val="20"/>
                <w:lang w:eastAsia="lt-LT"/>
              </w:rPr>
              <w:t>Kietųjų diskų SMART duomenų pateikimas</w:t>
            </w:r>
            <w:r w:rsidR="00063EAA">
              <w:rPr>
                <w:rFonts w:cs="Calibri"/>
                <w:color w:val="000000"/>
                <w:sz w:val="20"/>
                <w:szCs w:val="20"/>
                <w:lang w:eastAsia="lt-LT"/>
              </w:rPr>
              <w:t>,</w:t>
            </w:r>
            <w:r w:rsidRPr="00E02425">
              <w:rPr>
                <w:rFonts w:cs="Calibri"/>
                <w:color w:val="000000"/>
                <w:sz w:val="20"/>
                <w:szCs w:val="20"/>
                <w:lang w:eastAsia="lt-LT"/>
              </w:rPr>
              <w:t xml:space="preserve"> </w:t>
            </w:r>
            <w:r w:rsidRPr="00E02425">
              <w:rPr>
                <w:rFonts w:cs="Calibri"/>
                <w:color w:val="000000"/>
                <w:sz w:val="20"/>
                <w:szCs w:val="20"/>
                <w:lang w:eastAsia="lt-LT"/>
              </w:rPr>
              <w:br/>
              <w:t xml:space="preserve">Serverio neveiklumo aptikimas („idle server detection“). </w:t>
            </w:r>
          </w:p>
        </w:tc>
        <w:tc>
          <w:tcPr>
            <w:tcW w:w="4038" w:type="dxa"/>
            <w:tcBorders>
              <w:top w:val="single" w:sz="4" w:space="0" w:color="auto"/>
              <w:left w:val="nil"/>
              <w:bottom w:val="single" w:sz="4" w:space="0" w:color="auto"/>
              <w:right w:val="single" w:sz="4" w:space="0" w:color="auto"/>
            </w:tcBorders>
            <w:hideMark/>
          </w:tcPr>
          <w:p w14:paraId="5540A499"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201EFA" w:rsidRPr="00E02425" w14:paraId="29DDE4E9" w14:textId="77777777" w:rsidTr="008A4F8D">
        <w:trPr>
          <w:trHeight w:val="992"/>
          <w:jc w:val="center"/>
        </w:trPr>
        <w:tc>
          <w:tcPr>
            <w:tcW w:w="837" w:type="dxa"/>
            <w:tcBorders>
              <w:top w:val="nil"/>
              <w:left w:val="single" w:sz="4" w:space="0" w:color="auto"/>
              <w:bottom w:val="single" w:sz="4" w:space="0" w:color="auto"/>
              <w:right w:val="single" w:sz="4" w:space="0" w:color="auto"/>
            </w:tcBorders>
          </w:tcPr>
          <w:p w14:paraId="4C35E780" w14:textId="77777777" w:rsidR="00201EFA" w:rsidRPr="00E02425" w:rsidRDefault="00201EFA" w:rsidP="00201EFA">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4AFEF390" w14:textId="77777777" w:rsidR="00201EFA" w:rsidRPr="00E02425" w:rsidRDefault="00201EFA" w:rsidP="00755125">
            <w:pPr>
              <w:spacing w:after="0" w:line="240" w:lineRule="auto"/>
              <w:jc w:val="center"/>
              <w:rPr>
                <w:rFonts w:cs="Calibri"/>
                <w:color w:val="000000"/>
                <w:sz w:val="20"/>
                <w:szCs w:val="20"/>
                <w:lang w:eastAsia="lt-LT"/>
              </w:rPr>
            </w:pPr>
            <w:r w:rsidRPr="00E02425">
              <w:rPr>
                <w:rFonts w:cs="Calibri"/>
                <w:color w:val="000000"/>
                <w:sz w:val="20"/>
                <w:szCs w:val="20"/>
                <w:lang w:eastAsia="lt-LT"/>
              </w:rPr>
              <w:t>Suderinamumas</w:t>
            </w:r>
          </w:p>
        </w:tc>
        <w:tc>
          <w:tcPr>
            <w:tcW w:w="4204" w:type="dxa"/>
            <w:tcBorders>
              <w:top w:val="nil"/>
              <w:left w:val="nil"/>
              <w:bottom w:val="single" w:sz="4" w:space="0" w:color="auto"/>
              <w:right w:val="single" w:sz="4" w:space="0" w:color="auto"/>
            </w:tcBorders>
            <w:hideMark/>
          </w:tcPr>
          <w:p w14:paraId="31D2C1E4" w14:textId="5687337A" w:rsidR="00201EFA" w:rsidRPr="00E02425" w:rsidRDefault="63061DBE" w:rsidP="00755125">
            <w:pPr>
              <w:spacing w:after="0" w:line="240" w:lineRule="auto"/>
              <w:jc w:val="both"/>
              <w:rPr>
                <w:rFonts w:cs="Calibri"/>
                <w:color w:val="000000"/>
                <w:sz w:val="20"/>
                <w:szCs w:val="20"/>
                <w:lang w:eastAsia="lt-LT"/>
              </w:rPr>
            </w:pPr>
            <w:r w:rsidRPr="3C2876EF">
              <w:rPr>
                <w:rFonts w:cs="Calibri"/>
                <w:color w:val="000000" w:themeColor="text1"/>
                <w:sz w:val="20"/>
                <w:szCs w:val="20"/>
                <w:lang w:eastAsia="lt-LT"/>
              </w:rPr>
              <w:t xml:space="preserve">Siūlomas serverio modelis privalo būti sertifikuotas darbui su </w:t>
            </w:r>
            <w:r w:rsidR="0CBA12ED" w:rsidRPr="3C2876EF">
              <w:rPr>
                <w:rFonts w:cs="Calibri"/>
                <w:color w:val="000000" w:themeColor="text1"/>
                <w:sz w:val="20"/>
                <w:szCs w:val="20"/>
                <w:lang w:eastAsia="lt-LT"/>
              </w:rPr>
              <w:t xml:space="preserve">ne mažiau kaip šiomis </w:t>
            </w:r>
            <w:r w:rsidRPr="3C2876EF">
              <w:rPr>
                <w:rFonts w:cs="Calibri"/>
                <w:color w:val="000000" w:themeColor="text1"/>
                <w:sz w:val="20"/>
                <w:szCs w:val="20"/>
                <w:lang w:eastAsia="lt-LT"/>
              </w:rPr>
              <w:t>operacinėmis sistemomis</w:t>
            </w:r>
            <w:r w:rsidR="023C055A" w:rsidRPr="3C2876EF">
              <w:rPr>
                <w:rFonts w:cs="Calibri"/>
                <w:color w:val="000000" w:themeColor="text1"/>
                <w:sz w:val="20"/>
                <w:szCs w:val="20"/>
                <w:lang w:eastAsia="lt-LT"/>
              </w:rPr>
              <w:t>:</w:t>
            </w:r>
            <w:r w:rsidRPr="3C2876EF">
              <w:rPr>
                <w:rFonts w:cs="Calibri"/>
                <w:color w:val="000000" w:themeColor="text1"/>
                <w:sz w:val="20"/>
                <w:szCs w:val="20"/>
                <w:lang w:eastAsia="lt-LT"/>
              </w:rPr>
              <w:t xml:space="preserve"> Microsoft Windows Server (Standard /Enterprise/Datacenter Editions) 32/64-bit, Red Hat Enterprise, SUSE LINUX Enterprise Server, VMware vSphere. </w:t>
            </w:r>
          </w:p>
        </w:tc>
        <w:tc>
          <w:tcPr>
            <w:tcW w:w="4038" w:type="dxa"/>
            <w:tcBorders>
              <w:top w:val="nil"/>
              <w:left w:val="nil"/>
              <w:bottom w:val="single" w:sz="4" w:space="0" w:color="auto"/>
              <w:right w:val="single" w:sz="4" w:space="0" w:color="auto"/>
            </w:tcBorders>
            <w:hideMark/>
          </w:tcPr>
          <w:p w14:paraId="7D6514DA" w14:textId="77777777" w:rsidR="00201EFA" w:rsidRPr="00E02425" w:rsidRDefault="00201EFA" w:rsidP="00755125">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t> </w:t>
            </w:r>
          </w:p>
        </w:tc>
      </w:tr>
      <w:tr w:rsidR="00CB2687" w:rsidRPr="00E02425" w14:paraId="753F6D49" w14:textId="77777777" w:rsidTr="008A4F8D">
        <w:trPr>
          <w:trHeight w:val="1408"/>
          <w:jc w:val="center"/>
        </w:trPr>
        <w:tc>
          <w:tcPr>
            <w:tcW w:w="837" w:type="dxa"/>
            <w:tcBorders>
              <w:top w:val="nil"/>
              <w:left w:val="single" w:sz="4" w:space="0" w:color="auto"/>
              <w:bottom w:val="single" w:sz="4" w:space="0" w:color="auto"/>
              <w:right w:val="single" w:sz="4" w:space="0" w:color="auto"/>
            </w:tcBorders>
          </w:tcPr>
          <w:p w14:paraId="40A37FE8" w14:textId="77777777" w:rsidR="00CB2687" w:rsidRPr="00E02425" w:rsidRDefault="00CB2687" w:rsidP="00CB2687">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hideMark/>
          </w:tcPr>
          <w:p w14:paraId="5B6EC923" w14:textId="5CA494CE" w:rsidR="00CB2687" w:rsidRPr="00E02425" w:rsidRDefault="00CB2687" w:rsidP="00CB2687">
            <w:pPr>
              <w:spacing w:after="0" w:line="240" w:lineRule="auto"/>
              <w:jc w:val="center"/>
              <w:rPr>
                <w:rFonts w:cs="Calibri"/>
                <w:color w:val="000000"/>
                <w:sz w:val="20"/>
                <w:szCs w:val="20"/>
                <w:lang w:eastAsia="lt-LT"/>
              </w:rPr>
            </w:pPr>
            <w:r w:rsidRPr="123FE1F1">
              <w:rPr>
                <w:rFonts w:cs="Calibri"/>
                <w:color w:val="000000" w:themeColor="text1"/>
                <w:sz w:val="20"/>
                <w:szCs w:val="20"/>
                <w:lang w:eastAsia="lt-LT"/>
              </w:rPr>
              <w:t>Garantinė techninė priežiūra*</w:t>
            </w:r>
          </w:p>
        </w:tc>
        <w:tc>
          <w:tcPr>
            <w:tcW w:w="4204" w:type="dxa"/>
            <w:tcBorders>
              <w:top w:val="single" w:sz="4" w:space="0" w:color="auto"/>
              <w:left w:val="nil"/>
              <w:bottom w:val="single" w:sz="4" w:space="0" w:color="auto"/>
              <w:right w:val="single" w:sz="4" w:space="0" w:color="auto"/>
            </w:tcBorders>
            <w:hideMark/>
          </w:tcPr>
          <w:p w14:paraId="2BEB2113" w14:textId="7467157A" w:rsidR="00CB2687" w:rsidRPr="00865A18" w:rsidRDefault="00CB2687" w:rsidP="00CB2687">
            <w:pPr>
              <w:spacing w:after="0" w:line="240" w:lineRule="auto"/>
              <w:jc w:val="both"/>
              <w:rPr>
                <w:rFonts w:ascii="Times New Roman" w:hAnsi="Times New Roman"/>
                <w:color w:val="000000"/>
                <w:lang w:eastAsia="lt-LT"/>
              </w:rPr>
            </w:pPr>
            <w:r w:rsidRPr="00865A18">
              <w:rPr>
                <w:rFonts w:ascii="Times New Roman" w:hAnsi="Times New Roman"/>
                <w:color w:val="000000" w:themeColor="text1"/>
                <w:lang w:eastAsia="lt-LT"/>
              </w:rPr>
              <w:t>Ne mažiau kaip 3 metų gamintojo garantija, aptarnaujant įrangos buvimo vietoje, gedimų registravimas gamintojo palaikymo linijoje 24x7x365 (</w:t>
            </w:r>
            <w:r w:rsidR="00CD4B3F" w:rsidRPr="00CD4B3F">
              <w:rPr>
                <w:rFonts w:ascii="Times New Roman" w:eastAsia="Segoe UI" w:hAnsi="Times New Roman"/>
                <w:color w:val="242424"/>
              </w:rPr>
              <w:t>24 valandas per parą, 7 dienas per savaitę ir 365 dienas per metus</w:t>
            </w:r>
            <w:r w:rsidRPr="00865A18">
              <w:rPr>
                <w:rFonts w:ascii="Times New Roman" w:eastAsia="Segoe UI" w:hAnsi="Times New Roman"/>
                <w:color w:val="242424"/>
              </w:rPr>
              <w:t>)</w:t>
            </w:r>
            <w:r w:rsidRPr="00865A18">
              <w:rPr>
                <w:rFonts w:ascii="Times New Roman" w:hAnsi="Times New Roman"/>
                <w:color w:val="000000" w:themeColor="text1"/>
                <w:lang w:eastAsia="lt-LT"/>
              </w:rPr>
              <w:t>.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p>
          <w:p w14:paraId="76608E78" w14:textId="77777777" w:rsidR="00CB2687" w:rsidRPr="007A3B6D" w:rsidRDefault="00CB2687" w:rsidP="00CB2687">
            <w:pPr>
              <w:spacing w:after="0" w:line="240" w:lineRule="auto"/>
              <w:jc w:val="both"/>
              <w:rPr>
                <w:rFonts w:ascii="Times New Roman" w:hAnsi="Times New Roman"/>
                <w:color w:val="000000"/>
                <w:lang w:eastAsia="lt-LT"/>
              </w:rPr>
            </w:pPr>
            <w:r w:rsidRPr="007A3B6D">
              <w:rPr>
                <w:rFonts w:ascii="Times New Roman" w:hAnsi="Times New Roman"/>
                <w:color w:val="000000" w:themeColor="text1"/>
                <w:lang w:eastAsia="lt-LT"/>
              </w:rPr>
              <w:t xml:space="preserve">Visai naudojamos programinės ir techninės įrangos priežiūrai turi būti taikomas „vieno langelio principas“  –  visiems </w:t>
            </w:r>
            <w:r w:rsidRPr="00865A18">
              <w:rPr>
                <w:rFonts w:ascii="Times New Roman" w:hAnsi="Times New Roman"/>
                <w:lang w:eastAsia="lt-LT"/>
              </w:rPr>
              <w:t>komponentams (aparatinei ir programinei įrangai šiame pasiūlyme), sutrikimai ir gedimai registruojami tiesiogiai įrangos gamintojo pagalbos tarnyboje, sprendžiami to paties gamintojo inžinierių.</w:t>
            </w:r>
          </w:p>
          <w:p w14:paraId="7146971D" w14:textId="012C9DFC" w:rsidR="00CB2687" w:rsidRPr="00865A18" w:rsidRDefault="00CB2687" w:rsidP="00CB2687">
            <w:pPr>
              <w:spacing w:after="0" w:line="240" w:lineRule="auto"/>
              <w:jc w:val="both"/>
              <w:rPr>
                <w:rFonts w:ascii="Times New Roman" w:hAnsi="Times New Roman"/>
                <w:lang w:eastAsia="lt-LT"/>
              </w:rPr>
            </w:pPr>
            <w:r w:rsidRPr="00865A18">
              <w:rPr>
                <w:rFonts w:ascii="Times New Roman" w:hAnsi="Times New Roman"/>
                <w:color w:val="000000" w:themeColor="text1"/>
                <w:lang w:eastAsia="lt-LT"/>
              </w:rPr>
              <w:t>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w:t>
            </w:r>
            <w:r w:rsidRPr="00865A18">
              <w:rPr>
                <w:rFonts w:ascii="Times New Roman" w:hAnsi="Times New Roman"/>
                <w:lang w:eastAsia="lt-LT"/>
              </w:rPr>
              <w:t xml:space="preserve">nga turi būti pasiūlyta su paslaugos lygiu, užtikrinančiu sugedusių mazgų </w:t>
            </w:r>
            <w:r w:rsidR="005D75CD">
              <w:rPr>
                <w:rFonts w:ascii="Times New Roman" w:hAnsi="Times New Roman"/>
                <w:lang w:eastAsia="lt-LT"/>
              </w:rPr>
              <w:t>pakeitimą ne vėliau kaip per 2 valandas</w:t>
            </w:r>
            <w:r w:rsidRPr="00865A18">
              <w:rPr>
                <w:rFonts w:ascii="Times New Roman" w:hAnsi="Times New Roman"/>
                <w:lang w:eastAsia="lt-LT"/>
              </w:rPr>
              <w:t xml:space="preserve"> bet kurią metų dieną (24/7).</w:t>
            </w:r>
          </w:p>
          <w:p w14:paraId="3C2027C0" w14:textId="77777777" w:rsidR="00CB2687" w:rsidRPr="00865A18" w:rsidRDefault="00CB2687" w:rsidP="00CB2687">
            <w:pPr>
              <w:spacing w:after="0" w:line="240" w:lineRule="auto"/>
              <w:jc w:val="both"/>
              <w:rPr>
                <w:rFonts w:ascii="Times New Roman" w:hAnsi="Times New Roman"/>
                <w:color w:val="000000"/>
                <w:lang w:eastAsia="lt-LT"/>
              </w:rPr>
            </w:pPr>
            <w:r w:rsidRPr="00865A18">
              <w:rPr>
                <w:rFonts w:ascii="Times New Roman" w:hAnsi="Times New Roman"/>
                <w:lang w:eastAsia="lt-LT"/>
              </w:rPr>
              <w:t>Turi būti užtikrinta galimybė gamintojo svetainėje pagal serijinį numerį pasitikrinti serverio garantijos galiojimą bei lygį</w:t>
            </w:r>
            <w:r w:rsidRPr="00865A18">
              <w:rPr>
                <w:rFonts w:ascii="Times New Roman" w:hAnsi="Times New Roman"/>
                <w:color w:val="000000" w:themeColor="text1"/>
                <w:lang w:eastAsia="lt-LT"/>
              </w:rPr>
              <w:t>, taip pat serverio konfigūraciją.</w:t>
            </w:r>
          </w:p>
          <w:p w14:paraId="38A1C01A" w14:textId="77777777" w:rsidR="00CB2687" w:rsidRPr="00865A18" w:rsidRDefault="00CB2687" w:rsidP="00CB2687">
            <w:pPr>
              <w:spacing w:after="0" w:line="240" w:lineRule="auto"/>
              <w:jc w:val="both"/>
              <w:rPr>
                <w:rFonts w:ascii="Times New Roman" w:hAnsi="Times New Roman"/>
                <w:color w:val="000000"/>
                <w:lang w:eastAsia="lt-LT"/>
              </w:rPr>
            </w:pPr>
            <w:r w:rsidRPr="00865A18">
              <w:rPr>
                <w:rFonts w:ascii="Times New Roman" w:hAnsi="Times New Roman"/>
                <w:color w:val="000000" w:themeColor="text1"/>
                <w:lang w:eastAsia="lt-LT"/>
              </w:rPr>
              <w:lastRenderedPageBreak/>
              <w:t>Serveris turi būti sujungtas su gamintojo serviso centru bei turėti galimybę automatiškai registruoti incidentus bei gedimus.</w:t>
            </w:r>
          </w:p>
          <w:p w14:paraId="305366A2" w14:textId="77777777" w:rsidR="00CB2687" w:rsidRPr="00865A18" w:rsidRDefault="00CB2687" w:rsidP="00CB2687">
            <w:pPr>
              <w:spacing w:after="0" w:line="240" w:lineRule="auto"/>
              <w:jc w:val="both"/>
              <w:rPr>
                <w:rFonts w:ascii="Times New Roman" w:hAnsi="Times New Roman"/>
                <w:color w:val="000000" w:themeColor="text1"/>
                <w:lang w:eastAsia="lt-LT"/>
              </w:rPr>
            </w:pPr>
          </w:p>
          <w:p w14:paraId="0A952FBE" w14:textId="77777777" w:rsidR="00CB2687" w:rsidRPr="00777433" w:rsidRDefault="00CB2687" w:rsidP="00CB2687">
            <w:pPr>
              <w:spacing w:after="0" w:line="240" w:lineRule="auto"/>
              <w:jc w:val="both"/>
              <w:rPr>
                <w:rFonts w:ascii="Times New Roman" w:hAnsi="Times New Roman"/>
                <w:b/>
                <w:bCs/>
                <w:lang w:eastAsia="lt-LT"/>
              </w:rPr>
            </w:pPr>
            <w:r w:rsidRPr="00777433">
              <w:rPr>
                <w:rFonts w:ascii="Times New Roman" w:hAnsi="Times New Roman"/>
                <w:b/>
                <w:bCs/>
                <w:lang w:eastAsia="lt-LT"/>
              </w:rPr>
              <w:t>Tiekėjas kartu su pristatoma preke turės pateikti pažymą iš įrangos gamintojo, kad tiekėjo siūloma įranga atitinka techninius bei garantinius reikalavimus.</w:t>
            </w:r>
          </w:p>
          <w:p w14:paraId="115464CE" w14:textId="40DF6173" w:rsidR="00CB2687" w:rsidRPr="00E02425" w:rsidRDefault="00CB2687" w:rsidP="00CB2687">
            <w:pPr>
              <w:spacing w:after="0" w:line="240" w:lineRule="auto"/>
              <w:jc w:val="both"/>
              <w:rPr>
                <w:rFonts w:cs="Calibri"/>
                <w:b/>
                <w:bCs/>
                <w:color w:val="000000"/>
                <w:sz w:val="20"/>
                <w:szCs w:val="20"/>
                <w:lang w:eastAsia="lt-LT"/>
              </w:rPr>
            </w:pPr>
          </w:p>
        </w:tc>
        <w:tc>
          <w:tcPr>
            <w:tcW w:w="4038" w:type="dxa"/>
            <w:tcBorders>
              <w:top w:val="nil"/>
              <w:left w:val="single" w:sz="4" w:space="0" w:color="auto"/>
              <w:bottom w:val="single" w:sz="4" w:space="0" w:color="auto"/>
              <w:right w:val="single" w:sz="4" w:space="0" w:color="auto"/>
            </w:tcBorders>
            <w:hideMark/>
          </w:tcPr>
          <w:p w14:paraId="6DABDCB8" w14:textId="77777777" w:rsidR="00CB2687" w:rsidRPr="00E02425" w:rsidRDefault="00CB2687" w:rsidP="00CB2687">
            <w:pPr>
              <w:tabs>
                <w:tab w:val="left" w:pos="1318"/>
              </w:tabs>
              <w:spacing w:after="0" w:line="240" w:lineRule="auto"/>
              <w:ind w:left="42" w:hanging="42"/>
              <w:jc w:val="center"/>
              <w:rPr>
                <w:rFonts w:cs="Calibri"/>
                <w:color w:val="000000"/>
                <w:sz w:val="20"/>
                <w:szCs w:val="20"/>
                <w:lang w:eastAsia="lt-LT"/>
              </w:rPr>
            </w:pPr>
            <w:r w:rsidRPr="00E02425">
              <w:rPr>
                <w:rFonts w:cs="Calibri"/>
                <w:color w:val="000000"/>
                <w:sz w:val="20"/>
                <w:szCs w:val="20"/>
                <w:lang w:eastAsia="lt-LT"/>
              </w:rPr>
              <w:lastRenderedPageBreak/>
              <w:t> </w:t>
            </w:r>
          </w:p>
        </w:tc>
      </w:tr>
      <w:tr w:rsidR="00CB2687" w:rsidRPr="00C26FE9" w14:paraId="6CB3A8FE" w14:textId="77777777" w:rsidTr="008A4F8D">
        <w:trPr>
          <w:trHeight w:val="1744"/>
          <w:jc w:val="center"/>
        </w:trPr>
        <w:tc>
          <w:tcPr>
            <w:tcW w:w="837" w:type="dxa"/>
            <w:tcBorders>
              <w:top w:val="nil"/>
              <w:left w:val="single" w:sz="4" w:space="0" w:color="auto"/>
              <w:bottom w:val="single" w:sz="4" w:space="0" w:color="auto"/>
              <w:right w:val="single" w:sz="4" w:space="0" w:color="auto"/>
            </w:tcBorders>
          </w:tcPr>
          <w:p w14:paraId="1D507FD5" w14:textId="77777777" w:rsidR="00CB2687" w:rsidRPr="00E02425" w:rsidRDefault="00CB2687" w:rsidP="00CB2687">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hideMark/>
          </w:tcPr>
          <w:p w14:paraId="3444E107" w14:textId="77777777" w:rsidR="00CB2687" w:rsidRPr="00E02425" w:rsidRDefault="00CB2687" w:rsidP="00CB2687">
            <w:pPr>
              <w:spacing w:after="0" w:line="240" w:lineRule="auto"/>
              <w:jc w:val="center"/>
              <w:rPr>
                <w:rFonts w:cs="Calibri"/>
                <w:color w:val="000000"/>
                <w:sz w:val="20"/>
                <w:szCs w:val="20"/>
                <w:lang w:eastAsia="lt-LT"/>
              </w:rPr>
            </w:pPr>
            <w:r w:rsidRPr="00E02425">
              <w:rPr>
                <w:rFonts w:cs="Calibri"/>
                <w:color w:val="000000"/>
                <w:sz w:val="20"/>
                <w:szCs w:val="20"/>
                <w:lang w:eastAsia="lt-LT"/>
              </w:rPr>
              <w:t>Surinkimo reikalavimai</w:t>
            </w:r>
          </w:p>
        </w:tc>
        <w:tc>
          <w:tcPr>
            <w:tcW w:w="4204" w:type="dxa"/>
            <w:tcBorders>
              <w:top w:val="single" w:sz="4" w:space="0" w:color="auto"/>
              <w:left w:val="nil"/>
              <w:bottom w:val="single" w:sz="4" w:space="0" w:color="auto"/>
              <w:right w:val="single" w:sz="4" w:space="0" w:color="auto"/>
            </w:tcBorders>
            <w:hideMark/>
          </w:tcPr>
          <w:p w14:paraId="51798A6E" w14:textId="77777777" w:rsidR="00CB2687" w:rsidRPr="00E02425" w:rsidRDefault="00CB2687" w:rsidP="00CB2687">
            <w:pPr>
              <w:spacing w:after="0" w:line="240" w:lineRule="auto"/>
              <w:jc w:val="both"/>
              <w:rPr>
                <w:rFonts w:cs="Calibri"/>
                <w:color w:val="000000"/>
                <w:sz w:val="20"/>
                <w:szCs w:val="20"/>
                <w:lang w:eastAsia="lt-LT"/>
              </w:rPr>
            </w:pPr>
            <w:r w:rsidRPr="00E02425">
              <w:rPr>
                <w:rFonts w:cs="Calibri"/>
                <w:color w:val="000000"/>
                <w:sz w:val="20"/>
                <w:szCs w:val="20"/>
                <w:lang w:eastAsia="lt-LT"/>
              </w:rPr>
              <w:t xml:space="preserve">Siūlomi įrenginiai turi būti nauji ir ankščiau nenaudoti, gamykliškai atnaujinti (angl. Renewed, Refurbished, Remarketed) komponentai neleistini. </w:t>
            </w:r>
          </w:p>
          <w:p w14:paraId="3EC08357" w14:textId="77777777" w:rsidR="00CB2687" w:rsidRPr="00C26FE9" w:rsidRDefault="00CB2687" w:rsidP="00CB2687">
            <w:pPr>
              <w:spacing w:after="0" w:line="240" w:lineRule="auto"/>
              <w:jc w:val="both"/>
              <w:rPr>
                <w:rFonts w:cs="Calibri"/>
                <w:color w:val="000000"/>
                <w:sz w:val="20"/>
                <w:szCs w:val="20"/>
                <w:lang w:eastAsia="lt-LT"/>
              </w:rPr>
            </w:pPr>
            <w:r w:rsidRPr="00E02425">
              <w:rPr>
                <w:rFonts w:cs="Calibri"/>
                <w:color w:val="000000"/>
                <w:sz w:val="20"/>
                <w:szCs w:val="20"/>
                <w:lang w:eastAsia="lt-LT"/>
              </w:rPr>
              <w:t>Visos komplektuojamos įrenginio dalys privalo būti komplektuojamos įrenginio gamintojo ir pažymėtos gamintojo gamykliniais kodais.</w:t>
            </w:r>
          </w:p>
        </w:tc>
        <w:tc>
          <w:tcPr>
            <w:tcW w:w="4038" w:type="dxa"/>
            <w:tcBorders>
              <w:top w:val="nil"/>
              <w:left w:val="single" w:sz="4" w:space="0" w:color="auto"/>
              <w:bottom w:val="single" w:sz="4" w:space="0" w:color="auto"/>
              <w:right w:val="single" w:sz="4" w:space="0" w:color="auto"/>
            </w:tcBorders>
            <w:hideMark/>
          </w:tcPr>
          <w:p w14:paraId="7A7B713A" w14:textId="77777777" w:rsidR="00CB2687" w:rsidRPr="00C26FE9" w:rsidRDefault="00CB2687" w:rsidP="00CB2687">
            <w:pPr>
              <w:tabs>
                <w:tab w:val="left" w:pos="1318"/>
              </w:tabs>
              <w:spacing w:after="0" w:line="240" w:lineRule="auto"/>
              <w:ind w:left="42" w:hanging="42"/>
              <w:jc w:val="center"/>
              <w:rPr>
                <w:rFonts w:cs="Calibri"/>
                <w:color w:val="000000"/>
                <w:sz w:val="20"/>
                <w:szCs w:val="20"/>
                <w:lang w:eastAsia="lt-LT"/>
              </w:rPr>
            </w:pPr>
            <w:r w:rsidRPr="00C26FE9">
              <w:rPr>
                <w:rFonts w:cs="Calibri"/>
                <w:color w:val="000000"/>
                <w:sz w:val="20"/>
                <w:szCs w:val="20"/>
                <w:lang w:eastAsia="lt-LT"/>
              </w:rPr>
              <w:t> </w:t>
            </w:r>
          </w:p>
        </w:tc>
      </w:tr>
      <w:tr w:rsidR="00CB2687" w:rsidRPr="00C26FE9" w14:paraId="1C73CAB4" w14:textId="77777777" w:rsidTr="008A4F8D">
        <w:trPr>
          <w:trHeight w:val="1744"/>
          <w:jc w:val="center"/>
        </w:trPr>
        <w:tc>
          <w:tcPr>
            <w:tcW w:w="837" w:type="dxa"/>
            <w:tcBorders>
              <w:top w:val="single" w:sz="4" w:space="0" w:color="auto"/>
              <w:left w:val="single" w:sz="4" w:space="0" w:color="auto"/>
              <w:bottom w:val="single" w:sz="4" w:space="0" w:color="auto"/>
              <w:right w:val="single" w:sz="4" w:space="0" w:color="auto"/>
            </w:tcBorders>
          </w:tcPr>
          <w:p w14:paraId="6F08DD3B" w14:textId="77777777" w:rsidR="00CB2687" w:rsidRPr="00E02425" w:rsidRDefault="00CB2687" w:rsidP="00CB2687">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tcPr>
          <w:p w14:paraId="421C00DE" w14:textId="67A85D68" w:rsidR="00CB2687" w:rsidRPr="00E02425" w:rsidRDefault="00CB2687" w:rsidP="00CB2687">
            <w:pPr>
              <w:spacing w:after="0" w:line="240" w:lineRule="auto"/>
              <w:jc w:val="center"/>
              <w:rPr>
                <w:rFonts w:cs="Calibri"/>
                <w:color w:val="000000"/>
                <w:sz w:val="20"/>
                <w:szCs w:val="20"/>
                <w:lang w:eastAsia="lt-LT"/>
              </w:rPr>
            </w:pPr>
            <w:r w:rsidRPr="00B66C7B">
              <w:rPr>
                <w:rFonts w:cs="Calibri"/>
                <w:color w:val="000000"/>
                <w:sz w:val="20"/>
                <w:szCs w:val="20"/>
                <w:lang w:eastAsia="lt-LT"/>
              </w:rPr>
              <w:t>Ekologinio projektavimo reikalavimai</w:t>
            </w:r>
          </w:p>
        </w:tc>
        <w:tc>
          <w:tcPr>
            <w:tcW w:w="4204" w:type="dxa"/>
            <w:tcBorders>
              <w:top w:val="single" w:sz="4" w:space="0" w:color="auto"/>
              <w:left w:val="nil"/>
              <w:bottom w:val="single" w:sz="4" w:space="0" w:color="auto"/>
              <w:right w:val="single" w:sz="4" w:space="0" w:color="auto"/>
            </w:tcBorders>
          </w:tcPr>
          <w:p w14:paraId="41144BBA" w14:textId="77777777" w:rsidR="00CB2687" w:rsidRPr="00B66C7B" w:rsidRDefault="00CB2687" w:rsidP="00CB2687">
            <w:pPr>
              <w:spacing w:after="0" w:line="240" w:lineRule="auto"/>
              <w:jc w:val="both"/>
              <w:rPr>
                <w:rFonts w:cs="Calibri"/>
                <w:color w:val="000000"/>
                <w:sz w:val="20"/>
                <w:szCs w:val="20"/>
                <w:lang w:eastAsia="lt-LT"/>
              </w:rPr>
            </w:pPr>
            <w:r w:rsidRPr="00B66C7B">
              <w:rPr>
                <w:rFonts w:cs="Calibri"/>
                <w:color w:val="000000"/>
                <w:sz w:val="20"/>
                <w:szCs w:val="20"/>
                <w:lang w:eastAsia="lt-LT"/>
              </w:rPr>
              <w:t>Siūlomi serveriai turi atitikti Komisijos reglamento (ES) 2019/424 su visais pakeitimais nustatytus ekologinio projektavimo reikalavimus, taikomus konkrečiai siūlomai serverio konfigūracijai.</w:t>
            </w:r>
          </w:p>
          <w:p w14:paraId="42A9FC75" w14:textId="77777777" w:rsidR="00CB2687" w:rsidRPr="00B66C7B" w:rsidRDefault="00CB2687" w:rsidP="00CB2687">
            <w:pPr>
              <w:spacing w:after="0" w:line="240" w:lineRule="auto"/>
              <w:jc w:val="both"/>
              <w:rPr>
                <w:rFonts w:cs="Calibri"/>
                <w:color w:val="000000"/>
                <w:sz w:val="20"/>
                <w:szCs w:val="20"/>
                <w:lang w:eastAsia="lt-LT"/>
              </w:rPr>
            </w:pPr>
            <w:r w:rsidRPr="00B66C7B">
              <w:rPr>
                <w:rFonts w:cs="Calibri"/>
                <w:color w:val="000000"/>
                <w:sz w:val="20"/>
                <w:szCs w:val="20"/>
                <w:lang w:eastAsia="lt-LT"/>
              </w:rPr>
              <w:t>Tiekėjas kartu su pasiūlymu turi pateikti gaminio atitikties deklaraciją, gamintojo techninius dokumentus, ErP / Ecodesign dokumentaciją arba kitus lygiaverčius įrodymus, patvirtinančius, kad siūloma įranga atitinka Europos Komisijos reglamentuose dėl gaminių ekologinio projektavimo nustatytus reikalavimus.</w:t>
            </w:r>
          </w:p>
          <w:p w14:paraId="475A15CC" w14:textId="77777777" w:rsidR="00CB2687" w:rsidRPr="00E02425" w:rsidRDefault="00CB2687" w:rsidP="00CB2687">
            <w:pPr>
              <w:spacing w:after="0" w:line="240" w:lineRule="auto"/>
              <w:jc w:val="both"/>
              <w:rPr>
                <w:rFonts w:cs="Calibri"/>
                <w:color w:val="000000"/>
                <w:sz w:val="20"/>
                <w:szCs w:val="20"/>
                <w:lang w:eastAsia="lt-LT"/>
              </w:rPr>
            </w:pPr>
          </w:p>
        </w:tc>
        <w:tc>
          <w:tcPr>
            <w:tcW w:w="4038" w:type="dxa"/>
            <w:tcBorders>
              <w:top w:val="single" w:sz="4" w:space="0" w:color="auto"/>
              <w:left w:val="single" w:sz="4" w:space="0" w:color="auto"/>
              <w:bottom w:val="single" w:sz="4" w:space="0" w:color="auto"/>
              <w:right w:val="single" w:sz="4" w:space="0" w:color="auto"/>
            </w:tcBorders>
          </w:tcPr>
          <w:p w14:paraId="66030215" w14:textId="77777777" w:rsidR="00CB2687" w:rsidRPr="00C26FE9" w:rsidRDefault="00CB2687" w:rsidP="00CB2687">
            <w:pPr>
              <w:tabs>
                <w:tab w:val="left" w:pos="1318"/>
              </w:tabs>
              <w:spacing w:after="0" w:line="240" w:lineRule="auto"/>
              <w:ind w:left="42" w:hanging="42"/>
              <w:jc w:val="center"/>
              <w:rPr>
                <w:rFonts w:cs="Calibri"/>
                <w:color w:val="000000"/>
                <w:sz w:val="20"/>
                <w:szCs w:val="20"/>
                <w:lang w:eastAsia="lt-LT"/>
              </w:rPr>
            </w:pPr>
          </w:p>
        </w:tc>
      </w:tr>
      <w:tr w:rsidR="00CB2687" w:rsidRPr="00C26FE9" w14:paraId="30E89C4E" w14:textId="77777777" w:rsidTr="008A4F8D">
        <w:trPr>
          <w:trHeight w:val="1744"/>
          <w:jc w:val="center"/>
        </w:trPr>
        <w:tc>
          <w:tcPr>
            <w:tcW w:w="837" w:type="dxa"/>
            <w:tcBorders>
              <w:top w:val="single" w:sz="4" w:space="0" w:color="auto"/>
              <w:left w:val="single" w:sz="4" w:space="0" w:color="auto"/>
              <w:bottom w:val="single" w:sz="4" w:space="0" w:color="auto"/>
              <w:right w:val="single" w:sz="4" w:space="0" w:color="auto"/>
            </w:tcBorders>
          </w:tcPr>
          <w:p w14:paraId="4B211D7B" w14:textId="77777777" w:rsidR="00CB2687" w:rsidRPr="00E02425" w:rsidRDefault="00CB2687" w:rsidP="00CB2687">
            <w:pPr>
              <w:pStyle w:val="ListParagraph"/>
              <w:numPr>
                <w:ilvl w:val="0"/>
                <w:numId w:val="4"/>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tcPr>
          <w:p w14:paraId="5074C90E" w14:textId="0E46DED6" w:rsidR="00CB2687" w:rsidRPr="00E02425" w:rsidRDefault="00CB2687" w:rsidP="00CB2687">
            <w:pPr>
              <w:spacing w:after="0" w:line="240" w:lineRule="auto"/>
              <w:jc w:val="center"/>
              <w:rPr>
                <w:rFonts w:cs="Calibri"/>
                <w:color w:val="000000"/>
                <w:sz w:val="20"/>
                <w:szCs w:val="20"/>
                <w:lang w:eastAsia="lt-LT"/>
              </w:rPr>
            </w:pPr>
            <w:r w:rsidRPr="005163E1">
              <w:rPr>
                <w:rFonts w:cs="Calibri"/>
                <w:color w:val="000000"/>
                <w:sz w:val="20"/>
                <w:szCs w:val="20"/>
                <w:lang w:eastAsia="lt-LT"/>
              </w:rPr>
              <w:t>Energijos vartojimo efektyvumas</w:t>
            </w:r>
          </w:p>
        </w:tc>
        <w:tc>
          <w:tcPr>
            <w:tcW w:w="4204" w:type="dxa"/>
            <w:tcBorders>
              <w:top w:val="single" w:sz="4" w:space="0" w:color="auto"/>
              <w:left w:val="nil"/>
              <w:bottom w:val="single" w:sz="4" w:space="0" w:color="auto"/>
              <w:right w:val="single" w:sz="4" w:space="0" w:color="auto"/>
            </w:tcBorders>
          </w:tcPr>
          <w:p w14:paraId="39F7F383" w14:textId="77777777" w:rsidR="00CB2687" w:rsidRPr="0078616B" w:rsidRDefault="00CB2687" w:rsidP="00CB2687">
            <w:pPr>
              <w:spacing w:after="0" w:line="240" w:lineRule="auto"/>
              <w:jc w:val="both"/>
              <w:rPr>
                <w:rFonts w:cs="Calibri"/>
                <w:color w:val="000000"/>
                <w:sz w:val="20"/>
                <w:szCs w:val="20"/>
                <w:lang w:eastAsia="lt-LT"/>
              </w:rPr>
            </w:pPr>
            <w:r w:rsidRPr="21397F1E">
              <w:rPr>
                <w:rFonts w:cs="Calibri"/>
                <w:color w:val="000000" w:themeColor="text1"/>
                <w:sz w:val="20"/>
                <w:szCs w:val="20"/>
                <w:lang w:eastAsia="lt-LT"/>
              </w:rPr>
              <w:t>Siūlomų serverių maitinimo šaltiniai turi atitikti Reglamento (ES) 2019/424 reikalavimus dėl maitinimo šaltinių efektyvumo ir galios koeficiento. Serveriai turi būti pateikiami su gamintojo numatytais energijos vartojimo efektyvumo valdymo nustatymais arba šie nustatymai turi būti aktyvuoti iki įrangos perdavimo perkančiajai organizacijai.</w:t>
            </w:r>
          </w:p>
          <w:p w14:paraId="7845B829" w14:textId="465FA964" w:rsidR="00CB2687" w:rsidRPr="0078616B" w:rsidRDefault="00CB2687" w:rsidP="00CB2687">
            <w:pPr>
              <w:spacing w:after="0" w:line="240" w:lineRule="auto"/>
              <w:jc w:val="both"/>
              <w:rPr>
                <w:rFonts w:cs="Calibri"/>
                <w:color w:val="000000"/>
                <w:sz w:val="20"/>
                <w:szCs w:val="20"/>
                <w:lang w:eastAsia="lt-LT"/>
              </w:rPr>
            </w:pPr>
            <w:r w:rsidRPr="00FB4D3E">
              <w:rPr>
                <w:rFonts w:cs="Calibri"/>
                <w:color w:val="000000"/>
                <w:sz w:val="20"/>
                <w:szCs w:val="20"/>
                <w:lang w:eastAsia="lt-LT"/>
              </w:rPr>
              <w:t xml:space="preserve">Atitiktis įrodoma gamintojo techniniais dokumentais, maitinimo šaltinių efektyvumo deklaracija, ErP / Ecodesign dokumentacija arba kitais lygiaverčiais </w:t>
            </w:r>
            <w:r w:rsidR="00B12C51">
              <w:rPr>
                <w:rFonts w:cs="Calibri"/>
                <w:color w:val="000000"/>
                <w:sz w:val="20"/>
                <w:szCs w:val="20"/>
                <w:lang w:eastAsia="lt-LT"/>
              </w:rPr>
              <w:t>įrodymais, pateikiamais kartu su pasiūlymu</w:t>
            </w:r>
            <w:r w:rsidRPr="00FB4D3E">
              <w:rPr>
                <w:rFonts w:cs="Calibri"/>
                <w:color w:val="000000"/>
                <w:sz w:val="20"/>
                <w:szCs w:val="20"/>
                <w:lang w:eastAsia="lt-LT"/>
              </w:rPr>
              <w:t>.</w:t>
            </w:r>
          </w:p>
          <w:p w14:paraId="2B5201F8" w14:textId="77777777" w:rsidR="00CB2687" w:rsidRPr="00E02425" w:rsidRDefault="00CB2687" w:rsidP="00CB2687">
            <w:pPr>
              <w:spacing w:after="0" w:line="240" w:lineRule="auto"/>
              <w:jc w:val="both"/>
              <w:rPr>
                <w:rFonts w:cs="Calibri"/>
                <w:color w:val="000000"/>
                <w:sz w:val="20"/>
                <w:szCs w:val="20"/>
                <w:lang w:eastAsia="lt-LT"/>
              </w:rPr>
            </w:pPr>
          </w:p>
        </w:tc>
        <w:tc>
          <w:tcPr>
            <w:tcW w:w="4038" w:type="dxa"/>
            <w:tcBorders>
              <w:top w:val="single" w:sz="4" w:space="0" w:color="auto"/>
              <w:left w:val="single" w:sz="4" w:space="0" w:color="auto"/>
              <w:bottom w:val="single" w:sz="4" w:space="0" w:color="auto"/>
              <w:right w:val="single" w:sz="4" w:space="0" w:color="auto"/>
            </w:tcBorders>
          </w:tcPr>
          <w:p w14:paraId="04223F72" w14:textId="77777777" w:rsidR="00CB2687" w:rsidRPr="00C26FE9" w:rsidRDefault="00CB2687" w:rsidP="00CB2687">
            <w:pPr>
              <w:tabs>
                <w:tab w:val="left" w:pos="1318"/>
              </w:tabs>
              <w:spacing w:after="0" w:line="240" w:lineRule="auto"/>
              <w:ind w:left="42" w:hanging="42"/>
              <w:jc w:val="center"/>
              <w:rPr>
                <w:rFonts w:cs="Calibri"/>
                <w:color w:val="000000"/>
                <w:sz w:val="20"/>
                <w:szCs w:val="20"/>
                <w:lang w:eastAsia="lt-LT"/>
              </w:rPr>
            </w:pPr>
          </w:p>
        </w:tc>
      </w:tr>
    </w:tbl>
    <w:p w14:paraId="619BB609" w14:textId="77777777" w:rsidR="0019507E" w:rsidRDefault="0019507E" w:rsidP="00DB4A7B">
      <w:pPr>
        <w:pStyle w:val="ListParagraph"/>
      </w:pPr>
    </w:p>
    <w:p w14:paraId="61B45061" w14:textId="2467FAAD" w:rsidR="00E11788" w:rsidRPr="00865A18" w:rsidRDefault="7A5F4F59" w:rsidP="007B244A">
      <w:pPr>
        <w:pStyle w:val="ListParagraph"/>
        <w:rPr>
          <w:b/>
          <w:bCs/>
          <w:lang w:val="en-US"/>
        </w:rPr>
      </w:pPr>
      <w:r w:rsidRPr="00865A18">
        <w:rPr>
          <w:b/>
          <w:bCs/>
          <w:lang w:val="en-US"/>
        </w:rPr>
        <w:t xml:space="preserve">1.3. </w:t>
      </w:r>
      <w:r w:rsidR="00E11788" w:rsidRPr="00865A18">
        <w:rPr>
          <w:b/>
          <w:bCs/>
          <w:lang w:val="en-US"/>
        </w:rPr>
        <w:t xml:space="preserve">Specializuotas serveris </w:t>
      </w:r>
      <w:r w:rsidR="00C10F1E" w:rsidRPr="00865A18">
        <w:rPr>
          <w:b/>
          <w:bCs/>
          <w:lang w:val="en-US"/>
        </w:rPr>
        <w:t>a</w:t>
      </w:r>
      <w:r w:rsidR="00E11788" w:rsidRPr="00865A18">
        <w:rPr>
          <w:b/>
          <w:bCs/>
          <w:lang w:val="en-US"/>
        </w:rPr>
        <w:t>tsargini</w:t>
      </w:r>
      <w:r w:rsidR="00E11788" w:rsidRPr="00865A18">
        <w:rPr>
          <w:b/>
          <w:bCs/>
        </w:rPr>
        <w:t>ų kopijų saugojimui</w:t>
      </w:r>
    </w:p>
    <w:tbl>
      <w:tblPr>
        <w:tblW w:w="10485" w:type="dxa"/>
        <w:tblLook w:val="04A0" w:firstRow="1" w:lastRow="0" w:firstColumn="1" w:lastColumn="0" w:noHBand="0" w:noVBand="1"/>
      </w:tblPr>
      <w:tblGrid>
        <w:gridCol w:w="691"/>
        <w:gridCol w:w="1533"/>
        <w:gridCol w:w="4142"/>
        <w:gridCol w:w="4119"/>
      </w:tblGrid>
      <w:tr w:rsidR="008D3F31" w:rsidRPr="00CD6D78" w14:paraId="41DDC5FE" w14:textId="77777777" w:rsidTr="3C2876EF">
        <w:trPr>
          <w:trHeight w:val="471"/>
        </w:trPr>
        <w:tc>
          <w:tcPr>
            <w:tcW w:w="69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1224C2" w14:textId="2FD1C5BE" w:rsidR="008D3F31" w:rsidRPr="00CD6D78" w:rsidRDefault="008D3F31" w:rsidP="008D3F31">
            <w:pPr>
              <w:spacing w:after="0" w:line="240" w:lineRule="auto"/>
              <w:jc w:val="center"/>
              <w:rPr>
                <w:rFonts w:cs="Calibri"/>
                <w:b/>
                <w:bCs/>
                <w:color w:val="000000"/>
                <w:sz w:val="20"/>
                <w:szCs w:val="20"/>
                <w:lang w:eastAsia="lt-LT"/>
              </w:rPr>
            </w:pPr>
            <w:r w:rsidRPr="00CD6D78">
              <w:rPr>
                <w:rFonts w:cs="Calibri"/>
                <w:b/>
                <w:bCs/>
                <w:color w:val="000000"/>
                <w:sz w:val="20"/>
                <w:szCs w:val="20"/>
                <w:lang w:eastAsia="lt-LT"/>
              </w:rPr>
              <w:t>Eil. Nr.</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19009D" w14:textId="00A3E569" w:rsidR="008D3F31" w:rsidRPr="00CD6D78" w:rsidRDefault="008D3F31" w:rsidP="008D3F31">
            <w:pPr>
              <w:spacing w:after="0" w:line="240" w:lineRule="auto"/>
              <w:jc w:val="center"/>
              <w:rPr>
                <w:rFonts w:cs="Calibri"/>
                <w:b/>
                <w:bCs/>
                <w:color w:val="000000"/>
                <w:sz w:val="20"/>
                <w:szCs w:val="20"/>
                <w:lang w:eastAsia="lt-LT"/>
              </w:rPr>
            </w:pPr>
            <w:r w:rsidRPr="00CD6D78">
              <w:rPr>
                <w:rFonts w:cs="Calibri"/>
                <w:b/>
                <w:bCs/>
                <w:color w:val="000000"/>
                <w:sz w:val="20"/>
                <w:szCs w:val="20"/>
                <w:lang w:eastAsia="lt-LT"/>
              </w:rPr>
              <w:t>Komponento pavadinimas</w:t>
            </w:r>
          </w:p>
        </w:tc>
        <w:tc>
          <w:tcPr>
            <w:tcW w:w="41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97494" w14:textId="5D0D4BB3" w:rsidR="008D3F31" w:rsidRPr="00CD6D78" w:rsidRDefault="008D3F31" w:rsidP="008D3F31">
            <w:pPr>
              <w:spacing w:after="0" w:line="240" w:lineRule="auto"/>
              <w:jc w:val="center"/>
              <w:rPr>
                <w:rFonts w:cs="Calibri"/>
                <w:b/>
                <w:bCs/>
                <w:color w:val="000000"/>
                <w:sz w:val="20"/>
                <w:szCs w:val="20"/>
                <w:lang w:eastAsia="lt-LT"/>
              </w:rPr>
            </w:pPr>
            <w:r w:rsidRPr="7CA28117">
              <w:rPr>
                <w:rFonts w:cs="Calibri"/>
                <w:b/>
                <w:color w:val="000000" w:themeColor="text1"/>
                <w:sz w:val="20"/>
                <w:szCs w:val="20"/>
                <w:lang w:eastAsia="lt-LT"/>
              </w:rPr>
              <w:t>Reikalaujama charakteristika</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3A4108" w14:textId="25BE93A1" w:rsidR="008D3F31" w:rsidRPr="00CD6D78" w:rsidRDefault="008D3F31" w:rsidP="008D3F31">
            <w:pPr>
              <w:spacing w:after="0" w:line="240" w:lineRule="auto"/>
              <w:jc w:val="center"/>
              <w:rPr>
                <w:rFonts w:cs="Calibri"/>
                <w:b/>
                <w:bCs/>
                <w:color w:val="000000"/>
                <w:sz w:val="20"/>
                <w:szCs w:val="20"/>
                <w:lang w:eastAsia="lt-LT"/>
              </w:rPr>
            </w:pPr>
            <w:r w:rsidRPr="009E53E0">
              <w:rPr>
                <w:rFonts w:cstheme="minorHAnsi"/>
                <w:b/>
                <w:sz w:val="20"/>
                <w:szCs w:val="20"/>
              </w:rPr>
              <w:t>Tiekėjo siūlomų prekių techninės charakteristikos</w:t>
            </w:r>
          </w:p>
        </w:tc>
      </w:tr>
      <w:tr w:rsidR="008D3F31" w:rsidRPr="00CD6D78" w14:paraId="7A349A35" w14:textId="77777777" w:rsidTr="00865A18">
        <w:trPr>
          <w:trHeight w:val="471"/>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7401854D" w14:textId="77777777" w:rsidR="008D3F31" w:rsidRPr="00CD6D78" w:rsidRDefault="008D3F31" w:rsidP="00755125">
            <w:pPr>
              <w:spacing w:after="0" w:line="240" w:lineRule="auto"/>
              <w:rPr>
                <w:rFonts w:cs="Calibri"/>
                <w:b/>
                <w:bCs/>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7963C79E" w14:textId="77777777" w:rsidR="008D3F31" w:rsidRPr="00CD6D78" w:rsidRDefault="008D3F31" w:rsidP="00755125">
            <w:pPr>
              <w:spacing w:after="0" w:line="240" w:lineRule="auto"/>
              <w:rPr>
                <w:rFonts w:cs="Calibri"/>
                <w:b/>
                <w:bCs/>
                <w:color w:val="000000"/>
                <w:sz w:val="20"/>
                <w:szCs w:val="20"/>
                <w:lang w:eastAsia="lt-LT"/>
              </w:rPr>
            </w:pPr>
          </w:p>
        </w:tc>
        <w:tc>
          <w:tcPr>
            <w:tcW w:w="4142" w:type="dxa"/>
            <w:vMerge/>
            <w:tcBorders>
              <w:top w:val="single" w:sz="4" w:space="0" w:color="auto"/>
              <w:left w:val="single" w:sz="4" w:space="0" w:color="auto"/>
              <w:bottom w:val="single" w:sz="4" w:space="0" w:color="auto"/>
              <w:right w:val="single" w:sz="4" w:space="0" w:color="auto"/>
            </w:tcBorders>
            <w:vAlign w:val="center"/>
            <w:hideMark/>
          </w:tcPr>
          <w:p w14:paraId="03EDE0ED" w14:textId="77777777" w:rsidR="008D3F31" w:rsidRPr="00CD6D78" w:rsidRDefault="008D3F31" w:rsidP="00755125">
            <w:pPr>
              <w:spacing w:after="0" w:line="240" w:lineRule="auto"/>
              <w:rPr>
                <w:rFonts w:cs="Calibri"/>
                <w:b/>
                <w:bCs/>
                <w:color w:val="000000"/>
                <w:sz w:val="20"/>
                <w:szCs w:val="20"/>
                <w:lang w:eastAsia="lt-LT"/>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57DAA68F" w14:textId="77777777" w:rsidR="008D3F31" w:rsidRPr="00CD6D78" w:rsidRDefault="008D3F31" w:rsidP="00755125">
            <w:pPr>
              <w:spacing w:after="0" w:line="240" w:lineRule="auto"/>
              <w:rPr>
                <w:rFonts w:cs="Calibri"/>
                <w:b/>
                <w:bCs/>
                <w:color w:val="000000"/>
                <w:sz w:val="20"/>
                <w:szCs w:val="20"/>
                <w:lang w:eastAsia="lt-LT"/>
              </w:rPr>
            </w:pPr>
          </w:p>
        </w:tc>
      </w:tr>
      <w:tr w:rsidR="008D3F31" w:rsidRPr="00CD6D78" w14:paraId="6A34B4C5" w14:textId="77777777" w:rsidTr="3C2876EF">
        <w:trPr>
          <w:trHeight w:val="300"/>
        </w:trPr>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CD06D" w14:textId="77777777" w:rsidR="008D3F31" w:rsidRPr="00CD6D78" w:rsidRDefault="008D3F31" w:rsidP="00755125">
            <w:pPr>
              <w:spacing w:after="0" w:line="240" w:lineRule="auto"/>
              <w:jc w:val="center"/>
              <w:rPr>
                <w:rFonts w:cstheme="minorHAnsi"/>
                <w:color w:val="000000"/>
                <w:sz w:val="20"/>
                <w:szCs w:val="20"/>
                <w:lang w:eastAsia="lt-LT"/>
              </w:rPr>
            </w:pPr>
            <w:r w:rsidRPr="00CD6D78">
              <w:rPr>
                <w:rFonts w:cstheme="minorHAnsi"/>
                <w:color w:val="000000"/>
                <w:sz w:val="20"/>
                <w:szCs w:val="20"/>
                <w:lang w:eastAsia="lt-LT"/>
              </w:rPr>
              <w:t>1</w:t>
            </w:r>
          </w:p>
        </w:tc>
        <w:tc>
          <w:tcPr>
            <w:tcW w:w="1533" w:type="dxa"/>
            <w:tcBorders>
              <w:top w:val="single" w:sz="4" w:space="0" w:color="auto"/>
              <w:left w:val="nil"/>
              <w:bottom w:val="single" w:sz="4" w:space="0" w:color="auto"/>
              <w:right w:val="single" w:sz="4" w:space="0" w:color="auto"/>
            </w:tcBorders>
            <w:shd w:val="clear" w:color="auto" w:fill="D9D9D9" w:themeFill="background1" w:themeFillShade="D9"/>
            <w:hideMark/>
          </w:tcPr>
          <w:p w14:paraId="39A4B21A" w14:textId="77777777" w:rsidR="008D3F31" w:rsidRPr="00CD6D78" w:rsidRDefault="008D3F31" w:rsidP="00755125">
            <w:pPr>
              <w:spacing w:after="0" w:line="240" w:lineRule="auto"/>
              <w:jc w:val="center"/>
              <w:rPr>
                <w:rFonts w:cstheme="minorHAnsi"/>
                <w:color w:val="000000"/>
                <w:sz w:val="20"/>
                <w:szCs w:val="20"/>
                <w:lang w:eastAsia="lt-LT"/>
              </w:rPr>
            </w:pPr>
            <w:r w:rsidRPr="00CD6D78">
              <w:rPr>
                <w:rFonts w:cstheme="minorHAnsi"/>
                <w:color w:val="000000"/>
                <w:sz w:val="20"/>
                <w:szCs w:val="20"/>
                <w:lang w:eastAsia="lt-LT"/>
              </w:rPr>
              <w:t>2</w:t>
            </w:r>
          </w:p>
        </w:tc>
        <w:tc>
          <w:tcPr>
            <w:tcW w:w="4142" w:type="dxa"/>
            <w:tcBorders>
              <w:top w:val="single" w:sz="4" w:space="0" w:color="auto"/>
              <w:left w:val="nil"/>
              <w:bottom w:val="single" w:sz="4" w:space="0" w:color="auto"/>
              <w:right w:val="single" w:sz="4" w:space="0" w:color="auto"/>
            </w:tcBorders>
            <w:shd w:val="clear" w:color="auto" w:fill="D9D9D9" w:themeFill="background1" w:themeFillShade="D9"/>
            <w:hideMark/>
          </w:tcPr>
          <w:p w14:paraId="7E515460" w14:textId="77777777" w:rsidR="008D3F31" w:rsidRPr="00CD6D78" w:rsidRDefault="008D3F31" w:rsidP="00755125">
            <w:pPr>
              <w:spacing w:after="0" w:line="240" w:lineRule="auto"/>
              <w:jc w:val="center"/>
              <w:rPr>
                <w:rFonts w:cstheme="minorHAnsi"/>
                <w:color w:val="000000"/>
                <w:sz w:val="20"/>
                <w:szCs w:val="20"/>
                <w:lang w:eastAsia="lt-LT"/>
              </w:rPr>
            </w:pPr>
            <w:r w:rsidRPr="00CD6D78">
              <w:rPr>
                <w:rFonts w:cstheme="minorHAnsi"/>
                <w:color w:val="000000"/>
                <w:sz w:val="20"/>
                <w:szCs w:val="20"/>
                <w:lang w:eastAsia="lt-LT"/>
              </w:rPr>
              <w:t>3</w:t>
            </w:r>
          </w:p>
        </w:tc>
        <w:tc>
          <w:tcPr>
            <w:tcW w:w="4119" w:type="dxa"/>
            <w:tcBorders>
              <w:top w:val="single" w:sz="4" w:space="0" w:color="auto"/>
              <w:left w:val="nil"/>
              <w:bottom w:val="single" w:sz="4" w:space="0" w:color="auto"/>
              <w:right w:val="single" w:sz="4" w:space="0" w:color="auto"/>
            </w:tcBorders>
            <w:shd w:val="clear" w:color="auto" w:fill="D9D9D9" w:themeFill="background1" w:themeFillShade="D9"/>
            <w:hideMark/>
          </w:tcPr>
          <w:p w14:paraId="111EEB47" w14:textId="69C6D421" w:rsidR="008D3F31" w:rsidRPr="00CD6D78" w:rsidRDefault="008D3F31" w:rsidP="00755125">
            <w:pPr>
              <w:spacing w:after="0" w:line="240" w:lineRule="auto"/>
              <w:jc w:val="center"/>
              <w:rPr>
                <w:rFonts w:cstheme="minorHAnsi"/>
                <w:color w:val="000000"/>
                <w:sz w:val="20"/>
                <w:szCs w:val="20"/>
                <w:lang w:eastAsia="lt-LT"/>
              </w:rPr>
            </w:pPr>
            <w:r>
              <w:rPr>
                <w:rFonts w:cstheme="minorHAnsi"/>
                <w:color w:val="000000"/>
                <w:sz w:val="20"/>
                <w:szCs w:val="20"/>
                <w:lang w:eastAsia="lt-LT"/>
              </w:rPr>
              <w:t>4</w:t>
            </w:r>
          </w:p>
        </w:tc>
      </w:tr>
      <w:tr w:rsidR="008D3F31" w:rsidRPr="00CD6D78" w14:paraId="2DBBDE54" w14:textId="77777777" w:rsidTr="3C2876EF">
        <w:trPr>
          <w:trHeight w:val="992"/>
        </w:trPr>
        <w:tc>
          <w:tcPr>
            <w:tcW w:w="691" w:type="dxa"/>
            <w:tcBorders>
              <w:top w:val="nil"/>
              <w:left w:val="single" w:sz="4" w:space="0" w:color="auto"/>
              <w:bottom w:val="single" w:sz="4" w:space="0" w:color="auto"/>
              <w:right w:val="single" w:sz="4" w:space="0" w:color="auto"/>
            </w:tcBorders>
          </w:tcPr>
          <w:p w14:paraId="0307C954"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5CC3543C"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Procesorius</w:t>
            </w:r>
          </w:p>
        </w:tc>
        <w:tc>
          <w:tcPr>
            <w:tcW w:w="4142" w:type="dxa"/>
            <w:tcBorders>
              <w:top w:val="nil"/>
              <w:left w:val="nil"/>
              <w:bottom w:val="single" w:sz="4" w:space="0" w:color="auto"/>
              <w:right w:val="single" w:sz="4" w:space="0" w:color="auto"/>
            </w:tcBorders>
            <w:hideMark/>
          </w:tcPr>
          <w:p w14:paraId="694223A7" w14:textId="696D58C8" w:rsidR="008D3F31" w:rsidRPr="00CA7EF9" w:rsidRDefault="003C00B4" w:rsidP="00755125">
            <w:pPr>
              <w:spacing w:after="0" w:line="240" w:lineRule="auto"/>
              <w:jc w:val="both"/>
              <w:rPr>
                <w:rFonts w:cs="Calibri"/>
                <w:color w:val="000000"/>
                <w:sz w:val="20"/>
                <w:szCs w:val="20"/>
                <w:lang w:eastAsia="lt-LT"/>
              </w:rPr>
            </w:pPr>
            <w:r w:rsidRPr="00282C45">
              <w:rPr>
                <w:rFonts w:cs="Calibri"/>
                <w:sz w:val="20"/>
                <w:szCs w:val="20"/>
                <w:lang w:eastAsia="lt-LT"/>
              </w:rPr>
              <w:t xml:space="preserve">Ne mažiau kaip 1 procesorius, palaikantis taikomąsias programas, 64 bitų instrukcijų išplėtimą, virtualizavimo instrukcijas aparatiniu lygmeniu, ne mažiau kaip </w:t>
            </w:r>
            <w:r>
              <w:rPr>
                <w:rFonts w:cs="Calibri"/>
                <w:sz w:val="20"/>
                <w:szCs w:val="20"/>
                <w:lang w:eastAsia="lt-LT"/>
              </w:rPr>
              <w:t>16</w:t>
            </w:r>
            <w:r w:rsidRPr="00282C45">
              <w:rPr>
                <w:rFonts w:cs="Calibri"/>
                <w:sz w:val="20"/>
                <w:szCs w:val="20"/>
                <w:lang w:eastAsia="lt-LT"/>
              </w:rPr>
              <w:t xml:space="preserve"> fizinių branduolių bei ne mažiau kaip 12 atminties kanalų  procesoriuje. Procesoriaus dažnis ne mažesnis kaip </w:t>
            </w:r>
            <w:r w:rsidR="007312BC">
              <w:rPr>
                <w:rFonts w:cs="Calibri"/>
                <w:sz w:val="20"/>
                <w:szCs w:val="20"/>
                <w:lang w:eastAsia="lt-LT"/>
              </w:rPr>
              <w:t>3.4</w:t>
            </w:r>
            <w:r w:rsidRPr="00282C45">
              <w:rPr>
                <w:rFonts w:cs="Calibri"/>
                <w:sz w:val="20"/>
                <w:szCs w:val="20"/>
                <w:lang w:eastAsia="lt-LT"/>
              </w:rPr>
              <w:t xml:space="preserve"> Ghz.</w:t>
            </w:r>
          </w:p>
        </w:tc>
        <w:tc>
          <w:tcPr>
            <w:tcW w:w="4119" w:type="dxa"/>
            <w:tcBorders>
              <w:top w:val="nil"/>
              <w:left w:val="nil"/>
              <w:bottom w:val="single" w:sz="4" w:space="0" w:color="auto"/>
              <w:right w:val="single" w:sz="4" w:space="0" w:color="auto"/>
            </w:tcBorders>
            <w:hideMark/>
          </w:tcPr>
          <w:p w14:paraId="295E9D0E" w14:textId="255B0246" w:rsidR="008D3F31" w:rsidRPr="00CD6D78" w:rsidRDefault="008D3F31" w:rsidP="00755125">
            <w:pPr>
              <w:spacing w:after="0" w:line="240" w:lineRule="auto"/>
              <w:jc w:val="center"/>
              <w:rPr>
                <w:rFonts w:cs="Calibri"/>
                <w:color w:val="000000"/>
                <w:sz w:val="20"/>
                <w:szCs w:val="20"/>
                <w:lang w:eastAsia="lt-LT"/>
              </w:rPr>
            </w:pPr>
          </w:p>
        </w:tc>
      </w:tr>
      <w:tr w:rsidR="008D3F31" w:rsidRPr="00CD6D78" w14:paraId="73B5DF3D" w14:textId="77777777" w:rsidTr="3C2876EF">
        <w:trPr>
          <w:trHeight w:val="1534"/>
        </w:trPr>
        <w:tc>
          <w:tcPr>
            <w:tcW w:w="691" w:type="dxa"/>
            <w:tcBorders>
              <w:top w:val="nil"/>
              <w:left w:val="single" w:sz="4" w:space="0" w:color="auto"/>
              <w:bottom w:val="single" w:sz="4" w:space="0" w:color="auto"/>
              <w:right w:val="single" w:sz="4" w:space="0" w:color="auto"/>
            </w:tcBorders>
          </w:tcPr>
          <w:p w14:paraId="1B4D17DB"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7798F024"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Procesoriaus našumas</w:t>
            </w:r>
          </w:p>
        </w:tc>
        <w:tc>
          <w:tcPr>
            <w:tcW w:w="4142" w:type="dxa"/>
            <w:tcBorders>
              <w:top w:val="nil"/>
              <w:left w:val="nil"/>
              <w:bottom w:val="single" w:sz="4" w:space="0" w:color="auto"/>
              <w:right w:val="single" w:sz="4" w:space="0" w:color="auto"/>
            </w:tcBorders>
            <w:hideMark/>
          </w:tcPr>
          <w:p w14:paraId="41418F23" w14:textId="7F104086"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Siūlomo procesoriaus našumo parametrai turi būti viešai publikuojami puslapyje www.spec.org. Procesoriaus testas turi būti atliktas siūlomoje serverio gamintojo aparatinėje platformoje ir turi atitikti siūlomos sistemos procesoriaus bazinio našumo rodiklį. Matavimai turi būti atlikti 1 procesoriaus sistemai ir būti ne  mažesni nei SPECrate2017_int_base=</w:t>
            </w:r>
            <w:r w:rsidR="006410B9">
              <w:rPr>
                <w:rFonts w:cs="Calibri"/>
                <w:color w:val="000000"/>
                <w:sz w:val="20"/>
                <w:szCs w:val="20"/>
                <w:lang w:eastAsia="lt-LT"/>
              </w:rPr>
              <w:t>3</w:t>
            </w:r>
            <w:r w:rsidRPr="00CA7EF9">
              <w:rPr>
                <w:rFonts w:cs="Calibri"/>
                <w:color w:val="000000"/>
                <w:sz w:val="20"/>
                <w:szCs w:val="20"/>
                <w:lang w:eastAsia="lt-LT"/>
              </w:rPr>
              <w:t xml:space="preserve">00 ir </w:t>
            </w:r>
            <w:r w:rsidR="00E56250">
              <w:rPr>
                <w:rFonts w:cs="Calibri"/>
                <w:color w:val="000000"/>
                <w:sz w:val="20"/>
                <w:szCs w:val="20"/>
                <w:lang w:eastAsia="lt-LT"/>
              </w:rPr>
              <w:t>ne</w:t>
            </w:r>
            <w:r w:rsidR="00675F18">
              <w:rPr>
                <w:rFonts w:cs="Calibri"/>
                <w:color w:val="000000"/>
                <w:sz w:val="20"/>
                <w:szCs w:val="20"/>
                <w:lang w:eastAsia="lt-LT"/>
              </w:rPr>
              <w:t xml:space="preserve"> </w:t>
            </w:r>
            <w:r w:rsidR="00E56250">
              <w:rPr>
                <w:rFonts w:cs="Calibri"/>
                <w:color w:val="000000"/>
                <w:sz w:val="20"/>
                <w:szCs w:val="20"/>
                <w:lang w:eastAsia="lt-LT"/>
              </w:rPr>
              <w:t>maž</w:t>
            </w:r>
            <w:r w:rsidR="00D916FB">
              <w:rPr>
                <w:rFonts w:cs="Calibri"/>
                <w:color w:val="000000"/>
                <w:sz w:val="20"/>
                <w:szCs w:val="20"/>
                <w:lang w:eastAsia="lt-LT"/>
              </w:rPr>
              <w:t>iau</w:t>
            </w:r>
            <w:r w:rsidR="00E56250">
              <w:rPr>
                <w:rFonts w:cs="Calibri"/>
                <w:color w:val="000000"/>
                <w:sz w:val="20"/>
                <w:szCs w:val="20"/>
                <w:lang w:eastAsia="lt-LT"/>
              </w:rPr>
              <w:t xml:space="preserve"> kaip </w:t>
            </w:r>
            <w:r w:rsidRPr="00CA7EF9">
              <w:rPr>
                <w:rFonts w:cs="Calibri"/>
                <w:color w:val="000000"/>
                <w:sz w:val="20"/>
                <w:szCs w:val="20"/>
                <w:lang w:eastAsia="lt-LT"/>
              </w:rPr>
              <w:t>SPECrate_fp_base=</w:t>
            </w:r>
            <w:r w:rsidR="006410B9">
              <w:rPr>
                <w:rFonts w:cs="Calibri"/>
                <w:color w:val="000000"/>
                <w:sz w:val="20"/>
                <w:szCs w:val="20"/>
                <w:lang w:eastAsia="lt-LT"/>
              </w:rPr>
              <w:t>2</w:t>
            </w:r>
            <w:r w:rsidRPr="00CA7EF9">
              <w:rPr>
                <w:rFonts w:cs="Calibri"/>
                <w:color w:val="000000"/>
                <w:sz w:val="20"/>
                <w:szCs w:val="20"/>
                <w:lang w:eastAsia="lt-LT"/>
              </w:rPr>
              <w:t xml:space="preserve">00. </w:t>
            </w:r>
          </w:p>
        </w:tc>
        <w:tc>
          <w:tcPr>
            <w:tcW w:w="4119" w:type="dxa"/>
            <w:tcBorders>
              <w:top w:val="nil"/>
              <w:left w:val="nil"/>
              <w:bottom w:val="single" w:sz="4" w:space="0" w:color="auto"/>
              <w:right w:val="single" w:sz="4" w:space="0" w:color="auto"/>
            </w:tcBorders>
            <w:hideMark/>
          </w:tcPr>
          <w:p w14:paraId="0B1D0783" w14:textId="77777777" w:rsidR="008D3F31" w:rsidRPr="00CD6D78" w:rsidRDefault="008D3F31" w:rsidP="00755125">
            <w:pPr>
              <w:spacing w:after="0" w:line="240" w:lineRule="auto"/>
              <w:jc w:val="center"/>
              <w:rPr>
                <w:rFonts w:cs="Calibri"/>
                <w:color w:val="000000"/>
                <w:sz w:val="20"/>
                <w:szCs w:val="20"/>
                <w:lang w:eastAsia="lt-LT"/>
              </w:rPr>
            </w:pPr>
          </w:p>
        </w:tc>
      </w:tr>
      <w:tr w:rsidR="008D3F31" w:rsidRPr="00D6025C" w14:paraId="10BE50FA" w14:textId="77777777" w:rsidTr="3C2876EF">
        <w:trPr>
          <w:trHeight w:val="992"/>
        </w:trPr>
        <w:tc>
          <w:tcPr>
            <w:tcW w:w="691" w:type="dxa"/>
            <w:tcBorders>
              <w:top w:val="nil"/>
              <w:left w:val="single" w:sz="4" w:space="0" w:color="auto"/>
              <w:bottom w:val="single" w:sz="4" w:space="0" w:color="auto"/>
              <w:right w:val="single" w:sz="4" w:space="0" w:color="auto"/>
            </w:tcBorders>
          </w:tcPr>
          <w:p w14:paraId="23421F46"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3AB67A80"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Operatyvioji atmintis</w:t>
            </w:r>
          </w:p>
        </w:tc>
        <w:tc>
          <w:tcPr>
            <w:tcW w:w="4142" w:type="dxa"/>
            <w:tcBorders>
              <w:top w:val="nil"/>
              <w:left w:val="nil"/>
              <w:bottom w:val="single" w:sz="4" w:space="0" w:color="auto"/>
              <w:right w:val="single" w:sz="4" w:space="0" w:color="auto"/>
            </w:tcBorders>
            <w:hideMark/>
          </w:tcPr>
          <w:p w14:paraId="05865194" w14:textId="1BB82FAA"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 xml:space="preserve">Ne mažiau ir ne lėtesnė kaip: </w:t>
            </w:r>
            <w:r w:rsidR="007312BC">
              <w:rPr>
                <w:rFonts w:cs="Calibri"/>
                <w:color w:val="000000"/>
                <w:sz w:val="20"/>
                <w:szCs w:val="20"/>
                <w:lang w:eastAsia="lt-LT"/>
              </w:rPr>
              <w:t>64</w:t>
            </w:r>
            <w:r w:rsidR="007312BC" w:rsidRPr="00CA7EF9">
              <w:rPr>
                <w:rFonts w:cs="Calibri"/>
                <w:color w:val="000000"/>
                <w:sz w:val="20"/>
                <w:szCs w:val="20"/>
                <w:lang w:eastAsia="lt-LT"/>
              </w:rPr>
              <w:t xml:space="preserve"> </w:t>
            </w:r>
            <w:r w:rsidRPr="00CA7EF9">
              <w:rPr>
                <w:rFonts w:cs="Calibri"/>
                <w:color w:val="000000"/>
                <w:sz w:val="20"/>
                <w:szCs w:val="20"/>
                <w:lang w:eastAsia="lt-LT"/>
              </w:rPr>
              <w:t xml:space="preserve">GB  DDR5 6400 MTs ECC RDIMM. Atmintis plečiama  iki 4TB su ne mažiau nei 16 atminties lizdų. Turi būti palaikomos „Advanced ECC“ arba lygiavertės technologijos. </w:t>
            </w:r>
          </w:p>
        </w:tc>
        <w:tc>
          <w:tcPr>
            <w:tcW w:w="4119" w:type="dxa"/>
            <w:tcBorders>
              <w:top w:val="nil"/>
              <w:left w:val="nil"/>
              <w:bottom w:val="single" w:sz="4" w:space="0" w:color="auto"/>
              <w:right w:val="single" w:sz="4" w:space="0" w:color="auto"/>
            </w:tcBorders>
            <w:hideMark/>
          </w:tcPr>
          <w:p w14:paraId="0CF43C69"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237BC59E" w14:textId="77777777" w:rsidTr="3C2876EF">
        <w:trPr>
          <w:trHeight w:val="450"/>
        </w:trPr>
        <w:tc>
          <w:tcPr>
            <w:tcW w:w="691" w:type="dxa"/>
            <w:tcBorders>
              <w:top w:val="nil"/>
              <w:left w:val="single" w:sz="4" w:space="0" w:color="auto"/>
              <w:bottom w:val="single" w:sz="4" w:space="0" w:color="auto"/>
              <w:right w:val="single" w:sz="4" w:space="0" w:color="auto"/>
            </w:tcBorders>
          </w:tcPr>
          <w:p w14:paraId="70354F93"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tcPr>
          <w:p w14:paraId="483AA28D"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Diskiniai kaupikliai ir jų kontroleris</w:t>
            </w:r>
          </w:p>
        </w:tc>
        <w:tc>
          <w:tcPr>
            <w:tcW w:w="4142" w:type="dxa"/>
            <w:tcBorders>
              <w:top w:val="nil"/>
              <w:left w:val="single" w:sz="4" w:space="0" w:color="auto"/>
              <w:bottom w:val="single" w:sz="4" w:space="0" w:color="auto"/>
              <w:right w:val="single" w:sz="4" w:space="0" w:color="auto"/>
            </w:tcBorders>
          </w:tcPr>
          <w:p w14:paraId="0C7AE7A6" w14:textId="7306030D" w:rsidR="008D3F31"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 xml:space="preserve">Turi būti ne mažiau kaip </w:t>
            </w:r>
            <w:r w:rsidR="0032478B">
              <w:rPr>
                <w:rFonts w:cs="Calibri"/>
                <w:color w:val="000000"/>
                <w:sz w:val="20"/>
                <w:szCs w:val="20"/>
                <w:lang w:eastAsia="lt-LT"/>
              </w:rPr>
              <w:t>6</w:t>
            </w:r>
            <w:r w:rsidR="0032478B" w:rsidRPr="00CA7EF9">
              <w:rPr>
                <w:rFonts w:cs="Calibri"/>
                <w:color w:val="000000"/>
                <w:sz w:val="20"/>
                <w:szCs w:val="20"/>
                <w:lang w:eastAsia="lt-LT"/>
              </w:rPr>
              <w:t xml:space="preserve"> </w:t>
            </w:r>
            <w:r w:rsidRPr="00CA7EF9">
              <w:rPr>
                <w:rFonts w:cs="Calibri"/>
                <w:color w:val="000000"/>
                <w:sz w:val="20"/>
                <w:szCs w:val="20"/>
                <w:lang w:eastAsia="lt-LT"/>
              </w:rPr>
              <w:t>vnt., ne mažesnės talpos kaip 12 TB, ne blogesnės kaip SA</w:t>
            </w:r>
            <w:r w:rsidR="00586F46">
              <w:rPr>
                <w:rFonts w:cs="Calibri"/>
                <w:color w:val="000000"/>
                <w:sz w:val="20"/>
                <w:szCs w:val="20"/>
                <w:lang w:eastAsia="lt-LT"/>
              </w:rPr>
              <w:t>TA</w:t>
            </w:r>
            <w:r w:rsidRPr="00CA7EF9">
              <w:rPr>
                <w:rFonts w:cs="Calibri"/>
                <w:color w:val="000000"/>
                <w:sz w:val="20"/>
                <w:szCs w:val="20"/>
                <w:lang w:eastAsia="lt-LT"/>
              </w:rPr>
              <w:t xml:space="preserve"> 7.2K 3.5“ technologijos karšto keitimo diskai. </w:t>
            </w:r>
          </w:p>
          <w:p w14:paraId="72E297A4" w14:textId="58ECC1FD" w:rsidR="006A31AE" w:rsidRPr="00CA7EF9" w:rsidRDefault="006A31AE" w:rsidP="00755125">
            <w:pPr>
              <w:spacing w:after="0" w:line="240" w:lineRule="auto"/>
              <w:jc w:val="both"/>
              <w:rPr>
                <w:rFonts w:cs="Calibri"/>
                <w:color w:val="000000"/>
                <w:sz w:val="20"/>
                <w:szCs w:val="20"/>
                <w:lang w:eastAsia="lt-LT"/>
              </w:rPr>
            </w:pPr>
            <w:r>
              <w:rPr>
                <w:rFonts w:cs="Calibri"/>
                <w:color w:val="000000"/>
                <w:sz w:val="20"/>
                <w:szCs w:val="20"/>
                <w:lang w:eastAsia="lt-LT"/>
              </w:rPr>
              <w:t xml:space="preserve">Turi būti ne mažiau kaip 2 vnt., ne mažesnės talpos </w:t>
            </w:r>
            <w:r w:rsidR="00AE22D1">
              <w:rPr>
                <w:rFonts w:cs="Calibri"/>
                <w:color w:val="000000"/>
                <w:sz w:val="20"/>
                <w:szCs w:val="20"/>
                <w:lang w:eastAsia="lt-LT"/>
              </w:rPr>
              <w:t>kaip 470GB S</w:t>
            </w:r>
            <w:r w:rsidR="00294418">
              <w:rPr>
                <w:rFonts w:cs="Calibri"/>
                <w:color w:val="000000"/>
                <w:sz w:val="20"/>
                <w:szCs w:val="20"/>
                <w:lang w:eastAsia="lt-LT"/>
              </w:rPr>
              <w:t>S</w:t>
            </w:r>
            <w:r w:rsidR="00AE22D1">
              <w:rPr>
                <w:rFonts w:cs="Calibri"/>
                <w:color w:val="000000"/>
                <w:sz w:val="20"/>
                <w:szCs w:val="20"/>
                <w:lang w:eastAsia="lt-LT"/>
              </w:rPr>
              <w:t>D SATA diskai.</w:t>
            </w:r>
          </w:p>
          <w:p w14:paraId="62157869" w14:textId="23A477F6" w:rsidR="008D3F31" w:rsidRPr="00CA7EF9" w:rsidRDefault="00A54D09" w:rsidP="00755125">
            <w:pPr>
              <w:spacing w:after="0" w:line="240" w:lineRule="auto"/>
              <w:jc w:val="both"/>
              <w:rPr>
                <w:rFonts w:cs="Calibri"/>
                <w:color w:val="000000"/>
                <w:sz w:val="20"/>
                <w:szCs w:val="20"/>
                <w:lang w:eastAsia="lt-LT"/>
              </w:rPr>
            </w:pPr>
            <w:r w:rsidRPr="52292479">
              <w:rPr>
                <w:rFonts w:cs="Calibri"/>
                <w:color w:val="000000" w:themeColor="text1"/>
                <w:sz w:val="20"/>
                <w:szCs w:val="20"/>
                <w:lang w:eastAsia="lt-LT"/>
              </w:rPr>
              <w:t xml:space="preserve">Turi būti </w:t>
            </w:r>
            <w:r w:rsidRPr="26A83943">
              <w:rPr>
                <w:rFonts w:cs="Calibri"/>
                <w:color w:val="000000" w:themeColor="text1"/>
                <w:sz w:val="20"/>
                <w:szCs w:val="20"/>
                <w:lang w:eastAsia="lt-LT"/>
              </w:rPr>
              <w:t>galima</w:t>
            </w:r>
            <w:r w:rsidR="008D3F31" w:rsidRPr="00CA7EF9">
              <w:rPr>
                <w:rFonts w:cs="Calibri"/>
                <w:color w:val="000000"/>
                <w:sz w:val="20"/>
                <w:szCs w:val="20"/>
                <w:lang w:eastAsia="lt-LT"/>
              </w:rPr>
              <w:t xml:space="preserve"> plėsti iki 12 vnt. diskų.</w:t>
            </w:r>
          </w:p>
          <w:p w14:paraId="6CB93B52" w14:textId="637A3549"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Ne blogiau nei PCIe Gen</w:t>
            </w:r>
            <w:r w:rsidR="006A31AE">
              <w:rPr>
                <w:rFonts w:cs="Calibri"/>
                <w:color w:val="000000"/>
                <w:sz w:val="20"/>
                <w:szCs w:val="20"/>
                <w:lang w:eastAsia="lt-LT"/>
              </w:rPr>
              <w:t>4</w:t>
            </w:r>
            <w:r w:rsidRPr="00CA7EF9">
              <w:rPr>
                <w:rFonts w:cs="Calibri"/>
                <w:color w:val="000000"/>
                <w:sz w:val="20"/>
                <w:szCs w:val="20"/>
                <w:lang w:eastAsia="lt-LT"/>
              </w:rPr>
              <w:t xml:space="preserve"> RAID kontroleris palaikantis RAID lygius </w:t>
            </w:r>
            <w:r w:rsidRPr="00CA7EF9">
              <w:rPr>
                <w:rFonts w:cs="Calibri" w:hint="cs"/>
                <w:color w:val="000000"/>
                <w:sz w:val="20"/>
                <w:szCs w:val="20"/>
                <w:lang w:eastAsia="lt-LT"/>
              </w:rPr>
              <w:t xml:space="preserve">0, 1, 5, 6, 10, 50, </w:t>
            </w:r>
            <w:r w:rsidRPr="00CA7EF9">
              <w:rPr>
                <w:rFonts w:cs="Calibri"/>
                <w:color w:val="000000"/>
                <w:sz w:val="20"/>
                <w:szCs w:val="20"/>
                <w:lang w:eastAsia="lt-LT"/>
              </w:rPr>
              <w:t xml:space="preserve">ir </w:t>
            </w:r>
            <w:r w:rsidRPr="00CA7EF9">
              <w:rPr>
                <w:rFonts w:cs="Calibri" w:hint="cs"/>
                <w:color w:val="000000"/>
                <w:sz w:val="20"/>
                <w:szCs w:val="20"/>
                <w:lang w:eastAsia="lt-LT"/>
              </w:rPr>
              <w:t>60</w:t>
            </w:r>
            <w:r w:rsidRPr="00CA7EF9">
              <w:rPr>
                <w:rFonts w:cs="Calibri"/>
                <w:color w:val="000000"/>
                <w:sz w:val="20"/>
                <w:szCs w:val="20"/>
                <w:lang w:eastAsia="lt-LT"/>
              </w:rPr>
              <w:t xml:space="preserve"> su 8 GB „Flash“ tipo atmintimi apsaugotos spartinančiosios atminties</w:t>
            </w:r>
          </w:p>
          <w:p w14:paraId="19259734" w14:textId="77777777" w:rsidR="008D3F31" w:rsidRPr="00CA7EF9" w:rsidRDefault="008D3F31" w:rsidP="00755125">
            <w:pPr>
              <w:spacing w:after="0" w:line="240" w:lineRule="auto"/>
              <w:jc w:val="both"/>
              <w:rPr>
                <w:rFonts w:cs="Calibri"/>
                <w:color w:val="000000"/>
                <w:sz w:val="20"/>
                <w:szCs w:val="20"/>
                <w:lang w:eastAsia="lt-LT"/>
              </w:rPr>
            </w:pPr>
          </w:p>
        </w:tc>
        <w:tc>
          <w:tcPr>
            <w:tcW w:w="4119" w:type="dxa"/>
            <w:tcBorders>
              <w:top w:val="nil"/>
              <w:left w:val="single" w:sz="4" w:space="0" w:color="auto"/>
              <w:bottom w:val="single" w:sz="4" w:space="0" w:color="auto"/>
              <w:right w:val="single" w:sz="4" w:space="0" w:color="auto"/>
            </w:tcBorders>
          </w:tcPr>
          <w:p w14:paraId="52265445" w14:textId="77777777" w:rsidR="008D3F31" w:rsidRPr="00D6025C" w:rsidRDefault="008D3F31" w:rsidP="00755125">
            <w:pPr>
              <w:spacing w:after="0" w:line="240" w:lineRule="auto"/>
              <w:jc w:val="center"/>
              <w:rPr>
                <w:rFonts w:cs="Calibri"/>
                <w:color w:val="000000"/>
                <w:sz w:val="20"/>
                <w:szCs w:val="20"/>
                <w:lang w:eastAsia="lt-LT"/>
              </w:rPr>
            </w:pPr>
          </w:p>
        </w:tc>
      </w:tr>
      <w:tr w:rsidR="008D3F31" w:rsidRPr="00D6025C" w14:paraId="00D360EA" w14:textId="77777777" w:rsidTr="3C2876EF">
        <w:trPr>
          <w:trHeight w:val="300"/>
        </w:trPr>
        <w:tc>
          <w:tcPr>
            <w:tcW w:w="691" w:type="dxa"/>
            <w:tcBorders>
              <w:top w:val="nil"/>
              <w:left w:val="single" w:sz="4" w:space="0" w:color="auto"/>
              <w:bottom w:val="single" w:sz="4" w:space="0" w:color="auto"/>
              <w:right w:val="single" w:sz="4" w:space="0" w:color="auto"/>
            </w:tcBorders>
          </w:tcPr>
          <w:p w14:paraId="397F956C"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6E941E3B"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Tinklo plokštės:</w:t>
            </w:r>
          </w:p>
        </w:tc>
        <w:tc>
          <w:tcPr>
            <w:tcW w:w="4142" w:type="dxa"/>
            <w:tcBorders>
              <w:top w:val="nil"/>
              <w:left w:val="nil"/>
              <w:bottom w:val="single" w:sz="4" w:space="0" w:color="auto"/>
              <w:right w:val="single" w:sz="4" w:space="0" w:color="auto"/>
            </w:tcBorders>
            <w:hideMark/>
          </w:tcPr>
          <w:p w14:paraId="4358C102" w14:textId="77777777"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Ne mažiau kaip  4 vnt. 25G SFP28 prievadų.</w:t>
            </w:r>
          </w:p>
          <w:p w14:paraId="3EF14211" w14:textId="77777777" w:rsidR="008D3F31" w:rsidRPr="00CA7EF9" w:rsidRDefault="008D3F31" w:rsidP="00755125">
            <w:pPr>
              <w:spacing w:after="0" w:line="240" w:lineRule="auto"/>
              <w:jc w:val="both"/>
              <w:rPr>
                <w:rFonts w:cs="Calibri"/>
                <w:color w:val="000000"/>
                <w:sz w:val="20"/>
                <w:szCs w:val="20"/>
                <w:lang w:eastAsia="lt-LT"/>
              </w:rPr>
            </w:pPr>
          </w:p>
        </w:tc>
        <w:tc>
          <w:tcPr>
            <w:tcW w:w="4119" w:type="dxa"/>
            <w:tcBorders>
              <w:top w:val="nil"/>
              <w:left w:val="nil"/>
              <w:bottom w:val="single" w:sz="4" w:space="0" w:color="auto"/>
              <w:right w:val="single" w:sz="4" w:space="0" w:color="auto"/>
            </w:tcBorders>
            <w:hideMark/>
          </w:tcPr>
          <w:p w14:paraId="488065EF"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03F03E1D" w14:textId="77777777" w:rsidTr="3C2876EF">
        <w:trPr>
          <w:trHeight w:val="511"/>
        </w:trPr>
        <w:tc>
          <w:tcPr>
            <w:tcW w:w="691" w:type="dxa"/>
            <w:tcBorders>
              <w:top w:val="nil"/>
              <w:left w:val="single" w:sz="4" w:space="0" w:color="auto"/>
              <w:bottom w:val="single" w:sz="4" w:space="0" w:color="auto"/>
              <w:right w:val="single" w:sz="4" w:space="0" w:color="auto"/>
            </w:tcBorders>
          </w:tcPr>
          <w:p w14:paraId="48399160"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638AFBB2"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Kitos jungtys</w:t>
            </w:r>
          </w:p>
        </w:tc>
        <w:tc>
          <w:tcPr>
            <w:tcW w:w="4142" w:type="dxa"/>
            <w:tcBorders>
              <w:top w:val="nil"/>
              <w:left w:val="nil"/>
              <w:bottom w:val="single" w:sz="4" w:space="0" w:color="auto"/>
              <w:right w:val="single" w:sz="4" w:space="0" w:color="auto"/>
            </w:tcBorders>
            <w:hideMark/>
          </w:tcPr>
          <w:p w14:paraId="65E6CF93" w14:textId="77777777"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 xml:space="preserve">Ne mažiau kaip: 4 x USB, 1 x VGA. </w:t>
            </w:r>
          </w:p>
        </w:tc>
        <w:tc>
          <w:tcPr>
            <w:tcW w:w="4119" w:type="dxa"/>
            <w:tcBorders>
              <w:top w:val="nil"/>
              <w:left w:val="nil"/>
              <w:bottom w:val="single" w:sz="4" w:space="0" w:color="auto"/>
              <w:right w:val="single" w:sz="4" w:space="0" w:color="auto"/>
            </w:tcBorders>
            <w:hideMark/>
          </w:tcPr>
          <w:p w14:paraId="62B63A87"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5AAEF13A" w14:textId="77777777" w:rsidTr="3C2876EF">
        <w:trPr>
          <w:trHeight w:val="511"/>
        </w:trPr>
        <w:tc>
          <w:tcPr>
            <w:tcW w:w="691" w:type="dxa"/>
            <w:tcBorders>
              <w:top w:val="nil"/>
              <w:left w:val="single" w:sz="4" w:space="0" w:color="auto"/>
              <w:bottom w:val="single" w:sz="4" w:space="0" w:color="auto"/>
              <w:right w:val="single" w:sz="4" w:space="0" w:color="auto"/>
            </w:tcBorders>
          </w:tcPr>
          <w:p w14:paraId="328B95AF"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2FFA286D"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PCI jungtys</w:t>
            </w:r>
          </w:p>
        </w:tc>
        <w:tc>
          <w:tcPr>
            <w:tcW w:w="4142" w:type="dxa"/>
            <w:tcBorders>
              <w:top w:val="nil"/>
              <w:left w:val="nil"/>
              <w:bottom w:val="single" w:sz="4" w:space="0" w:color="auto"/>
              <w:right w:val="single" w:sz="4" w:space="0" w:color="auto"/>
            </w:tcBorders>
            <w:hideMark/>
          </w:tcPr>
          <w:p w14:paraId="2AEDACE0" w14:textId="1B580924" w:rsidR="008D3F31" w:rsidRPr="00CA7EF9" w:rsidRDefault="008D3F31" w:rsidP="00755125">
            <w:pPr>
              <w:spacing w:after="0" w:line="240" w:lineRule="auto"/>
              <w:jc w:val="both"/>
              <w:rPr>
                <w:rFonts w:cs="Calibri"/>
                <w:color w:val="000000"/>
                <w:sz w:val="20"/>
                <w:szCs w:val="20"/>
                <w:lang w:eastAsia="lt-LT"/>
              </w:rPr>
            </w:pPr>
            <w:r w:rsidRPr="6B2A5F55">
              <w:rPr>
                <w:rFonts w:cs="Calibri"/>
                <w:color w:val="000000" w:themeColor="text1"/>
                <w:sz w:val="20"/>
                <w:szCs w:val="20"/>
                <w:lang w:eastAsia="lt-LT"/>
              </w:rPr>
              <w:t xml:space="preserve">Turi būti sukonfigūruoti ne mažiau kaip </w:t>
            </w:r>
            <w:r w:rsidR="009F29EC">
              <w:rPr>
                <w:rFonts w:cs="Calibri"/>
                <w:color w:val="000000" w:themeColor="text1"/>
                <w:sz w:val="20"/>
                <w:szCs w:val="20"/>
                <w:lang w:eastAsia="lt-LT"/>
              </w:rPr>
              <w:t>1</w:t>
            </w:r>
            <w:r w:rsidR="009F29EC" w:rsidRPr="6B2A5F55">
              <w:rPr>
                <w:rFonts w:cs="Calibri"/>
                <w:color w:val="000000" w:themeColor="text1"/>
                <w:sz w:val="20"/>
                <w:szCs w:val="20"/>
                <w:lang w:eastAsia="lt-LT"/>
              </w:rPr>
              <w:t xml:space="preserve"> </w:t>
            </w:r>
            <w:r w:rsidRPr="6B2A5F55">
              <w:rPr>
                <w:rFonts w:cs="Calibri"/>
                <w:color w:val="000000" w:themeColor="text1"/>
                <w:sz w:val="20"/>
                <w:szCs w:val="20"/>
                <w:lang w:eastAsia="lt-LT"/>
              </w:rPr>
              <w:t xml:space="preserve">vnt. PCI-E 5.0 tipo lizdai ir </w:t>
            </w:r>
            <w:r w:rsidR="009367B9">
              <w:rPr>
                <w:rFonts w:cs="Calibri"/>
                <w:color w:val="000000" w:themeColor="text1"/>
                <w:sz w:val="20"/>
                <w:szCs w:val="20"/>
                <w:lang w:eastAsia="lt-LT"/>
              </w:rPr>
              <w:t>ne</w:t>
            </w:r>
            <w:r w:rsidR="004E1914">
              <w:rPr>
                <w:rFonts w:cs="Calibri"/>
                <w:color w:val="000000" w:themeColor="text1"/>
                <w:sz w:val="20"/>
                <w:szCs w:val="20"/>
                <w:lang w:eastAsia="lt-LT"/>
              </w:rPr>
              <w:t xml:space="preserve"> </w:t>
            </w:r>
            <w:r w:rsidR="009367B9">
              <w:rPr>
                <w:rFonts w:cs="Calibri"/>
                <w:color w:val="000000" w:themeColor="text1"/>
                <w:sz w:val="20"/>
                <w:szCs w:val="20"/>
                <w:lang w:eastAsia="lt-LT"/>
              </w:rPr>
              <w:t xml:space="preserve">mažiau kaip </w:t>
            </w:r>
            <w:r w:rsidRPr="6B2A5F55">
              <w:rPr>
                <w:rFonts w:cs="Calibri"/>
                <w:color w:val="000000" w:themeColor="text1"/>
                <w:sz w:val="20"/>
                <w:szCs w:val="20"/>
                <w:lang w:eastAsia="lt-LT"/>
              </w:rPr>
              <w:t>2 vnt. OCP lizdai.</w:t>
            </w:r>
          </w:p>
        </w:tc>
        <w:tc>
          <w:tcPr>
            <w:tcW w:w="4119" w:type="dxa"/>
            <w:tcBorders>
              <w:top w:val="nil"/>
              <w:left w:val="nil"/>
              <w:bottom w:val="single" w:sz="4" w:space="0" w:color="auto"/>
              <w:right w:val="single" w:sz="4" w:space="0" w:color="auto"/>
            </w:tcBorders>
            <w:hideMark/>
          </w:tcPr>
          <w:p w14:paraId="7B0DC797"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6B17105E" w14:textId="77777777" w:rsidTr="3C2876EF">
        <w:trPr>
          <w:trHeight w:val="992"/>
        </w:trPr>
        <w:tc>
          <w:tcPr>
            <w:tcW w:w="691" w:type="dxa"/>
            <w:tcBorders>
              <w:top w:val="nil"/>
              <w:left w:val="single" w:sz="4" w:space="0" w:color="auto"/>
              <w:bottom w:val="single" w:sz="4" w:space="0" w:color="auto"/>
              <w:right w:val="single" w:sz="4" w:space="0" w:color="auto"/>
            </w:tcBorders>
          </w:tcPr>
          <w:p w14:paraId="04692434"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509E821B"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Konstrukcija ir komplektacija</w:t>
            </w:r>
          </w:p>
        </w:tc>
        <w:tc>
          <w:tcPr>
            <w:tcW w:w="4142" w:type="dxa"/>
            <w:tcBorders>
              <w:top w:val="nil"/>
              <w:left w:val="nil"/>
              <w:bottom w:val="single" w:sz="4" w:space="0" w:color="auto"/>
              <w:right w:val="single" w:sz="4" w:space="0" w:color="auto"/>
            </w:tcBorders>
            <w:hideMark/>
          </w:tcPr>
          <w:p w14:paraId="49BF7318" w14:textId="77777777" w:rsidR="009421DE" w:rsidRPr="005E7BA3" w:rsidRDefault="009421DE" w:rsidP="009421DE">
            <w:pPr>
              <w:spacing w:after="0" w:line="240" w:lineRule="auto"/>
              <w:jc w:val="both"/>
              <w:rPr>
                <w:rFonts w:cs="Calibri"/>
                <w:color w:val="EE0000"/>
                <w:sz w:val="20"/>
                <w:szCs w:val="20"/>
                <w:lang w:eastAsia="lt-LT"/>
              </w:rPr>
            </w:pPr>
            <w:r w:rsidRPr="6A11E61D">
              <w:rPr>
                <w:rFonts w:cs="Calibri"/>
                <w:color w:val="000000" w:themeColor="text1"/>
                <w:sz w:val="20"/>
                <w:szCs w:val="20"/>
                <w:lang w:eastAsia="lt-LT"/>
              </w:rPr>
              <w:t>Serveris turi būti montuojamas į standartinę 19“ spintą. Bėgiai turi būti pritaikyti greitam montavimui bei serverio ištraukimui („sliding rails“). Korpuso aukštis neturi viršyti 2U. Serverio priekinėje dalyje turi būti sumontuota užrakinama apsauga.</w:t>
            </w:r>
          </w:p>
          <w:p w14:paraId="44D71C68" w14:textId="62DDDE5D" w:rsidR="008D3F31" w:rsidRPr="00CA7EF9" w:rsidRDefault="009421DE" w:rsidP="00755125">
            <w:pPr>
              <w:spacing w:after="0" w:line="240" w:lineRule="auto"/>
              <w:jc w:val="both"/>
              <w:rPr>
                <w:rFonts w:cs="Calibri"/>
                <w:color w:val="000000"/>
                <w:sz w:val="20"/>
                <w:szCs w:val="20"/>
                <w:lang w:eastAsia="lt-LT"/>
              </w:rPr>
            </w:pPr>
            <w:r w:rsidRPr="00E22EFD">
              <w:rPr>
                <w:rFonts w:cs="Calibri"/>
                <w:b/>
                <w:bCs/>
                <w:color w:val="000000" w:themeColor="text1"/>
                <w:sz w:val="20"/>
                <w:szCs w:val="20"/>
                <w:lang w:eastAsia="lt-LT"/>
              </w:rPr>
              <w:t>Turi būti pateikti jungiamieji kabeliai</w:t>
            </w:r>
            <w:r w:rsidRPr="1F40E3F1">
              <w:rPr>
                <w:rFonts w:cs="Calibri"/>
                <w:color w:val="000000" w:themeColor="text1"/>
                <w:sz w:val="20"/>
                <w:szCs w:val="20"/>
                <w:lang w:eastAsia="lt-LT"/>
              </w:rPr>
              <w:t xml:space="preserve">, jungtys, tvirtinimo detalės, bėgiai, bei priemonės, skirtos įrangos pajungimui ir montavimui į 19“ montažinę spintą, bei apjungimui su tinklo įranga.  </w:t>
            </w:r>
          </w:p>
        </w:tc>
        <w:tc>
          <w:tcPr>
            <w:tcW w:w="4119" w:type="dxa"/>
            <w:tcBorders>
              <w:top w:val="nil"/>
              <w:left w:val="nil"/>
              <w:bottom w:val="single" w:sz="4" w:space="0" w:color="auto"/>
              <w:right w:val="single" w:sz="4" w:space="0" w:color="auto"/>
            </w:tcBorders>
            <w:hideMark/>
          </w:tcPr>
          <w:p w14:paraId="0B698B70"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3D400F01" w14:textId="77777777" w:rsidTr="007B244A">
        <w:trPr>
          <w:trHeight w:val="992"/>
        </w:trPr>
        <w:tc>
          <w:tcPr>
            <w:tcW w:w="691" w:type="dxa"/>
            <w:tcBorders>
              <w:top w:val="nil"/>
              <w:left w:val="single" w:sz="4" w:space="0" w:color="auto"/>
              <w:bottom w:val="single" w:sz="4" w:space="0" w:color="auto"/>
              <w:right w:val="single" w:sz="4" w:space="0" w:color="auto"/>
            </w:tcBorders>
          </w:tcPr>
          <w:p w14:paraId="6EDBC754"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nil"/>
              <w:bottom w:val="single" w:sz="4" w:space="0" w:color="auto"/>
              <w:right w:val="single" w:sz="4" w:space="0" w:color="auto"/>
            </w:tcBorders>
            <w:hideMark/>
          </w:tcPr>
          <w:p w14:paraId="007AD1FD"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Maitinimo šaltiniai</w:t>
            </w:r>
          </w:p>
        </w:tc>
        <w:tc>
          <w:tcPr>
            <w:tcW w:w="4142" w:type="dxa"/>
            <w:tcBorders>
              <w:top w:val="nil"/>
              <w:left w:val="nil"/>
              <w:bottom w:val="single" w:sz="4" w:space="0" w:color="auto"/>
              <w:right w:val="single" w:sz="4" w:space="0" w:color="auto"/>
            </w:tcBorders>
            <w:hideMark/>
          </w:tcPr>
          <w:p w14:paraId="02D67CC1" w14:textId="1B6376E2"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Ne mažiau kaip du nepriklausomi „karšto keitimo“ (angl.</w:t>
            </w:r>
            <w:r w:rsidRPr="00CA7EF9">
              <w:rPr>
                <w:rFonts w:cs="Calibri"/>
                <w:i/>
                <w:iCs/>
                <w:color w:val="000000"/>
                <w:sz w:val="20"/>
                <w:szCs w:val="20"/>
                <w:lang w:eastAsia="lt-LT"/>
              </w:rPr>
              <w:t>Hot-plug)</w:t>
            </w:r>
            <w:r w:rsidRPr="00CA7EF9">
              <w:rPr>
                <w:rFonts w:cs="Calibri"/>
                <w:color w:val="000000"/>
                <w:sz w:val="20"/>
                <w:szCs w:val="20"/>
                <w:lang w:eastAsia="lt-LT"/>
              </w:rPr>
              <w:t xml:space="preserve"> 230 V 50 Hz įrenginiai, ne mažesnio kaip </w:t>
            </w:r>
            <w:r w:rsidR="00052A06">
              <w:rPr>
                <w:rFonts w:cs="Calibri"/>
                <w:color w:val="000000"/>
                <w:sz w:val="20"/>
                <w:szCs w:val="20"/>
                <w:lang w:eastAsia="lt-LT"/>
              </w:rPr>
              <w:t>75</w:t>
            </w:r>
            <w:r w:rsidR="00052A06" w:rsidRPr="00CA7EF9">
              <w:rPr>
                <w:rFonts w:cs="Calibri"/>
                <w:color w:val="000000"/>
                <w:sz w:val="20"/>
                <w:szCs w:val="20"/>
                <w:lang w:eastAsia="lt-LT"/>
              </w:rPr>
              <w:t xml:space="preserve">0 </w:t>
            </w:r>
            <w:r w:rsidRPr="00CA7EF9">
              <w:rPr>
                <w:rFonts w:cs="Calibri"/>
                <w:color w:val="000000"/>
                <w:sz w:val="20"/>
                <w:szCs w:val="20"/>
                <w:lang w:eastAsia="lt-LT"/>
              </w:rPr>
              <w:t xml:space="preserve">W galingumo su atskirais įvadais. </w:t>
            </w:r>
            <w:r w:rsidR="001D6C07">
              <w:rPr>
                <w:rFonts w:cs="Calibri"/>
                <w:color w:val="000000"/>
                <w:sz w:val="20"/>
                <w:szCs w:val="20"/>
                <w:lang w:eastAsia="lt-LT"/>
              </w:rPr>
              <w:t>Maitinimo šaltiniai turi turėti ne žemesnę kaip Titanium arba lygiavertę efektyvumo sertifikaciją.</w:t>
            </w:r>
          </w:p>
        </w:tc>
        <w:tc>
          <w:tcPr>
            <w:tcW w:w="4119" w:type="dxa"/>
            <w:tcBorders>
              <w:top w:val="nil"/>
              <w:left w:val="nil"/>
              <w:bottom w:val="single" w:sz="4" w:space="0" w:color="auto"/>
              <w:right w:val="single" w:sz="4" w:space="0" w:color="auto"/>
            </w:tcBorders>
            <w:hideMark/>
          </w:tcPr>
          <w:p w14:paraId="797CA12C"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735B4802" w14:textId="77777777" w:rsidTr="007B244A">
        <w:trPr>
          <w:trHeight w:val="511"/>
        </w:trPr>
        <w:tc>
          <w:tcPr>
            <w:tcW w:w="691" w:type="dxa"/>
            <w:tcBorders>
              <w:top w:val="single" w:sz="4" w:space="0" w:color="auto"/>
              <w:left w:val="single" w:sz="4" w:space="0" w:color="auto"/>
              <w:bottom w:val="single" w:sz="4" w:space="0" w:color="auto"/>
              <w:right w:val="single" w:sz="4" w:space="0" w:color="auto"/>
            </w:tcBorders>
          </w:tcPr>
          <w:p w14:paraId="5D8C67D0"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6E777738"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Aušinimas</w:t>
            </w:r>
          </w:p>
        </w:tc>
        <w:tc>
          <w:tcPr>
            <w:tcW w:w="4142" w:type="dxa"/>
            <w:tcBorders>
              <w:top w:val="single" w:sz="4" w:space="0" w:color="auto"/>
              <w:left w:val="nil"/>
              <w:bottom w:val="single" w:sz="4" w:space="0" w:color="auto"/>
              <w:right w:val="single" w:sz="4" w:space="0" w:color="auto"/>
            </w:tcBorders>
            <w:hideMark/>
          </w:tcPr>
          <w:p w14:paraId="78258551" w14:textId="74AFA565" w:rsidR="008D3F31" w:rsidRPr="00CA7EF9" w:rsidRDefault="00DA1576" w:rsidP="00755125">
            <w:pPr>
              <w:spacing w:after="0" w:line="240" w:lineRule="auto"/>
              <w:jc w:val="both"/>
              <w:rPr>
                <w:rFonts w:cs="Calibri"/>
                <w:color w:val="000000"/>
                <w:sz w:val="20"/>
                <w:szCs w:val="20"/>
                <w:lang w:eastAsia="lt-LT"/>
              </w:rPr>
            </w:pPr>
            <w:r>
              <w:rPr>
                <w:rFonts w:cs="Calibri"/>
                <w:color w:val="000000"/>
                <w:sz w:val="20"/>
                <w:szCs w:val="20"/>
                <w:lang w:eastAsia="lt-LT"/>
              </w:rPr>
              <w:t>Turi būti įrengti dubliuoti „karšto keitimo“ (angl. Hot-plug) tipo aušinimo moduliai.</w:t>
            </w:r>
          </w:p>
        </w:tc>
        <w:tc>
          <w:tcPr>
            <w:tcW w:w="4119" w:type="dxa"/>
            <w:tcBorders>
              <w:top w:val="single" w:sz="4" w:space="0" w:color="auto"/>
              <w:left w:val="nil"/>
              <w:bottom w:val="single" w:sz="4" w:space="0" w:color="auto"/>
              <w:right w:val="single" w:sz="4" w:space="0" w:color="auto"/>
            </w:tcBorders>
            <w:hideMark/>
          </w:tcPr>
          <w:p w14:paraId="52787CDF"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FB4D3E" w:rsidRPr="00D6025C" w14:paraId="274F0FDE" w14:textId="77777777" w:rsidTr="007B244A">
        <w:trPr>
          <w:trHeight w:val="992"/>
        </w:trPr>
        <w:tc>
          <w:tcPr>
            <w:tcW w:w="691" w:type="dxa"/>
            <w:vMerge w:val="restart"/>
            <w:tcBorders>
              <w:top w:val="single" w:sz="4" w:space="0" w:color="auto"/>
              <w:left w:val="single" w:sz="4" w:space="0" w:color="auto"/>
              <w:bottom w:val="single" w:sz="4" w:space="0" w:color="auto"/>
              <w:right w:val="single" w:sz="4" w:space="0" w:color="auto"/>
            </w:tcBorders>
          </w:tcPr>
          <w:p w14:paraId="0FE65C22" w14:textId="77777777" w:rsidR="00FB4D3E" w:rsidRPr="004320B0" w:rsidRDefault="00FB4D3E" w:rsidP="00FB4D3E">
            <w:pPr>
              <w:pStyle w:val="ListParagraph"/>
              <w:numPr>
                <w:ilvl w:val="0"/>
                <w:numId w:val="5"/>
              </w:numPr>
              <w:spacing w:after="0" w:line="240" w:lineRule="auto"/>
              <w:jc w:val="center"/>
              <w:rPr>
                <w:rFonts w:cs="Calibri"/>
                <w:color w:val="000000"/>
                <w:sz w:val="20"/>
                <w:szCs w:val="20"/>
                <w:lang w:eastAsia="lt-LT"/>
              </w:rPr>
            </w:pPr>
          </w:p>
        </w:tc>
        <w:tc>
          <w:tcPr>
            <w:tcW w:w="1533" w:type="dxa"/>
            <w:vMerge w:val="restart"/>
            <w:tcBorders>
              <w:top w:val="single" w:sz="4" w:space="0" w:color="auto"/>
              <w:left w:val="single" w:sz="4" w:space="0" w:color="auto"/>
              <w:bottom w:val="single" w:sz="4" w:space="0" w:color="auto"/>
              <w:right w:val="single" w:sz="4" w:space="0" w:color="auto"/>
            </w:tcBorders>
            <w:hideMark/>
          </w:tcPr>
          <w:p w14:paraId="13692AF1" w14:textId="05EA65FA" w:rsidR="00FB4D3E" w:rsidRPr="00CA7EF9" w:rsidRDefault="00FB4D3E" w:rsidP="00FB4D3E">
            <w:pPr>
              <w:spacing w:after="0" w:line="240" w:lineRule="auto"/>
              <w:jc w:val="center"/>
              <w:rPr>
                <w:rFonts w:cs="Calibri"/>
                <w:color w:val="000000"/>
                <w:sz w:val="20"/>
                <w:szCs w:val="20"/>
                <w:lang w:eastAsia="lt-LT"/>
              </w:rPr>
            </w:pPr>
            <w:r w:rsidRPr="001E2A95">
              <w:rPr>
                <w:rFonts w:cs="Calibri"/>
                <w:color w:val="000000"/>
                <w:sz w:val="20"/>
                <w:szCs w:val="20"/>
                <w:lang w:eastAsia="lt-LT"/>
              </w:rPr>
              <w:t>Valdymo sistema</w:t>
            </w:r>
          </w:p>
        </w:tc>
        <w:tc>
          <w:tcPr>
            <w:tcW w:w="4142" w:type="dxa"/>
            <w:tcBorders>
              <w:top w:val="single" w:sz="4" w:space="0" w:color="auto"/>
              <w:left w:val="nil"/>
              <w:bottom w:val="single" w:sz="4" w:space="0" w:color="auto"/>
              <w:right w:val="single" w:sz="4" w:space="0" w:color="auto"/>
            </w:tcBorders>
            <w:hideMark/>
          </w:tcPr>
          <w:p w14:paraId="44A127EE" w14:textId="7BF99AD6" w:rsidR="00FB4D3E" w:rsidRPr="00CA7EF9" w:rsidRDefault="00FB4D3E" w:rsidP="00FB4D3E">
            <w:pPr>
              <w:spacing w:after="0" w:line="240" w:lineRule="auto"/>
              <w:jc w:val="both"/>
              <w:rPr>
                <w:rFonts w:cs="Calibri"/>
                <w:color w:val="000000"/>
                <w:sz w:val="20"/>
                <w:szCs w:val="20"/>
                <w:lang w:eastAsia="lt-LT"/>
              </w:rPr>
            </w:pPr>
            <w:r w:rsidRPr="00D6025C">
              <w:rPr>
                <w:rFonts w:cs="Calibri"/>
                <w:color w:val="000000"/>
                <w:sz w:val="20"/>
                <w:szCs w:val="20"/>
                <w:lang w:eastAsia="lt-LT"/>
              </w:rPr>
              <w:t xml:space="preserve">Dedikuotas valdymo kontroleris, nepriklausantis nuo OS, turintis dedikuotą valdymo tinklo jungtį 10/100/1000 baseT Ethernet RJ-45 bei galimybę prisijungti per USB jungtį iš serverio priekio.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w:t>
            </w:r>
            <w:r w:rsidRPr="00D6025C">
              <w:rPr>
                <w:rFonts w:cs="Calibri"/>
                <w:color w:val="000000"/>
                <w:sz w:val="20"/>
                <w:szCs w:val="20"/>
                <w:lang w:eastAsia="lt-LT"/>
              </w:rPr>
              <w:lastRenderedPageBreak/>
              <w:t xml:space="preserve">palaikyti serverio komponentų  sisteminio kodo (firmware)  atnaujinimus. </w:t>
            </w:r>
          </w:p>
        </w:tc>
        <w:tc>
          <w:tcPr>
            <w:tcW w:w="4119" w:type="dxa"/>
            <w:vMerge w:val="restart"/>
            <w:tcBorders>
              <w:top w:val="single" w:sz="4" w:space="0" w:color="auto"/>
              <w:left w:val="single" w:sz="4" w:space="0" w:color="auto"/>
              <w:bottom w:val="single" w:sz="4" w:space="0" w:color="auto"/>
              <w:right w:val="single" w:sz="4" w:space="0" w:color="auto"/>
            </w:tcBorders>
            <w:hideMark/>
          </w:tcPr>
          <w:p w14:paraId="7585C121" w14:textId="77777777" w:rsidR="00FB4D3E" w:rsidRPr="00D6025C" w:rsidRDefault="00FB4D3E" w:rsidP="00FB4D3E">
            <w:pPr>
              <w:spacing w:after="0" w:line="240" w:lineRule="auto"/>
              <w:jc w:val="center"/>
              <w:rPr>
                <w:rFonts w:cs="Calibri"/>
                <w:color w:val="000000"/>
                <w:sz w:val="20"/>
                <w:szCs w:val="20"/>
                <w:lang w:eastAsia="lt-LT"/>
              </w:rPr>
            </w:pPr>
            <w:r w:rsidRPr="00D6025C">
              <w:rPr>
                <w:rFonts w:cs="Calibri"/>
                <w:color w:val="000000"/>
                <w:sz w:val="20"/>
                <w:szCs w:val="20"/>
                <w:lang w:eastAsia="lt-LT"/>
              </w:rPr>
              <w:lastRenderedPageBreak/>
              <w:t> </w:t>
            </w:r>
          </w:p>
        </w:tc>
      </w:tr>
      <w:tr w:rsidR="00FB4D3E" w:rsidRPr="00D6025C" w14:paraId="209B5B87"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1F207B50"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3C27605D"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4DA8A162" w14:textId="31B60991" w:rsidR="00FB4D3E" w:rsidRPr="00CA7EF9" w:rsidRDefault="00FB4D3E" w:rsidP="00FB4D3E">
            <w:pPr>
              <w:spacing w:after="0" w:line="240" w:lineRule="auto"/>
              <w:jc w:val="both"/>
              <w:rPr>
                <w:rFonts w:cs="Calibri"/>
                <w:color w:val="000000"/>
                <w:sz w:val="20"/>
                <w:szCs w:val="20"/>
                <w:lang w:eastAsia="lt-LT"/>
              </w:rPr>
            </w:pPr>
            <w:r w:rsidRPr="46A0C2C8">
              <w:rPr>
                <w:rFonts w:cs="Calibri"/>
                <w:color w:val="000000" w:themeColor="text1"/>
                <w:sz w:val="20"/>
                <w:szCs w:val="20"/>
                <w:lang w:eastAsia="lt-LT"/>
              </w:rPr>
              <w:t>Turi būti „KVM over IP“ funkcionalumas (</w:t>
            </w:r>
            <w:r w:rsidRPr="3D922414">
              <w:rPr>
                <w:rFonts w:cs="Calibri"/>
                <w:color w:val="000000" w:themeColor="text1"/>
                <w:sz w:val="20"/>
                <w:szCs w:val="20"/>
                <w:lang w:eastAsia="lt-LT"/>
              </w:rPr>
              <w:t>paaiškinimas:</w:t>
            </w:r>
            <w:r w:rsidRPr="6F99747E">
              <w:rPr>
                <w:rFonts w:cs="Calibri"/>
                <w:color w:val="000000" w:themeColor="text1"/>
                <w:sz w:val="20"/>
                <w:szCs w:val="20"/>
                <w:lang w:eastAsia="lt-LT"/>
              </w:rPr>
              <w:t xml:space="preserve"> </w:t>
            </w:r>
            <w:r w:rsidRPr="3D922414">
              <w:rPr>
                <w:rFonts w:cs="Calibri"/>
                <w:color w:val="000000" w:themeColor="text1"/>
                <w:sz w:val="20"/>
                <w:szCs w:val="20"/>
                <w:lang w:eastAsia="lt-LT"/>
              </w:rPr>
              <w:t>grafinė</w:t>
            </w:r>
            <w:r w:rsidRPr="46A0C2C8">
              <w:rPr>
                <w:rFonts w:cs="Calibri"/>
                <w:color w:val="000000" w:themeColor="text1"/>
                <w:sz w:val="20"/>
                <w:szCs w:val="20"/>
                <w:lang w:eastAsia="lt-LT"/>
              </w:rPr>
              <w:t xml:space="preserve"> nepriklausoma nuo operacinės sistemos sąsaja, virtuali grafinė konsolė, virtualių lokalių CD-ROM įrenginių valdymas).</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5943FF05"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77D4A26F" w14:textId="77777777" w:rsidTr="007B244A">
        <w:trPr>
          <w:trHeight w:val="511"/>
        </w:trPr>
        <w:tc>
          <w:tcPr>
            <w:tcW w:w="691" w:type="dxa"/>
            <w:vMerge/>
            <w:tcBorders>
              <w:top w:val="single" w:sz="4" w:space="0" w:color="auto"/>
              <w:left w:val="single" w:sz="4" w:space="0" w:color="auto"/>
              <w:bottom w:val="single" w:sz="4" w:space="0" w:color="auto"/>
              <w:right w:val="single" w:sz="4" w:space="0" w:color="auto"/>
            </w:tcBorders>
            <w:vAlign w:val="center"/>
          </w:tcPr>
          <w:p w14:paraId="0313156D"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E299FBD"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6DE1BE6C" w14:textId="2F99C30A" w:rsidR="00FB4D3E" w:rsidRPr="00CA7EF9" w:rsidRDefault="00FB4D3E" w:rsidP="00FB4D3E">
            <w:pPr>
              <w:spacing w:after="0" w:line="240" w:lineRule="auto"/>
              <w:jc w:val="both"/>
              <w:rPr>
                <w:rFonts w:cs="Calibri"/>
                <w:color w:val="000000"/>
                <w:sz w:val="20"/>
                <w:szCs w:val="20"/>
                <w:lang w:eastAsia="lt-LT"/>
              </w:rPr>
            </w:pPr>
            <w:r w:rsidRPr="00D6025C">
              <w:rPr>
                <w:rFonts w:cs="Calibri"/>
                <w:color w:val="000000"/>
                <w:sz w:val="20"/>
                <w:szCs w:val="20"/>
                <w:lang w:eastAsia="lt-LT"/>
              </w:rPr>
              <w:t>HTML 5 arba lygiavertė vartotojo sąsaja tiek vartotojo aplinkai, tiek virtualiai konsolei.</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08531EE3"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7A8D77E8" w14:textId="77777777" w:rsidTr="007B244A">
        <w:trPr>
          <w:trHeight w:val="511"/>
        </w:trPr>
        <w:tc>
          <w:tcPr>
            <w:tcW w:w="691" w:type="dxa"/>
            <w:vMerge/>
            <w:tcBorders>
              <w:top w:val="single" w:sz="4" w:space="0" w:color="auto"/>
              <w:left w:val="single" w:sz="4" w:space="0" w:color="auto"/>
              <w:bottom w:val="single" w:sz="4" w:space="0" w:color="auto"/>
              <w:right w:val="single" w:sz="4" w:space="0" w:color="auto"/>
            </w:tcBorders>
            <w:vAlign w:val="center"/>
          </w:tcPr>
          <w:p w14:paraId="33687077"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48AF4DB0"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08442538" w14:textId="38DC156C" w:rsidR="00FB4D3E" w:rsidRPr="00CA7EF9" w:rsidRDefault="00FB4D3E" w:rsidP="00FB4D3E">
            <w:pPr>
              <w:spacing w:after="0" w:line="240" w:lineRule="auto"/>
              <w:jc w:val="both"/>
              <w:rPr>
                <w:rFonts w:cs="Calibri"/>
                <w:color w:val="000000"/>
                <w:sz w:val="20"/>
                <w:szCs w:val="20"/>
                <w:lang w:eastAsia="lt-LT"/>
              </w:rPr>
            </w:pPr>
            <w:r w:rsidRPr="00D6025C">
              <w:rPr>
                <w:rFonts w:cs="Calibri"/>
                <w:color w:val="000000"/>
                <w:sz w:val="20"/>
                <w:szCs w:val="20"/>
                <w:lang w:eastAsia="lt-LT"/>
              </w:rPr>
              <w:t>Sistemos mikrokodo („firmware“) atnaujinimai turi būti apsaugoti kriptografiniu parašu.</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39548560"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46EACDED" w14:textId="77777777" w:rsidTr="007B244A">
        <w:trPr>
          <w:trHeight w:val="300"/>
        </w:trPr>
        <w:tc>
          <w:tcPr>
            <w:tcW w:w="691" w:type="dxa"/>
            <w:vMerge/>
            <w:tcBorders>
              <w:top w:val="single" w:sz="4" w:space="0" w:color="auto"/>
              <w:left w:val="single" w:sz="4" w:space="0" w:color="auto"/>
              <w:bottom w:val="single" w:sz="4" w:space="0" w:color="auto"/>
              <w:right w:val="single" w:sz="4" w:space="0" w:color="auto"/>
            </w:tcBorders>
            <w:vAlign w:val="center"/>
          </w:tcPr>
          <w:p w14:paraId="203DFCCA"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5178E74"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73C0AD0A" w14:textId="6E2EB250" w:rsidR="00FB4D3E" w:rsidRPr="00CA7EF9" w:rsidRDefault="00FB4D3E" w:rsidP="00FB4D3E">
            <w:pPr>
              <w:spacing w:after="0" w:line="240" w:lineRule="auto"/>
              <w:jc w:val="both"/>
              <w:rPr>
                <w:rFonts w:cs="Calibri"/>
                <w:color w:val="000000"/>
                <w:sz w:val="20"/>
                <w:szCs w:val="20"/>
                <w:lang w:eastAsia="lt-LT"/>
              </w:rPr>
            </w:pPr>
            <w:r w:rsidRPr="3A89C331">
              <w:rPr>
                <w:rFonts w:cs="Calibri"/>
                <w:color w:val="000000" w:themeColor="text1"/>
                <w:sz w:val="20"/>
                <w:szCs w:val="20"/>
                <w:lang w:eastAsia="lt-LT"/>
              </w:rPr>
              <w:t>Turi palaikyti nuotolinį pilną serverio įtampos išjungimą.</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41BB3B9D"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45441BD0" w14:textId="77777777" w:rsidTr="007B244A">
        <w:trPr>
          <w:trHeight w:val="511"/>
        </w:trPr>
        <w:tc>
          <w:tcPr>
            <w:tcW w:w="691" w:type="dxa"/>
            <w:vMerge/>
            <w:tcBorders>
              <w:top w:val="single" w:sz="4" w:space="0" w:color="auto"/>
              <w:left w:val="single" w:sz="4" w:space="0" w:color="auto"/>
              <w:bottom w:val="single" w:sz="4" w:space="0" w:color="auto"/>
              <w:right w:val="single" w:sz="4" w:space="0" w:color="auto"/>
            </w:tcBorders>
            <w:vAlign w:val="center"/>
          </w:tcPr>
          <w:p w14:paraId="38EAD969"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24A36298"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2B0A25B4" w14:textId="107B9E5A" w:rsidR="00FB4D3E" w:rsidRPr="00CA7EF9" w:rsidRDefault="00FB4D3E" w:rsidP="00FB4D3E">
            <w:pPr>
              <w:spacing w:after="0" w:line="240" w:lineRule="auto"/>
              <w:jc w:val="both"/>
              <w:rPr>
                <w:rFonts w:cs="Calibri"/>
                <w:color w:val="000000"/>
                <w:sz w:val="20"/>
                <w:szCs w:val="20"/>
                <w:lang w:eastAsia="lt-LT"/>
              </w:rPr>
            </w:pPr>
            <w:r w:rsidRPr="3CBE5034">
              <w:rPr>
                <w:rFonts w:cs="Calibri"/>
                <w:color w:val="000000" w:themeColor="text1"/>
                <w:sz w:val="20"/>
                <w:szCs w:val="20"/>
                <w:lang w:eastAsia="lt-LT"/>
              </w:rPr>
              <w:t xml:space="preserve">Turi palaikyti saugų visišką duomenų sunaikinimą nuotoliniu būdu visų tipų laikmenose, sunaikinant saugomus duomenis HDD, SSD, NVMe, Flash. </w:t>
            </w:r>
          </w:p>
        </w:tc>
        <w:tc>
          <w:tcPr>
            <w:tcW w:w="4119" w:type="dxa"/>
            <w:vMerge/>
            <w:tcBorders>
              <w:top w:val="single" w:sz="4" w:space="0" w:color="auto"/>
              <w:left w:val="single" w:sz="4" w:space="0" w:color="auto"/>
              <w:bottom w:val="single" w:sz="4" w:space="0" w:color="auto"/>
              <w:right w:val="single" w:sz="4" w:space="0" w:color="auto"/>
            </w:tcBorders>
            <w:hideMark/>
          </w:tcPr>
          <w:p w14:paraId="3F5544FB"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680D238D"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60EBD11A"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51C1CAC8"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128D298F" w14:textId="6E68DC46" w:rsidR="00FB4D3E" w:rsidRPr="00CA7EF9" w:rsidRDefault="00FB4D3E" w:rsidP="00FB4D3E">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Turi palaikyti pilną sistemos nustatymų, įskaitant tinklo, Raid, HBA adapterius, bei sisteminio kodo atnaujinimų užrakinimą nuo neautorizuotų veiksmų, nepriklausomai nuo vartotojų teisių.</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4C8010B1"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089C8106"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5B19BC7A"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5606F83"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hideMark/>
          </w:tcPr>
          <w:p w14:paraId="21BF361B" w14:textId="77777777" w:rsidR="00FB4D3E" w:rsidRPr="00301CB2" w:rsidRDefault="00FB4D3E" w:rsidP="00FB4D3E">
            <w:pPr>
              <w:spacing w:after="0" w:line="240" w:lineRule="auto"/>
              <w:jc w:val="both"/>
              <w:rPr>
                <w:rFonts w:cs="Calibri"/>
                <w:color w:val="000000"/>
                <w:sz w:val="20"/>
                <w:szCs w:val="20"/>
                <w:lang w:eastAsia="lt-LT"/>
              </w:rPr>
            </w:pPr>
            <w:r w:rsidRPr="6A11E61D">
              <w:rPr>
                <w:rFonts w:cs="Calibri"/>
                <w:color w:val="000000" w:themeColor="text1"/>
                <w:sz w:val="20"/>
                <w:szCs w:val="20"/>
                <w:lang w:eastAsia="lt-LT"/>
              </w:rPr>
              <w:t xml:space="preserve">Siūlomi serveriai </w:t>
            </w:r>
            <w:r w:rsidRPr="6A11E61D">
              <w:rPr>
                <w:rFonts w:cs="Calibri"/>
                <w:b/>
                <w:bCs/>
                <w:color w:val="000000" w:themeColor="text1"/>
                <w:sz w:val="20"/>
                <w:szCs w:val="20"/>
                <w:lang w:eastAsia="lt-LT"/>
              </w:rPr>
              <w:t xml:space="preserve">turi būti suderinami </w:t>
            </w:r>
            <w:r w:rsidRPr="6A11E61D">
              <w:rPr>
                <w:rFonts w:cs="Calibri"/>
                <w:color w:val="000000" w:themeColor="text1"/>
                <w:sz w:val="20"/>
                <w:szCs w:val="20"/>
                <w:lang w:eastAsia="lt-LT"/>
              </w:rPr>
              <w:t xml:space="preserve">su kliento naudojama programine valdymo įranga „Open Manage Enterprise“ bei  integruotis su esamos infrastruktūros centralizuotu administravimu, </w:t>
            </w:r>
            <w:r w:rsidRPr="6A11E61D">
              <w:rPr>
                <w:rFonts w:cs="Calibri"/>
                <w:b/>
                <w:bCs/>
                <w:color w:val="000000" w:themeColor="text1"/>
                <w:sz w:val="20"/>
                <w:szCs w:val="20"/>
                <w:lang w:eastAsia="lt-LT"/>
              </w:rPr>
              <w:t>turi būti pateiktos tam būtinos licencijos, kartu su serveriais.</w:t>
            </w:r>
          </w:p>
          <w:p w14:paraId="3F8B6C1F" w14:textId="77777777" w:rsidR="00FB4D3E" w:rsidRPr="00301CB2" w:rsidRDefault="00FB4D3E" w:rsidP="00FB4D3E">
            <w:pPr>
              <w:spacing w:after="0" w:line="240" w:lineRule="auto"/>
              <w:jc w:val="both"/>
              <w:rPr>
                <w:rFonts w:cs="Calibri"/>
                <w:color w:val="000000"/>
                <w:sz w:val="20"/>
                <w:szCs w:val="20"/>
                <w:lang w:eastAsia="lt-LT"/>
              </w:rPr>
            </w:pPr>
          </w:p>
          <w:p w14:paraId="62BFB195" w14:textId="77777777" w:rsidR="00FB4D3E" w:rsidRPr="00301CB2" w:rsidRDefault="00FB4D3E" w:rsidP="00FB4D3E">
            <w:pPr>
              <w:spacing w:after="0" w:line="240" w:lineRule="auto"/>
              <w:jc w:val="both"/>
              <w:rPr>
                <w:rFonts w:cs="Calibri"/>
                <w:color w:val="000000"/>
                <w:sz w:val="20"/>
                <w:szCs w:val="20"/>
                <w:lang w:eastAsia="lt-LT"/>
              </w:rPr>
            </w:pPr>
            <w:r w:rsidRPr="79520019">
              <w:rPr>
                <w:rFonts w:cs="Calibri"/>
                <w:color w:val="000000" w:themeColor="text1"/>
                <w:sz w:val="20"/>
                <w:szCs w:val="20"/>
                <w:lang w:eastAsia="lt-LT"/>
              </w:rPr>
              <w:t>Nesant integracijos galimybės, turi būti pateikta programinė valdymo įranga,  suderinama su kliento naudojamais serveriais,  įgalinanti atlikti visų serverių, įskaitant kliento turimas bei naudojamus serverius, centralizuotą administravimą. Programinė įranga turi integruotis į Microsoft Admin Center, VMware vCenter, turi stebėti, valdyti bei centralizuotai atnaujinti visus serverius, palaikyti greitą serverių instaliavimą panaudojant šablonus.</w:t>
            </w:r>
          </w:p>
          <w:p w14:paraId="6F0C968A" w14:textId="77777777" w:rsidR="00FB4D3E" w:rsidRPr="00301CB2" w:rsidRDefault="00FB4D3E" w:rsidP="00FB4D3E">
            <w:pPr>
              <w:spacing w:after="0" w:line="240" w:lineRule="auto"/>
              <w:jc w:val="both"/>
              <w:rPr>
                <w:rFonts w:cs="Calibri"/>
                <w:color w:val="000000"/>
                <w:sz w:val="20"/>
                <w:szCs w:val="20"/>
                <w:lang w:eastAsia="lt-LT"/>
              </w:rPr>
            </w:pPr>
          </w:p>
          <w:p w14:paraId="3A480E0D" w14:textId="599B4D12" w:rsidR="00FB4D3E" w:rsidRPr="00CA7EF9" w:rsidRDefault="00FB4D3E" w:rsidP="00FB4D3E">
            <w:pPr>
              <w:spacing w:after="0" w:line="240" w:lineRule="auto"/>
              <w:jc w:val="both"/>
              <w:rPr>
                <w:rFonts w:cs="Calibri"/>
                <w:color w:val="000000"/>
                <w:sz w:val="20"/>
                <w:szCs w:val="20"/>
                <w:lang w:eastAsia="lt-LT"/>
              </w:rPr>
            </w:pPr>
            <w:r w:rsidRPr="574A36EB">
              <w:rPr>
                <w:rFonts w:cs="Calibri"/>
                <w:color w:val="000000" w:themeColor="text1"/>
                <w:sz w:val="20"/>
                <w:szCs w:val="20"/>
                <w:lang w:eastAsia="lt-LT"/>
              </w:rPr>
              <w:t>Siūlant naują administravimo programinę įrangą, turi būti įskaičiuotos visos išlaidos, susijusios su jos instaliavimu bei migracija iš dabartinės sistemos, taip pat licencijos kliento turimiems serveriams.</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794FE1F6" w14:textId="77777777" w:rsidR="00FB4D3E" w:rsidRPr="00D6025C" w:rsidRDefault="00FB4D3E" w:rsidP="00FB4D3E">
            <w:pPr>
              <w:spacing w:after="0" w:line="240" w:lineRule="auto"/>
              <w:rPr>
                <w:rFonts w:cs="Calibri"/>
                <w:color w:val="000000"/>
                <w:sz w:val="20"/>
                <w:szCs w:val="20"/>
                <w:lang w:eastAsia="lt-LT"/>
              </w:rPr>
            </w:pPr>
          </w:p>
        </w:tc>
      </w:tr>
      <w:tr w:rsidR="00FB4D3E" w:rsidRPr="00D6025C" w14:paraId="4245B0F3" w14:textId="77777777" w:rsidTr="007B244A">
        <w:trPr>
          <w:trHeight w:val="767"/>
        </w:trPr>
        <w:tc>
          <w:tcPr>
            <w:tcW w:w="691" w:type="dxa"/>
            <w:vMerge/>
            <w:tcBorders>
              <w:top w:val="single" w:sz="4" w:space="0" w:color="auto"/>
              <w:left w:val="single" w:sz="4" w:space="0" w:color="auto"/>
              <w:bottom w:val="single" w:sz="4" w:space="0" w:color="auto"/>
              <w:right w:val="single" w:sz="4" w:space="0" w:color="auto"/>
            </w:tcBorders>
            <w:vAlign w:val="center"/>
          </w:tcPr>
          <w:p w14:paraId="770E70F5" w14:textId="77777777" w:rsidR="00FB4D3E" w:rsidRPr="004320B0" w:rsidRDefault="00FB4D3E" w:rsidP="00FB4D3E">
            <w:pPr>
              <w:pStyle w:val="ListParagraph"/>
              <w:numPr>
                <w:ilvl w:val="0"/>
                <w:numId w:val="5"/>
              </w:numPr>
              <w:spacing w:after="0" w:line="240" w:lineRule="auto"/>
              <w:rPr>
                <w:rFonts w:cs="Calibri"/>
                <w:color w:val="000000"/>
                <w:sz w:val="20"/>
                <w:szCs w:val="20"/>
                <w:lang w:eastAsia="lt-LT"/>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00106689" w14:textId="77777777" w:rsidR="00FB4D3E" w:rsidRPr="00CA7EF9" w:rsidRDefault="00FB4D3E" w:rsidP="00FB4D3E">
            <w:pPr>
              <w:spacing w:after="0" w:line="240" w:lineRule="auto"/>
              <w:rPr>
                <w:rFonts w:cs="Calibri"/>
                <w:color w:val="000000"/>
                <w:sz w:val="20"/>
                <w:szCs w:val="20"/>
                <w:lang w:eastAsia="lt-LT"/>
              </w:rPr>
            </w:pPr>
          </w:p>
        </w:tc>
        <w:tc>
          <w:tcPr>
            <w:tcW w:w="4142" w:type="dxa"/>
            <w:tcBorders>
              <w:top w:val="single" w:sz="4" w:space="0" w:color="auto"/>
              <w:left w:val="single" w:sz="4" w:space="0" w:color="auto"/>
              <w:bottom w:val="single" w:sz="4" w:space="0" w:color="auto"/>
              <w:right w:val="single" w:sz="4" w:space="0" w:color="auto"/>
            </w:tcBorders>
          </w:tcPr>
          <w:p w14:paraId="3B869405" w14:textId="77777777" w:rsidR="00FB4D3E" w:rsidRPr="00865A18" w:rsidRDefault="00FB4D3E" w:rsidP="00FB4D3E">
            <w:pPr>
              <w:spacing w:after="0" w:line="240" w:lineRule="auto"/>
              <w:jc w:val="both"/>
              <w:rPr>
                <w:rFonts w:cs="Calibri"/>
                <w:color w:val="000000"/>
                <w:sz w:val="20"/>
                <w:szCs w:val="20"/>
                <w:lang w:eastAsia="lt-LT"/>
              </w:rPr>
            </w:pPr>
            <w:r w:rsidRPr="3118F682">
              <w:rPr>
                <w:rFonts w:cs="Calibri"/>
                <w:color w:val="000000" w:themeColor="text1"/>
                <w:sz w:val="20"/>
                <w:szCs w:val="20"/>
                <w:lang w:eastAsia="lt-LT"/>
              </w:rPr>
              <w:t xml:space="preserve">Siūlomi </w:t>
            </w:r>
            <w:r w:rsidRPr="00865A18">
              <w:rPr>
                <w:rFonts w:cs="Calibri"/>
                <w:color w:val="000000" w:themeColor="text1"/>
                <w:sz w:val="20"/>
                <w:szCs w:val="20"/>
                <w:lang w:eastAsia="lt-LT"/>
              </w:rPr>
              <w:t xml:space="preserve">serveriai turi būti suderinami su kliento naudojama stebėjimo (monitoringo)  programine  įranga CloudIQ (AIOPS), turi būti pateiktos tam būtinos licencijos, kartu su serveriais, </w:t>
            </w:r>
          </w:p>
          <w:p w14:paraId="34E95A0F" w14:textId="77777777" w:rsidR="00FB4D3E" w:rsidRPr="00865A18" w:rsidRDefault="00FB4D3E" w:rsidP="00FB4D3E">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 xml:space="preserve">Nesant integracijos galimybės, turi būti pateikta stebėjimo (monitoringo)  programinė įranga,  suderinama su kliento naudojamais serveriais, įgalinanti atlikti nuolatinį įrangos parametrų stebėjimą, kaupti istorinę veiklos duomenų statistiką ne mažiau kaip 2 metus ir atlikti jų analizę. </w:t>
            </w:r>
          </w:p>
          <w:p w14:paraId="7730CDE8" w14:textId="77777777" w:rsidR="00FB4D3E" w:rsidRPr="00865A18" w:rsidRDefault="00FB4D3E" w:rsidP="00FB4D3E">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 xml:space="preserve">Duomenys turi būti pateikiami grafiškai, įvairiais pjūviais (pagal laiko periodą, įrangos elementus). Turi būti pateikta pilnaverčiam (maksimaliai detaliam) ilgalaikiam ne mažiau kaip 2 m. statistinių duomenų saugojimui reikalinga </w:t>
            </w:r>
            <w:r w:rsidRPr="00865A18">
              <w:rPr>
                <w:rFonts w:cs="Calibri"/>
                <w:color w:val="000000" w:themeColor="text1"/>
                <w:sz w:val="20"/>
                <w:szCs w:val="20"/>
                <w:lang w:eastAsia="lt-LT"/>
              </w:rPr>
              <w:lastRenderedPageBreak/>
              <w:t xml:space="preserve">diskinė talpa ir veiklai reikalingi virtualizuoti resursai, kuri nebūtų įskaičiuojama į serverių naudingą talpą arba istorinė informacija ne mažiau kaip 2 metus turi būti saugoma gamintojo debesijos resursuose be papildomo mokesčio.  </w:t>
            </w:r>
          </w:p>
          <w:p w14:paraId="26584308" w14:textId="77777777" w:rsidR="00FB4D3E" w:rsidRPr="00CD6D78" w:rsidRDefault="00FB4D3E" w:rsidP="00FB4D3E">
            <w:pPr>
              <w:spacing w:after="0" w:line="240" w:lineRule="auto"/>
              <w:jc w:val="both"/>
              <w:rPr>
                <w:rFonts w:cs="Calibri"/>
                <w:color w:val="000000"/>
                <w:sz w:val="20"/>
                <w:szCs w:val="20"/>
                <w:lang w:eastAsia="lt-LT"/>
              </w:rPr>
            </w:pPr>
            <w:r w:rsidRPr="00865A18">
              <w:rPr>
                <w:rFonts w:cs="Calibri"/>
                <w:color w:val="000000" w:themeColor="text1"/>
                <w:sz w:val="20"/>
                <w:szCs w:val="20"/>
                <w:lang w:eastAsia="lt-LT"/>
              </w:rPr>
              <w:t>Stebėjimo ir analizės duomenys</w:t>
            </w:r>
            <w:r w:rsidRPr="1CF22A8B">
              <w:rPr>
                <w:rFonts w:cs="Calibri"/>
                <w:color w:val="000000" w:themeColor="text1"/>
                <w:sz w:val="20"/>
                <w:szCs w:val="20"/>
                <w:lang w:eastAsia="lt-LT"/>
              </w:rPr>
              <w:t xml:space="preserve"> turi būti matomi ir pakeitimai atliekami tiek interneto naršyklėje, tiek ir specializuotoje programėlėje mobiliuose įrenginiuose veikiančiuose iOS bei Android operacinėje sistemose. </w:t>
            </w:r>
          </w:p>
          <w:p w14:paraId="2310463A" w14:textId="77777777" w:rsidR="00FB4D3E" w:rsidRPr="00CD6D78" w:rsidRDefault="00FB4D3E" w:rsidP="00FB4D3E">
            <w:pPr>
              <w:spacing w:after="0" w:line="240" w:lineRule="auto"/>
              <w:jc w:val="both"/>
              <w:rPr>
                <w:rFonts w:cs="Calibri"/>
                <w:color w:val="000000"/>
                <w:sz w:val="20"/>
                <w:szCs w:val="20"/>
                <w:lang w:eastAsia="lt-LT"/>
              </w:rPr>
            </w:pPr>
          </w:p>
          <w:p w14:paraId="4262DB03" w14:textId="77777777" w:rsidR="00FB4D3E" w:rsidRPr="00CD6D78" w:rsidRDefault="00FB4D3E" w:rsidP="00FB4D3E">
            <w:pPr>
              <w:spacing w:after="0" w:line="240" w:lineRule="auto"/>
              <w:jc w:val="both"/>
              <w:rPr>
                <w:rFonts w:cs="Calibri"/>
                <w:color w:val="000000"/>
                <w:sz w:val="20"/>
                <w:szCs w:val="20"/>
                <w:lang w:eastAsia="lt-LT"/>
              </w:rPr>
            </w:pPr>
            <w:r>
              <w:rPr>
                <w:rFonts w:cs="Calibri"/>
                <w:color w:val="000000"/>
                <w:sz w:val="20"/>
                <w:szCs w:val="20"/>
                <w:lang w:eastAsia="lt-LT"/>
              </w:rPr>
              <w:t xml:space="preserve">Serveris </w:t>
            </w:r>
            <w:r w:rsidRPr="00CD6D78">
              <w:rPr>
                <w:rFonts w:cs="Calibri"/>
                <w:color w:val="000000"/>
                <w:sz w:val="20"/>
                <w:szCs w:val="20"/>
                <w:lang w:eastAsia="lt-LT"/>
              </w:rPr>
              <w:t>turi informuoti valdymo sąsajoje bei el. paštu apie standžiųjų diskų, valdiklių, maitinimo šaltinių gedimus, kitus sutrikimus ir nukrypimus nuo normalaus darbo.</w:t>
            </w:r>
          </w:p>
          <w:p w14:paraId="6578E7EA" w14:textId="77777777" w:rsidR="00FB4D3E" w:rsidRPr="00CD6D78" w:rsidRDefault="00FB4D3E" w:rsidP="00FB4D3E">
            <w:pPr>
              <w:spacing w:after="0" w:line="240" w:lineRule="auto"/>
              <w:jc w:val="both"/>
              <w:rPr>
                <w:rFonts w:cs="Calibri"/>
                <w:color w:val="000000"/>
                <w:sz w:val="20"/>
                <w:szCs w:val="20"/>
                <w:lang w:eastAsia="lt-LT"/>
              </w:rPr>
            </w:pPr>
          </w:p>
          <w:p w14:paraId="6A65F670" w14:textId="77777777" w:rsidR="00FB4D3E" w:rsidRPr="00CD6D78" w:rsidRDefault="00FB4D3E" w:rsidP="00FB4D3E">
            <w:pPr>
              <w:spacing w:after="0" w:line="240" w:lineRule="auto"/>
              <w:jc w:val="both"/>
              <w:rPr>
                <w:rFonts w:cs="Calibri"/>
                <w:sz w:val="20"/>
                <w:szCs w:val="20"/>
                <w:lang w:eastAsia="lt-LT"/>
              </w:rPr>
            </w:pPr>
            <w:r w:rsidRPr="00CD6D78">
              <w:rPr>
                <w:rFonts w:cs="Calibri"/>
                <w:sz w:val="20"/>
                <w:szCs w:val="20"/>
                <w:lang w:eastAsia="lt-LT"/>
              </w:rPr>
              <w:t xml:space="preserve">Stebėjimo (monitoringo) programinė įranga turi palaikyti visą gamintojo aparatinę įrangą - įskaitant ir neapsiribojant </w:t>
            </w:r>
            <w:r>
              <w:rPr>
                <w:rFonts w:cs="Calibri"/>
                <w:sz w:val="20"/>
                <w:szCs w:val="20"/>
                <w:lang w:eastAsia="lt-LT"/>
              </w:rPr>
              <w:t>- serverius</w:t>
            </w:r>
            <w:r w:rsidRPr="00CD6D78">
              <w:rPr>
                <w:rFonts w:cs="Calibri"/>
                <w:sz w:val="20"/>
                <w:szCs w:val="20"/>
                <w:lang w:eastAsia="lt-LT"/>
              </w:rPr>
              <w:t xml:space="preserve">, saugyklas, rezervinio kopijavimo įrangą, SAN bei LAN komutatorius. </w:t>
            </w:r>
          </w:p>
          <w:p w14:paraId="597EBF89" w14:textId="56CD9770" w:rsidR="00FB4D3E" w:rsidRPr="007B244A" w:rsidRDefault="00FB4D3E" w:rsidP="00FB4D3E">
            <w:pPr>
              <w:spacing w:after="0" w:line="240" w:lineRule="auto"/>
              <w:jc w:val="both"/>
              <w:rPr>
                <w:rFonts w:cs="Calibri"/>
                <w:sz w:val="20"/>
                <w:szCs w:val="20"/>
                <w:lang w:eastAsia="lt-LT"/>
              </w:rPr>
            </w:pPr>
            <w:r w:rsidRPr="7D63249D">
              <w:rPr>
                <w:rFonts w:cs="Calibri"/>
                <w:color w:val="000000" w:themeColor="text1"/>
                <w:sz w:val="20"/>
                <w:szCs w:val="20"/>
                <w:lang w:eastAsia="lt-LT"/>
              </w:rPr>
              <w:t>Siūlant naują stebėjimo (monitoringo) programinę įrangą, turi būti įskaičiuotos visos išlaidos, susijusios su jos instaliavimu bei migracija iš dabartinės sistemos, taip pat licencijos kliento turimiems serveriams .</w:t>
            </w:r>
          </w:p>
        </w:tc>
        <w:tc>
          <w:tcPr>
            <w:tcW w:w="4119" w:type="dxa"/>
            <w:vMerge/>
            <w:tcBorders>
              <w:top w:val="single" w:sz="4" w:space="0" w:color="auto"/>
              <w:left w:val="single" w:sz="4" w:space="0" w:color="auto"/>
              <w:bottom w:val="single" w:sz="4" w:space="0" w:color="auto"/>
              <w:right w:val="single" w:sz="4" w:space="0" w:color="auto"/>
            </w:tcBorders>
            <w:vAlign w:val="center"/>
            <w:hideMark/>
          </w:tcPr>
          <w:p w14:paraId="6E86BE76" w14:textId="77777777" w:rsidR="00FB4D3E" w:rsidRPr="00D6025C" w:rsidRDefault="00FB4D3E" w:rsidP="00FB4D3E">
            <w:pPr>
              <w:spacing w:after="0" w:line="240" w:lineRule="auto"/>
              <w:rPr>
                <w:rFonts w:cs="Calibri"/>
                <w:color w:val="000000"/>
                <w:sz w:val="20"/>
                <w:szCs w:val="20"/>
                <w:lang w:eastAsia="lt-LT"/>
              </w:rPr>
            </w:pPr>
          </w:p>
        </w:tc>
      </w:tr>
      <w:tr w:rsidR="008D3F31" w:rsidRPr="00D6025C" w14:paraId="172A6F44" w14:textId="77777777" w:rsidTr="007B244A">
        <w:trPr>
          <w:trHeight w:val="274"/>
        </w:trPr>
        <w:tc>
          <w:tcPr>
            <w:tcW w:w="691" w:type="dxa"/>
            <w:tcBorders>
              <w:top w:val="single" w:sz="4" w:space="0" w:color="auto"/>
              <w:left w:val="single" w:sz="4" w:space="0" w:color="auto"/>
              <w:bottom w:val="single" w:sz="4" w:space="0" w:color="auto"/>
              <w:right w:val="single" w:sz="4" w:space="0" w:color="auto"/>
            </w:tcBorders>
          </w:tcPr>
          <w:p w14:paraId="06A22C54"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hideMark/>
          </w:tcPr>
          <w:p w14:paraId="168B4206"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Valdymo modulio funkcionalumas</w:t>
            </w:r>
          </w:p>
        </w:tc>
        <w:tc>
          <w:tcPr>
            <w:tcW w:w="4142" w:type="dxa"/>
            <w:tcBorders>
              <w:top w:val="single" w:sz="4" w:space="0" w:color="auto"/>
              <w:left w:val="nil"/>
              <w:bottom w:val="single" w:sz="4" w:space="0" w:color="auto"/>
              <w:right w:val="single" w:sz="4" w:space="0" w:color="auto"/>
            </w:tcBorders>
            <w:hideMark/>
          </w:tcPr>
          <w:p w14:paraId="777099CC" w14:textId="40A99C2D" w:rsidR="008D3F31" w:rsidRPr="007B244A" w:rsidRDefault="008D3F31" w:rsidP="00755125">
            <w:pPr>
              <w:spacing w:after="0" w:line="240" w:lineRule="auto"/>
              <w:jc w:val="both"/>
              <w:rPr>
                <w:rFonts w:cs="Calibri"/>
                <w:sz w:val="20"/>
                <w:szCs w:val="20"/>
                <w:lang w:eastAsia="lt-LT"/>
              </w:rPr>
            </w:pPr>
            <w:r w:rsidRPr="007B244A">
              <w:rPr>
                <w:rFonts w:cs="Calibri"/>
                <w:sz w:val="20"/>
                <w:szCs w:val="20"/>
                <w:lang w:eastAsia="lt-LT"/>
              </w:rPr>
              <w:t xml:space="preserve">Valdymo modulis turi turėti </w:t>
            </w:r>
            <w:r w:rsidR="46860F0F" w:rsidRPr="007B244A">
              <w:rPr>
                <w:rFonts w:cs="Calibri"/>
                <w:sz w:val="20"/>
                <w:szCs w:val="20"/>
                <w:lang w:eastAsia="lt-LT"/>
              </w:rPr>
              <w:t xml:space="preserve">ne mažiau kaip </w:t>
            </w:r>
            <w:r w:rsidRPr="007B244A">
              <w:rPr>
                <w:rFonts w:cs="Calibri"/>
                <w:sz w:val="20"/>
                <w:szCs w:val="20"/>
                <w:lang w:eastAsia="lt-LT"/>
              </w:rPr>
              <w:t>šias funkcionalumo savybes:</w:t>
            </w:r>
            <w:r w:rsidRPr="007B244A">
              <w:br/>
            </w:r>
            <w:r w:rsidRPr="007B244A">
              <w:rPr>
                <w:rFonts w:cs="Calibri"/>
                <w:sz w:val="20"/>
                <w:szCs w:val="20"/>
                <w:lang w:eastAsia="lt-LT"/>
              </w:rPr>
              <w:t>Automatizuoto SSL sertifikatų instaliavimo ir atnaujinimo palaikymas</w:t>
            </w:r>
            <w:r w:rsidR="738CE8E5" w:rsidRPr="007B244A">
              <w:rPr>
                <w:rFonts w:cs="Calibri"/>
                <w:sz w:val="20"/>
                <w:szCs w:val="20"/>
                <w:lang w:eastAsia="lt-LT"/>
              </w:rPr>
              <w:t>,</w:t>
            </w:r>
            <w:r w:rsidRPr="007B244A">
              <w:rPr>
                <w:rFonts w:cs="Calibri"/>
                <w:sz w:val="20"/>
                <w:szCs w:val="20"/>
                <w:lang w:eastAsia="lt-LT"/>
              </w:rPr>
              <w:t xml:space="preserve"> </w:t>
            </w:r>
          </w:p>
          <w:p w14:paraId="35C91B19" w14:textId="4B13E560" w:rsidR="008D3F31" w:rsidRPr="007B244A" w:rsidRDefault="008D3F31" w:rsidP="00755125">
            <w:pPr>
              <w:spacing w:after="0" w:line="240" w:lineRule="auto"/>
              <w:jc w:val="both"/>
              <w:rPr>
                <w:rFonts w:cs="Calibri"/>
                <w:sz w:val="20"/>
                <w:szCs w:val="20"/>
                <w:lang w:eastAsia="lt-LT"/>
              </w:rPr>
            </w:pPr>
            <w:r w:rsidRPr="007B244A">
              <w:rPr>
                <w:rFonts w:cs="Calibri"/>
                <w:sz w:val="20"/>
                <w:szCs w:val="20"/>
                <w:lang w:eastAsia="lt-LT"/>
              </w:rPr>
              <w:t>Telemetrinio visų stebimų serverio parametrų srauto pateikimas realiu laiku</w:t>
            </w:r>
            <w:r w:rsidR="0AD5543A" w:rsidRPr="007B244A">
              <w:rPr>
                <w:rFonts w:cs="Calibri"/>
                <w:sz w:val="20"/>
                <w:szCs w:val="20"/>
                <w:lang w:eastAsia="lt-LT"/>
              </w:rPr>
              <w:t>,</w:t>
            </w:r>
            <w:r w:rsidRPr="007B244A">
              <w:rPr>
                <w:rFonts w:cs="Calibri"/>
                <w:sz w:val="20"/>
                <w:szCs w:val="20"/>
                <w:lang w:eastAsia="lt-LT"/>
              </w:rPr>
              <w:t xml:space="preserve"> </w:t>
            </w:r>
          </w:p>
          <w:p w14:paraId="7F216ED0" w14:textId="722C61C0" w:rsidR="008D3F31" w:rsidRPr="007B244A" w:rsidRDefault="008D3F31" w:rsidP="00755125">
            <w:pPr>
              <w:spacing w:after="0" w:line="240" w:lineRule="auto"/>
              <w:jc w:val="both"/>
              <w:rPr>
                <w:rFonts w:cs="Calibri"/>
                <w:strike/>
                <w:sz w:val="20"/>
                <w:szCs w:val="20"/>
                <w:lang w:eastAsia="lt-LT"/>
              </w:rPr>
            </w:pPr>
            <w:r w:rsidRPr="007B244A">
              <w:rPr>
                <w:rFonts w:cs="Calibri"/>
                <w:sz w:val="20"/>
                <w:szCs w:val="20"/>
                <w:lang w:eastAsia="lt-LT"/>
              </w:rPr>
              <w:t>Kietųjų diskų SMART duomenų pateikimas</w:t>
            </w:r>
            <w:r w:rsidR="46CC2C83" w:rsidRPr="007B244A">
              <w:rPr>
                <w:rFonts w:cs="Calibri"/>
                <w:sz w:val="20"/>
                <w:szCs w:val="20"/>
                <w:lang w:eastAsia="lt-LT"/>
              </w:rPr>
              <w:t>,</w:t>
            </w:r>
            <w:r w:rsidRPr="007B244A">
              <w:rPr>
                <w:rFonts w:cs="Calibri"/>
                <w:sz w:val="20"/>
                <w:szCs w:val="20"/>
                <w:lang w:eastAsia="lt-LT"/>
              </w:rPr>
              <w:t xml:space="preserve"> </w:t>
            </w:r>
            <w:r w:rsidRPr="007B244A">
              <w:br/>
            </w:r>
            <w:r w:rsidRPr="007B244A">
              <w:rPr>
                <w:rFonts w:cs="Calibri"/>
                <w:sz w:val="20"/>
                <w:szCs w:val="20"/>
                <w:lang w:eastAsia="lt-LT"/>
              </w:rPr>
              <w:t xml:space="preserve">Serverio neveiklumo aptikimas („idle server detection“). </w:t>
            </w:r>
          </w:p>
        </w:tc>
        <w:tc>
          <w:tcPr>
            <w:tcW w:w="4119" w:type="dxa"/>
            <w:tcBorders>
              <w:top w:val="single" w:sz="4" w:space="0" w:color="auto"/>
              <w:left w:val="nil"/>
              <w:bottom w:val="single" w:sz="4" w:space="0" w:color="auto"/>
              <w:right w:val="single" w:sz="4" w:space="0" w:color="auto"/>
            </w:tcBorders>
            <w:hideMark/>
          </w:tcPr>
          <w:p w14:paraId="40A50E82"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t> </w:t>
            </w:r>
          </w:p>
        </w:tc>
      </w:tr>
      <w:tr w:rsidR="008D3F31" w:rsidRPr="00D6025C" w14:paraId="632E3280" w14:textId="77777777" w:rsidTr="007B244A">
        <w:trPr>
          <w:trHeight w:val="767"/>
        </w:trPr>
        <w:tc>
          <w:tcPr>
            <w:tcW w:w="691" w:type="dxa"/>
            <w:tcBorders>
              <w:top w:val="single" w:sz="4" w:space="0" w:color="auto"/>
              <w:left w:val="single" w:sz="4" w:space="0" w:color="auto"/>
              <w:bottom w:val="single" w:sz="4" w:space="0" w:color="auto"/>
              <w:right w:val="single" w:sz="4" w:space="0" w:color="auto"/>
            </w:tcBorders>
          </w:tcPr>
          <w:p w14:paraId="51FB359B"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single" w:sz="4" w:space="0" w:color="auto"/>
              <w:left w:val="nil"/>
              <w:bottom w:val="single" w:sz="4" w:space="0" w:color="auto"/>
              <w:right w:val="single" w:sz="4" w:space="0" w:color="auto"/>
            </w:tcBorders>
          </w:tcPr>
          <w:p w14:paraId="2D44541A"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Suderinamumas</w:t>
            </w:r>
          </w:p>
        </w:tc>
        <w:tc>
          <w:tcPr>
            <w:tcW w:w="4142" w:type="dxa"/>
            <w:tcBorders>
              <w:top w:val="single" w:sz="4" w:space="0" w:color="auto"/>
              <w:left w:val="nil"/>
              <w:bottom w:val="single" w:sz="4" w:space="0" w:color="auto"/>
              <w:right w:val="single" w:sz="4" w:space="0" w:color="auto"/>
            </w:tcBorders>
          </w:tcPr>
          <w:p w14:paraId="315B264A" w14:textId="3945791A" w:rsidR="008D3F31" w:rsidRPr="007B244A" w:rsidRDefault="008D3F31" w:rsidP="00755125">
            <w:pPr>
              <w:spacing w:after="0" w:line="240" w:lineRule="auto"/>
              <w:jc w:val="both"/>
              <w:rPr>
                <w:rFonts w:cs="Calibri"/>
                <w:sz w:val="20"/>
                <w:szCs w:val="20"/>
                <w:lang w:eastAsia="lt-LT"/>
              </w:rPr>
            </w:pPr>
            <w:r w:rsidRPr="007B244A">
              <w:rPr>
                <w:rFonts w:cs="Calibri"/>
                <w:sz w:val="20"/>
                <w:szCs w:val="20"/>
                <w:lang w:eastAsia="lt-LT"/>
              </w:rPr>
              <w:t xml:space="preserve">Siūlomas serverio modelis privalo būti sertifikuotas darbui su </w:t>
            </w:r>
            <w:r w:rsidR="18A509F2" w:rsidRPr="007B244A">
              <w:rPr>
                <w:rFonts w:cs="Calibri"/>
                <w:sz w:val="20"/>
                <w:szCs w:val="20"/>
                <w:lang w:eastAsia="lt-LT"/>
              </w:rPr>
              <w:t xml:space="preserve">ne mažiau kaip šiomis </w:t>
            </w:r>
            <w:r w:rsidRPr="007B244A">
              <w:rPr>
                <w:rFonts w:cs="Calibri"/>
                <w:sz w:val="20"/>
                <w:szCs w:val="20"/>
                <w:lang w:eastAsia="lt-LT"/>
              </w:rPr>
              <w:t>operacinėmis sistemomis</w:t>
            </w:r>
            <w:r w:rsidR="5EE57EDA" w:rsidRPr="007B244A">
              <w:rPr>
                <w:rFonts w:cs="Calibri"/>
                <w:sz w:val="20"/>
                <w:szCs w:val="20"/>
                <w:lang w:eastAsia="lt-LT"/>
              </w:rPr>
              <w:t>:</w:t>
            </w:r>
            <w:r w:rsidRPr="007B244A">
              <w:rPr>
                <w:rFonts w:cs="Calibri"/>
                <w:sz w:val="20"/>
                <w:szCs w:val="20"/>
                <w:lang w:eastAsia="lt-LT"/>
              </w:rPr>
              <w:t xml:space="preserve"> Microsoft Windows Server (Standard /Enterprise/Datacenter Editions) 32/64-bit, Red Hat Enterprise, SUSE LINUX Enterprise Server, VMware vSphere. </w:t>
            </w:r>
          </w:p>
        </w:tc>
        <w:tc>
          <w:tcPr>
            <w:tcW w:w="4119" w:type="dxa"/>
            <w:tcBorders>
              <w:top w:val="single" w:sz="4" w:space="0" w:color="auto"/>
              <w:left w:val="nil"/>
              <w:bottom w:val="single" w:sz="4" w:space="0" w:color="auto"/>
              <w:right w:val="single" w:sz="4" w:space="0" w:color="auto"/>
            </w:tcBorders>
          </w:tcPr>
          <w:p w14:paraId="10D8AB3E" w14:textId="77777777" w:rsidR="008D3F31" w:rsidRPr="00D6025C" w:rsidRDefault="008D3F31" w:rsidP="00755125">
            <w:pPr>
              <w:spacing w:after="0" w:line="240" w:lineRule="auto"/>
              <w:jc w:val="center"/>
              <w:rPr>
                <w:rFonts w:cs="Calibri"/>
                <w:color w:val="000000"/>
                <w:sz w:val="20"/>
                <w:szCs w:val="20"/>
                <w:lang w:eastAsia="lt-LT"/>
              </w:rPr>
            </w:pPr>
          </w:p>
        </w:tc>
      </w:tr>
      <w:tr w:rsidR="008D3F31" w:rsidRPr="00D6025C" w14:paraId="7AA4F899" w14:textId="77777777" w:rsidTr="3C2876EF">
        <w:trPr>
          <w:trHeight w:val="2636"/>
        </w:trPr>
        <w:tc>
          <w:tcPr>
            <w:tcW w:w="691" w:type="dxa"/>
            <w:tcBorders>
              <w:top w:val="nil"/>
              <w:left w:val="single" w:sz="4" w:space="0" w:color="auto"/>
              <w:bottom w:val="single" w:sz="4" w:space="0" w:color="auto"/>
              <w:right w:val="single" w:sz="4" w:space="0" w:color="auto"/>
            </w:tcBorders>
          </w:tcPr>
          <w:p w14:paraId="7E54558D"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nil"/>
              <w:left w:val="single" w:sz="4" w:space="0" w:color="auto"/>
              <w:bottom w:val="single" w:sz="4" w:space="0" w:color="auto"/>
              <w:right w:val="single" w:sz="4" w:space="0" w:color="auto"/>
            </w:tcBorders>
            <w:hideMark/>
          </w:tcPr>
          <w:p w14:paraId="04630880" w14:textId="3CDF7516" w:rsidR="008D3F31" w:rsidRPr="007B244A" w:rsidRDefault="008D3F31" w:rsidP="00755125">
            <w:pPr>
              <w:spacing w:after="0" w:line="240" w:lineRule="auto"/>
              <w:jc w:val="center"/>
              <w:rPr>
                <w:rFonts w:cs="Calibri"/>
                <w:color w:val="000000"/>
                <w:sz w:val="20"/>
                <w:szCs w:val="20"/>
                <w:lang w:eastAsia="lt-LT"/>
              </w:rPr>
            </w:pPr>
            <w:r w:rsidRPr="007B244A">
              <w:rPr>
                <w:rFonts w:cs="Calibri"/>
                <w:color w:val="000000" w:themeColor="text1"/>
                <w:sz w:val="20"/>
                <w:szCs w:val="20"/>
                <w:lang w:eastAsia="lt-LT"/>
              </w:rPr>
              <w:t>Garantinė techninė priežiūra</w:t>
            </w:r>
            <w:r w:rsidR="3176EC79" w:rsidRPr="007B244A">
              <w:rPr>
                <w:rFonts w:cs="Calibri"/>
                <w:color w:val="000000" w:themeColor="text1"/>
                <w:sz w:val="20"/>
                <w:szCs w:val="20"/>
                <w:lang w:eastAsia="lt-LT"/>
              </w:rPr>
              <w:t>*</w:t>
            </w:r>
          </w:p>
        </w:tc>
        <w:tc>
          <w:tcPr>
            <w:tcW w:w="4142" w:type="dxa"/>
            <w:tcBorders>
              <w:top w:val="single" w:sz="4" w:space="0" w:color="auto"/>
              <w:left w:val="nil"/>
              <w:bottom w:val="single" w:sz="4" w:space="0" w:color="auto"/>
              <w:right w:val="single" w:sz="4" w:space="0" w:color="auto"/>
            </w:tcBorders>
          </w:tcPr>
          <w:p w14:paraId="61CC4EE6" w14:textId="31AFE3FB" w:rsidR="00CB2687" w:rsidRPr="00CB2687" w:rsidRDefault="00CB2687" w:rsidP="00CB2687">
            <w:pPr>
              <w:spacing w:after="0" w:line="240" w:lineRule="auto"/>
              <w:jc w:val="both"/>
              <w:rPr>
                <w:rFonts w:cs="Calibri"/>
                <w:color w:val="000000" w:themeColor="text1"/>
                <w:sz w:val="20"/>
                <w:szCs w:val="20"/>
                <w:lang w:eastAsia="lt-LT"/>
              </w:rPr>
            </w:pPr>
            <w:r w:rsidRPr="00CB2687">
              <w:rPr>
                <w:rFonts w:cs="Calibri"/>
                <w:color w:val="000000" w:themeColor="text1"/>
                <w:sz w:val="20"/>
                <w:szCs w:val="20"/>
                <w:lang w:eastAsia="lt-LT"/>
              </w:rPr>
              <w:t>Ne mažiau kaip 3 metų gamintojo garantija, aptarnaujant įrangos buvimo vietoje, gedimų registravimas gamintojo palaikymo linijoje 24x7x365 (</w:t>
            </w:r>
            <w:r w:rsidR="00CD4B3F" w:rsidRPr="00CD4B3F">
              <w:rPr>
                <w:rFonts w:cs="Calibri"/>
                <w:color w:val="000000" w:themeColor="text1"/>
                <w:sz w:val="20"/>
                <w:szCs w:val="20"/>
                <w:lang w:eastAsia="lt-LT"/>
              </w:rPr>
              <w:t>24 valandas per parą, 7 dienas per savaitę ir 365 dienas per metus</w:t>
            </w:r>
            <w:r w:rsidRPr="00CB2687">
              <w:rPr>
                <w:rFonts w:cs="Calibri"/>
                <w:color w:val="000000" w:themeColor="text1"/>
                <w:sz w:val="20"/>
                <w:szCs w:val="20"/>
                <w:lang w:eastAsia="lt-LT"/>
              </w:rPr>
              <w:t>).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p>
          <w:p w14:paraId="75FBA8E4" w14:textId="77777777" w:rsidR="00CB2687" w:rsidRPr="00CB2687" w:rsidRDefault="00CB2687" w:rsidP="00CB2687">
            <w:pPr>
              <w:spacing w:after="0" w:line="240" w:lineRule="auto"/>
              <w:jc w:val="both"/>
              <w:rPr>
                <w:rFonts w:cs="Calibri"/>
                <w:color w:val="000000" w:themeColor="text1"/>
                <w:sz w:val="20"/>
                <w:szCs w:val="20"/>
                <w:lang w:eastAsia="lt-LT"/>
              </w:rPr>
            </w:pPr>
            <w:r w:rsidRPr="00CB2687">
              <w:rPr>
                <w:rFonts w:cs="Calibri"/>
                <w:color w:val="000000" w:themeColor="text1"/>
                <w:sz w:val="20"/>
                <w:szCs w:val="20"/>
                <w:lang w:eastAsia="lt-LT"/>
              </w:rPr>
              <w:t>Visai naudojamos programinės ir techninės įrangos priežiūrai turi būti taikomas „vieno langelio principas“  –  visiems komponentams (aparatinei ir programinei įrangai šiame pasiūlyme), sutrikimai ir gedimai registruojami tiesiogiai įrangos gamintojo pagalbos tarnyboje, sprendžiami to paties gamintojo inžinierių.</w:t>
            </w:r>
          </w:p>
          <w:p w14:paraId="528B1CC7" w14:textId="08BD24BC" w:rsidR="00CB2687" w:rsidRPr="00CB2687" w:rsidRDefault="00CB2687" w:rsidP="00CB2687">
            <w:pPr>
              <w:spacing w:after="0" w:line="240" w:lineRule="auto"/>
              <w:jc w:val="both"/>
              <w:rPr>
                <w:rFonts w:cs="Calibri"/>
                <w:color w:val="000000" w:themeColor="text1"/>
                <w:sz w:val="20"/>
                <w:szCs w:val="20"/>
                <w:lang w:eastAsia="lt-LT"/>
              </w:rPr>
            </w:pPr>
            <w:r w:rsidRPr="00CB2687">
              <w:rPr>
                <w:rFonts w:cs="Calibri"/>
                <w:color w:val="000000" w:themeColor="text1"/>
                <w:sz w:val="20"/>
                <w:szCs w:val="20"/>
                <w:lang w:eastAsia="lt-LT"/>
              </w:rPr>
              <w:lastRenderedPageBreak/>
              <w:t xml:space="preserve">Gamintojo pagalbos tarnyba turi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turi būti pasiūlyta su paslaugos lygiu, užtikrinančiu sugedusių mazgų </w:t>
            </w:r>
            <w:r w:rsidR="005D75CD">
              <w:rPr>
                <w:rFonts w:cs="Calibri"/>
                <w:color w:val="000000" w:themeColor="text1"/>
                <w:sz w:val="20"/>
                <w:szCs w:val="20"/>
                <w:lang w:eastAsia="lt-LT"/>
              </w:rPr>
              <w:t>pakeitimą ne vėliau kaip per 2 valandas</w:t>
            </w:r>
            <w:r w:rsidRPr="00CB2687">
              <w:rPr>
                <w:rFonts w:cs="Calibri"/>
                <w:color w:val="000000" w:themeColor="text1"/>
                <w:sz w:val="20"/>
                <w:szCs w:val="20"/>
                <w:lang w:eastAsia="lt-LT"/>
              </w:rPr>
              <w:t xml:space="preserve"> bet kurią metų dieną (24/7).</w:t>
            </w:r>
          </w:p>
          <w:p w14:paraId="3DDBD223" w14:textId="77777777" w:rsidR="00CB2687" w:rsidRPr="00CB2687" w:rsidRDefault="00CB2687" w:rsidP="00CB2687">
            <w:pPr>
              <w:spacing w:after="0" w:line="240" w:lineRule="auto"/>
              <w:jc w:val="both"/>
              <w:rPr>
                <w:rFonts w:cs="Calibri"/>
                <w:color w:val="000000" w:themeColor="text1"/>
                <w:sz w:val="20"/>
                <w:szCs w:val="20"/>
                <w:lang w:eastAsia="lt-LT"/>
              </w:rPr>
            </w:pPr>
            <w:r w:rsidRPr="00CB2687">
              <w:rPr>
                <w:rFonts w:cs="Calibri"/>
                <w:color w:val="000000" w:themeColor="text1"/>
                <w:sz w:val="20"/>
                <w:szCs w:val="20"/>
                <w:lang w:eastAsia="lt-LT"/>
              </w:rPr>
              <w:t>Turi būti užtikrinta galimybė gamintojo svetainėje pagal serijinį numerį pasitikrinti serverio garantijos galiojimą bei lygį, taip pat serverio konfigūraciją.</w:t>
            </w:r>
          </w:p>
          <w:p w14:paraId="35196C5F" w14:textId="77777777" w:rsidR="00CB2687" w:rsidRPr="00CB2687" w:rsidRDefault="00CB2687" w:rsidP="00CB2687">
            <w:pPr>
              <w:spacing w:after="0" w:line="240" w:lineRule="auto"/>
              <w:jc w:val="both"/>
              <w:rPr>
                <w:rFonts w:cs="Calibri"/>
                <w:color w:val="000000" w:themeColor="text1"/>
                <w:sz w:val="20"/>
                <w:szCs w:val="20"/>
                <w:lang w:eastAsia="lt-LT"/>
              </w:rPr>
            </w:pPr>
            <w:r w:rsidRPr="00CB2687">
              <w:rPr>
                <w:rFonts w:cs="Calibri"/>
                <w:color w:val="000000" w:themeColor="text1"/>
                <w:sz w:val="20"/>
                <w:szCs w:val="20"/>
                <w:lang w:eastAsia="lt-LT"/>
              </w:rPr>
              <w:t>Serveris turi būti sujungtas su gamintojo serviso centru bei turėti galimybę automatiškai registruoti incidentus bei gedimus.</w:t>
            </w:r>
          </w:p>
          <w:p w14:paraId="2B5F4251" w14:textId="77777777" w:rsidR="00CB2687" w:rsidRPr="00CB2687" w:rsidRDefault="00CB2687" w:rsidP="00CB2687">
            <w:pPr>
              <w:spacing w:after="0" w:line="240" w:lineRule="auto"/>
              <w:jc w:val="both"/>
              <w:rPr>
                <w:rFonts w:cs="Calibri"/>
                <w:color w:val="000000" w:themeColor="text1"/>
                <w:sz w:val="20"/>
                <w:szCs w:val="20"/>
                <w:lang w:eastAsia="lt-LT"/>
              </w:rPr>
            </w:pPr>
          </w:p>
          <w:p w14:paraId="007FF40C" w14:textId="77777777" w:rsidR="00CB2687" w:rsidRPr="00CB2687" w:rsidRDefault="00CB2687" w:rsidP="00CB2687">
            <w:pPr>
              <w:spacing w:after="0" w:line="240" w:lineRule="auto"/>
              <w:jc w:val="both"/>
              <w:rPr>
                <w:rFonts w:cs="Calibri"/>
                <w:color w:val="000000" w:themeColor="text1"/>
                <w:sz w:val="20"/>
                <w:szCs w:val="20"/>
                <w:lang w:eastAsia="lt-LT"/>
              </w:rPr>
            </w:pPr>
            <w:r w:rsidRPr="00CB2687">
              <w:rPr>
                <w:rFonts w:cs="Calibri"/>
                <w:color w:val="000000" w:themeColor="text1"/>
                <w:sz w:val="20"/>
                <w:szCs w:val="20"/>
                <w:lang w:eastAsia="lt-LT"/>
              </w:rPr>
              <w:t>Tiekėjas kartu su pristatoma preke turės pateikti pažymą iš įrangos gamintojo, kad tiekėjo siūloma įranga atitinka techninius bei garantinius reikalavimus.</w:t>
            </w:r>
          </w:p>
          <w:p w14:paraId="1BA8A167" w14:textId="71950F77" w:rsidR="008D3F31" w:rsidRPr="007B244A" w:rsidRDefault="008D3F31" w:rsidP="3C2876EF">
            <w:pPr>
              <w:spacing w:after="0" w:line="240" w:lineRule="auto"/>
              <w:jc w:val="both"/>
              <w:rPr>
                <w:rFonts w:cs="Calibri"/>
                <w:b/>
                <w:bCs/>
                <w:color w:val="000000"/>
                <w:sz w:val="20"/>
                <w:szCs w:val="20"/>
                <w:lang w:eastAsia="lt-LT"/>
              </w:rPr>
            </w:pPr>
          </w:p>
        </w:tc>
        <w:tc>
          <w:tcPr>
            <w:tcW w:w="4119" w:type="dxa"/>
            <w:tcBorders>
              <w:top w:val="nil"/>
              <w:left w:val="single" w:sz="4" w:space="0" w:color="auto"/>
              <w:bottom w:val="single" w:sz="4" w:space="0" w:color="auto"/>
              <w:right w:val="single" w:sz="4" w:space="0" w:color="auto"/>
            </w:tcBorders>
            <w:hideMark/>
          </w:tcPr>
          <w:p w14:paraId="2F44BA1F" w14:textId="77777777" w:rsidR="008D3F31" w:rsidRPr="00D6025C" w:rsidRDefault="008D3F31" w:rsidP="00755125">
            <w:pPr>
              <w:spacing w:after="0" w:line="240" w:lineRule="auto"/>
              <w:jc w:val="center"/>
              <w:rPr>
                <w:rFonts w:cs="Calibri"/>
                <w:color w:val="000000"/>
                <w:sz w:val="20"/>
                <w:szCs w:val="20"/>
                <w:lang w:eastAsia="lt-LT"/>
              </w:rPr>
            </w:pPr>
            <w:r w:rsidRPr="00D6025C">
              <w:rPr>
                <w:rFonts w:cs="Calibri"/>
                <w:color w:val="000000"/>
                <w:sz w:val="20"/>
                <w:szCs w:val="20"/>
                <w:lang w:eastAsia="lt-LT"/>
              </w:rPr>
              <w:lastRenderedPageBreak/>
              <w:t> </w:t>
            </w:r>
          </w:p>
        </w:tc>
      </w:tr>
      <w:tr w:rsidR="008D3F31" w:rsidRPr="00CD6D78" w14:paraId="2D7838A6" w14:textId="77777777" w:rsidTr="007B244A">
        <w:trPr>
          <w:trHeight w:val="1544"/>
        </w:trPr>
        <w:tc>
          <w:tcPr>
            <w:tcW w:w="691" w:type="dxa"/>
            <w:tcBorders>
              <w:top w:val="single" w:sz="4" w:space="0" w:color="auto"/>
              <w:left w:val="single" w:sz="4" w:space="0" w:color="auto"/>
              <w:bottom w:val="single" w:sz="4" w:space="0" w:color="auto"/>
              <w:right w:val="single" w:sz="4" w:space="0" w:color="auto"/>
            </w:tcBorders>
          </w:tcPr>
          <w:p w14:paraId="25E1EE69" w14:textId="77777777" w:rsidR="008D3F31" w:rsidRPr="004320B0" w:rsidRDefault="008D3F31" w:rsidP="008D3F31">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hideMark/>
          </w:tcPr>
          <w:p w14:paraId="6783EA1D" w14:textId="77777777" w:rsidR="008D3F31" w:rsidRPr="00CA7EF9" w:rsidRDefault="008D3F31" w:rsidP="00755125">
            <w:pPr>
              <w:spacing w:after="0" w:line="240" w:lineRule="auto"/>
              <w:jc w:val="center"/>
              <w:rPr>
                <w:rFonts w:cs="Calibri"/>
                <w:color w:val="000000"/>
                <w:sz w:val="20"/>
                <w:szCs w:val="20"/>
                <w:lang w:eastAsia="lt-LT"/>
              </w:rPr>
            </w:pPr>
            <w:r w:rsidRPr="00CA7EF9">
              <w:rPr>
                <w:rFonts w:cs="Calibri"/>
                <w:color w:val="000000"/>
                <w:sz w:val="20"/>
                <w:szCs w:val="20"/>
                <w:lang w:eastAsia="lt-LT"/>
              </w:rPr>
              <w:t>Surinkimo reikalavimai</w:t>
            </w:r>
          </w:p>
        </w:tc>
        <w:tc>
          <w:tcPr>
            <w:tcW w:w="4142" w:type="dxa"/>
            <w:tcBorders>
              <w:top w:val="single" w:sz="4" w:space="0" w:color="auto"/>
              <w:left w:val="nil"/>
              <w:bottom w:val="single" w:sz="4" w:space="0" w:color="auto"/>
              <w:right w:val="single" w:sz="4" w:space="0" w:color="auto"/>
            </w:tcBorders>
            <w:hideMark/>
          </w:tcPr>
          <w:p w14:paraId="4AB94EAC" w14:textId="77777777"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 xml:space="preserve">Siūlomi įrenginiai turi būti nauji ir ankščiau nenaudoti, gamykliškai atnaujinti (angl. Renewed, Refurbished, Remarketed) komponentai neleistini. </w:t>
            </w:r>
          </w:p>
          <w:p w14:paraId="420C0B27" w14:textId="77777777" w:rsidR="008D3F31" w:rsidRPr="00CA7EF9" w:rsidRDefault="008D3F31" w:rsidP="00755125">
            <w:pPr>
              <w:spacing w:after="0" w:line="240" w:lineRule="auto"/>
              <w:jc w:val="both"/>
              <w:rPr>
                <w:rFonts w:cs="Calibri"/>
                <w:color w:val="000000"/>
                <w:sz w:val="20"/>
                <w:szCs w:val="20"/>
                <w:lang w:eastAsia="lt-LT"/>
              </w:rPr>
            </w:pPr>
            <w:r w:rsidRPr="00CA7EF9">
              <w:rPr>
                <w:rFonts w:cs="Calibri"/>
                <w:color w:val="000000"/>
                <w:sz w:val="20"/>
                <w:szCs w:val="20"/>
                <w:lang w:eastAsia="lt-LT"/>
              </w:rPr>
              <w:t>Visos komplektuojamos įrenginio dalys privalo būti komplektuojamos įrenginio gamintojo ir pažymėtos gamintojo gamykliniais kodais.</w:t>
            </w:r>
          </w:p>
        </w:tc>
        <w:tc>
          <w:tcPr>
            <w:tcW w:w="4119" w:type="dxa"/>
            <w:tcBorders>
              <w:top w:val="single" w:sz="4" w:space="0" w:color="auto"/>
              <w:left w:val="single" w:sz="4" w:space="0" w:color="auto"/>
              <w:bottom w:val="single" w:sz="4" w:space="0" w:color="auto"/>
              <w:right w:val="single" w:sz="4" w:space="0" w:color="auto"/>
            </w:tcBorders>
            <w:hideMark/>
          </w:tcPr>
          <w:p w14:paraId="6314BBDF" w14:textId="77777777" w:rsidR="008D3F31" w:rsidRPr="00CD6D78" w:rsidRDefault="008D3F31" w:rsidP="00755125">
            <w:pPr>
              <w:spacing w:after="0" w:line="240" w:lineRule="auto"/>
              <w:jc w:val="center"/>
              <w:rPr>
                <w:rFonts w:cs="Calibri"/>
                <w:color w:val="000000"/>
                <w:sz w:val="20"/>
                <w:szCs w:val="20"/>
                <w:lang w:eastAsia="lt-LT"/>
              </w:rPr>
            </w:pPr>
            <w:r w:rsidRPr="00CD6D78">
              <w:rPr>
                <w:rFonts w:cs="Calibri"/>
                <w:color w:val="000000"/>
                <w:sz w:val="20"/>
                <w:szCs w:val="20"/>
                <w:lang w:eastAsia="lt-LT"/>
              </w:rPr>
              <w:t> </w:t>
            </w:r>
          </w:p>
        </w:tc>
      </w:tr>
      <w:tr w:rsidR="0078616B" w:rsidRPr="00CD6D78" w14:paraId="11F11653" w14:textId="77777777" w:rsidTr="007B244A">
        <w:trPr>
          <w:trHeight w:val="1544"/>
        </w:trPr>
        <w:tc>
          <w:tcPr>
            <w:tcW w:w="691" w:type="dxa"/>
            <w:tcBorders>
              <w:top w:val="single" w:sz="4" w:space="0" w:color="auto"/>
              <w:left w:val="single" w:sz="4" w:space="0" w:color="auto"/>
              <w:bottom w:val="single" w:sz="4" w:space="0" w:color="auto"/>
              <w:right w:val="single" w:sz="4" w:space="0" w:color="auto"/>
            </w:tcBorders>
          </w:tcPr>
          <w:p w14:paraId="16C026F9" w14:textId="77777777" w:rsidR="0078616B" w:rsidRPr="004320B0" w:rsidRDefault="0078616B" w:rsidP="0078616B">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tcPr>
          <w:p w14:paraId="64A3CF4F" w14:textId="2967BDB0" w:rsidR="0078616B" w:rsidRPr="00CA7EF9" w:rsidRDefault="0078616B" w:rsidP="0078616B">
            <w:pPr>
              <w:spacing w:after="0" w:line="240" w:lineRule="auto"/>
              <w:jc w:val="center"/>
              <w:rPr>
                <w:rFonts w:cs="Calibri"/>
                <w:color w:val="000000"/>
                <w:sz w:val="20"/>
                <w:szCs w:val="20"/>
                <w:lang w:eastAsia="lt-LT"/>
              </w:rPr>
            </w:pPr>
            <w:r w:rsidRPr="00B66C7B">
              <w:rPr>
                <w:rFonts w:cs="Calibri"/>
                <w:color w:val="000000"/>
                <w:sz w:val="20"/>
                <w:szCs w:val="20"/>
                <w:lang w:eastAsia="lt-LT"/>
              </w:rPr>
              <w:t>Ekologinio projektavimo reikalavimai</w:t>
            </w:r>
          </w:p>
        </w:tc>
        <w:tc>
          <w:tcPr>
            <w:tcW w:w="4142" w:type="dxa"/>
            <w:tcBorders>
              <w:top w:val="single" w:sz="4" w:space="0" w:color="auto"/>
              <w:left w:val="nil"/>
              <w:bottom w:val="single" w:sz="4" w:space="0" w:color="auto"/>
              <w:right w:val="single" w:sz="4" w:space="0" w:color="auto"/>
            </w:tcBorders>
          </w:tcPr>
          <w:p w14:paraId="0BE4CA21" w14:textId="77777777" w:rsidR="0078616B" w:rsidRPr="00B66C7B" w:rsidRDefault="0078616B" w:rsidP="0078616B">
            <w:pPr>
              <w:spacing w:after="0" w:line="240" w:lineRule="auto"/>
              <w:jc w:val="both"/>
              <w:rPr>
                <w:rFonts w:cs="Calibri"/>
                <w:color w:val="000000"/>
                <w:sz w:val="20"/>
                <w:szCs w:val="20"/>
                <w:lang w:eastAsia="lt-LT"/>
              </w:rPr>
            </w:pPr>
            <w:r w:rsidRPr="00B66C7B">
              <w:rPr>
                <w:rFonts w:cs="Calibri"/>
                <w:color w:val="000000"/>
                <w:sz w:val="20"/>
                <w:szCs w:val="20"/>
                <w:lang w:eastAsia="lt-LT"/>
              </w:rPr>
              <w:t>Siūlomi serveriai turi atitikti Komisijos reglamento (ES) 2019/424 su visais pakeitimais nustatytus ekologinio projektavimo reikalavimus, taikomus konkrečiai siūlomai serverio konfigūracijai.</w:t>
            </w:r>
          </w:p>
          <w:p w14:paraId="632B0883" w14:textId="77777777" w:rsidR="0078616B" w:rsidRPr="00B66C7B" w:rsidRDefault="0078616B" w:rsidP="0078616B">
            <w:pPr>
              <w:spacing w:after="0" w:line="240" w:lineRule="auto"/>
              <w:jc w:val="both"/>
              <w:rPr>
                <w:rFonts w:cs="Calibri"/>
                <w:color w:val="000000"/>
                <w:sz w:val="20"/>
                <w:szCs w:val="20"/>
                <w:lang w:eastAsia="lt-LT"/>
              </w:rPr>
            </w:pPr>
            <w:r w:rsidRPr="00B66C7B">
              <w:rPr>
                <w:rFonts w:cs="Calibri"/>
                <w:color w:val="000000"/>
                <w:sz w:val="20"/>
                <w:szCs w:val="20"/>
                <w:lang w:eastAsia="lt-LT"/>
              </w:rPr>
              <w:t>Tiekėjas kartu su pasiūlymu turi pateikti gaminio atitikties deklaraciją, gamintojo techninius dokumentus, ErP / Ecodesign dokumentaciją arba kitus lygiaverčius įrodymus, patvirtinančius, kad siūloma įranga atitinka Europos Komisijos reglamentuose dėl gaminių ekologinio projektavimo nustatytus reikalavimus.</w:t>
            </w:r>
          </w:p>
          <w:p w14:paraId="7B54F405" w14:textId="77777777" w:rsidR="0078616B" w:rsidRPr="00CA7EF9" w:rsidRDefault="0078616B" w:rsidP="0078616B">
            <w:pPr>
              <w:spacing w:after="0" w:line="240" w:lineRule="auto"/>
              <w:jc w:val="both"/>
              <w:rPr>
                <w:rFonts w:cs="Calibri"/>
                <w:color w:val="000000"/>
                <w:sz w:val="20"/>
                <w:szCs w:val="20"/>
                <w:lang w:eastAsia="lt-LT"/>
              </w:rPr>
            </w:pPr>
          </w:p>
        </w:tc>
        <w:tc>
          <w:tcPr>
            <w:tcW w:w="4119" w:type="dxa"/>
            <w:tcBorders>
              <w:top w:val="single" w:sz="4" w:space="0" w:color="auto"/>
              <w:left w:val="single" w:sz="4" w:space="0" w:color="auto"/>
              <w:bottom w:val="single" w:sz="4" w:space="0" w:color="auto"/>
              <w:right w:val="single" w:sz="4" w:space="0" w:color="auto"/>
            </w:tcBorders>
          </w:tcPr>
          <w:p w14:paraId="05225A5B" w14:textId="77777777" w:rsidR="0078616B" w:rsidRPr="00CD6D78" w:rsidRDefault="0078616B" w:rsidP="0078616B">
            <w:pPr>
              <w:spacing w:after="0" w:line="240" w:lineRule="auto"/>
              <w:jc w:val="center"/>
              <w:rPr>
                <w:rFonts w:cs="Calibri"/>
                <w:color w:val="000000"/>
                <w:sz w:val="20"/>
                <w:szCs w:val="20"/>
                <w:lang w:eastAsia="lt-LT"/>
              </w:rPr>
            </w:pPr>
          </w:p>
        </w:tc>
      </w:tr>
      <w:tr w:rsidR="0078616B" w:rsidRPr="00CD6D78" w14:paraId="43896752" w14:textId="77777777" w:rsidTr="007B244A">
        <w:trPr>
          <w:trHeight w:val="1544"/>
        </w:trPr>
        <w:tc>
          <w:tcPr>
            <w:tcW w:w="691" w:type="dxa"/>
            <w:tcBorders>
              <w:top w:val="single" w:sz="4" w:space="0" w:color="auto"/>
              <w:left w:val="single" w:sz="4" w:space="0" w:color="auto"/>
              <w:bottom w:val="single" w:sz="4" w:space="0" w:color="auto"/>
              <w:right w:val="single" w:sz="4" w:space="0" w:color="auto"/>
            </w:tcBorders>
          </w:tcPr>
          <w:p w14:paraId="0B86D4D8" w14:textId="77777777" w:rsidR="0078616B" w:rsidRPr="004320B0" w:rsidRDefault="0078616B" w:rsidP="0078616B">
            <w:pPr>
              <w:pStyle w:val="ListParagraph"/>
              <w:numPr>
                <w:ilvl w:val="0"/>
                <w:numId w:val="5"/>
              </w:numPr>
              <w:spacing w:after="0" w:line="240" w:lineRule="auto"/>
              <w:jc w:val="center"/>
              <w:rPr>
                <w:rFonts w:cs="Calibri"/>
                <w:color w:val="000000"/>
                <w:sz w:val="20"/>
                <w:szCs w:val="20"/>
                <w:lang w:eastAsia="lt-LT"/>
              </w:rPr>
            </w:pPr>
          </w:p>
        </w:tc>
        <w:tc>
          <w:tcPr>
            <w:tcW w:w="1533" w:type="dxa"/>
            <w:tcBorders>
              <w:top w:val="single" w:sz="4" w:space="0" w:color="auto"/>
              <w:left w:val="single" w:sz="4" w:space="0" w:color="auto"/>
              <w:bottom w:val="single" w:sz="4" w:space="0" w:color="auto"/>
              <w:right w:val="single" w:sz="4" w:space="0" w:color="auto"/>
            </w:tcBorders>
          </w:tcPr>
          <w:p w14:paraId="4EA022C2" w14:textId="04F27018" w:rsidR="0078616B" w:rsidRPr="00CA7EF9" w:rsidRDefault="0078616B" w:rsidP="0078616B">
            <w:pPr>
              <w:spacing w:after="0" w:line="240" w:lineRule="auto"/>
              <w:jc w:val="center"/>
              <w:rPr>
                <w:rFonts w:cs="Calibri"/>
                <w:color w:val="000000"/>
                <w:sz w:val="20"/>
                <w:szCs w:val="20"/>
                <w:lang w:eastAsia="lt-LT"/>
              </w:rPr>
            </w:pPr>
            <w:r w:rsidRPr="005163E1">
              <w:rPr>
                <w:rFonts w:cs="Calibri"/>
                <w:color w:val="000000"/>
                <w:sz w:val="20"/>
                <w:szCs w:val="20"/>
                <w:lang w:eastAsia="lt-LT"/>
              </w:rPr>
              <w:t>Energijos vartojimo efektyvumas</w:t>
            </w:r>
          </w:p>
        </w:tc>
        <w:tc>
          <w:tcPr>
            <w:tcW w:w="4142" w:type="dxa"/>
            <w:tcBorders>
              <w:top w:val="single" w:sz="4" w:space="0" w:color="auto"/>
              <w:left w:val="nil"/>
              <w:bottom w:val="single" w:sz="4" w:space="0" w:color="auto"/>
              <w:right w:val="single" w:sz="4" w:space="0" w:color="auto"/>
            </w:tcBorders>
          </w:tcPr>
          <w:p w14:paraId="04E8E99A" w14:textId="77777777" w:rsidR="001E2A95" w:rsidRPr="0078616B" w:rsidRDefault="001E2A95" w:rsidP="001E2A95">
            <w:pPr>
              <w:spacing w:after="0" w:line="240" w:lineRule="auto"/>
              <w:jc w:val="both"/>
              <w:rPr>
                <w:rFonts w:cs="Calibri"/>
                <w:color w:val="000000"/>
                <w:sz w:val="20"/>
                <w:szCs w:val="20"/>
                <w:lang w:eastAsia="lt-LT"/>
              </w:rPr>
            </w:pPr>
            <w:r w:rsidRPr="21397F1E">
              <w:rPr>
                <w:rFonts w:cs="Calibri"/>
                <w:color w:val="000000" w:themeColor="text1"/>
                <w:sz w:val="20"/>
                <w:szCs w:val="20"/>
                <w:lang w:eastAsia="lt-LT"/>
              </w:rPr>
              <w:t>Siūlomų serverių maitinimo šaltiniai turi atitikti Reglamento (ES) 2019/424 reikalavimus dėl maitinimo šaltinių efektyvumo ir galios koeficiento. Serveriai turi būti pateikiami su gamintojo numatytais energijos vartojimo efektyvumo valdymo nustatymais arba šie nustatymai turi būti aktyvuoti iki įrangos perdavimo perkančiajai organizacijai.</w:t>
            </w:r>
          </w:p>
          <w:p w14:paraId="70625776" w14:textId="5EF2455B" w:rsidR="0078616B" w:rsidRPr="00CA7EF9" w:rsidRDefault="001E2A95" w:rsidP="0078616B">
            <w:pPr>
              <w:spacing w:after="0" w:line="240" w:lineRule="auto"/>
              <w:jc w:val="both"/>
              <w:rPr>
                <w:rFonts w:cs="Calibri"/>
                <w:color w:val="000000"/>
                <w:sz w:val="20"/>
                <w:szCs w:val="20"/>
                <w:lang w:eastAsia="lt-LT"/>
              </w:rPr>
            </w:pPr>
            <w:r w:rsidRPr="00FB4D3E">
              <w:rPr>
                <w:rFonts w:cs="Calibri"/>
                <w:color w:val="000000"/>
                <w:sz w:val="20"/>
                <w:szCs w:val="20"/>
                <w:lang w:eastAsia="lt-LT"/>
              </w:rPr>
              <w:t xml:space="preserve">Atitiktis įrodoma gamintojo techniniais dokumentais, maitinimo šaltinių efektyvumo deklaracija, ErP / Ecodesign dokumentacija arba kitais lygiaverčiais </w:t>
            </w:r>
            <w:r w:rsidR="00B12C51">
              <w:rPr>
                <w:rFonts w:cs="Calibri"/>
                <w:color w:val="000000"/>
                <w:sz w:val="20"/>
                <w:szCs w:val="20"/>
                <w:lang w:eastAsia="lt-LT"/>
              </w:rPr>
              <w:t>įrodymais, pateikiamais kartu su pasiūlymu</w:t>
            </w:r>
            <w:r w:rsidRPr="00FB4D3E">
              <w:rPr>
                <w:rFonts w:cs="Calibri"/>
                <w:color w:val="000000"/>
                <w:sz w:val="20"/>
                <w:szCs w:val="20"/>
                <w:lang w:eastAsia="lt-LT"/>
              </w:rPr>
              <w:t>.</w:t>
            </w:r>
          </w:p>
        </w:tc>
        <w:tc>
          <w:tcPr>
            <w:tcW w:w="4119" w:type="dxa"/>
            <w:tcBorders>
              <w:top w:val="single" w:sz="4" w:space="0" w:color="auto"/>
              <w:left w:val="single" w:sz="4" w:space="0" w:color="auto"/>
              <w:bottom w:val="single" w:sz="4" w:space="0" w:color="auto"/>
              <w:right w:val="single" w:sz="4" w:space="0" w:color="auto"/>
            </w:tcBorders>
          </w:tcPr>
          <w:p w14:paraId="07C24979" w14:textId="77777777" w:rsidR="0078616B" w:rsidRPr="00CD6D78" w:rsidRDefault="0078616B" w:rsidP="0078616B">
            <w:pPr>
              <w:spacing w:after="0" w:line="240" w:lineRule="auto"/>
              <w:jc w:val="center"/>
              <w:rPr>
                <w:rFonts w:cs="Calibri"/>
                <w:color w:val="000000"/>
                <w:sz w:val="20"/>
                <w:szCs w:val="20"/>
                <w:lang w:eastAsia="lt-LT"/>
              </w:rPr>
            </w:pPr>
          </w:p>
        </w:tc>
      </w:tr>
    </w:tbl>
    <w:p w14:paraId="3B77AAF9" w14:textId="77777777" w:rsidR="00C10F1E" w:rsidRDefault="00C10F1E" w:rsidP="00C10F1E">
      <w:pPr>
        <w:pStyle w:val="ListParagraph"/>
      </w:pPr>
    </w:p>
    <w:p w14:paraId="3784B0CB" w14:textId="50E9DD80" w:rsidR="008D3F31" w:rsidRPr="008D3F31" w:rsidRDefault="008D3F31" w:rsidP="00C10F1E">
      <w:pPr>
        <w:pStyle w:val="ListParagraph"/>
      </w:pPr>
    </w:p>
    <w:p w14:paraId="11B86D68" w14:textId="3B6E5918" w:rsidR="197BAFC6" w:rsidRDefault="197BAFC6" w:rsidP="197BAFC6">
      <w:pPr>
        <w:pStyle w:val="ListParagraph"/>
      </w:pPr>
    </w:p>
    <w:p w14:paraId="69FF6ECE" w14:textId="7EE9ED54" w:rsidR="6E84CC32" w:rsidRDefault="6E84CC32" w:rsidP="6E84CC32">
      <w:pPr>
        <w:pStyle w:val="ListParagraph"/>
      </w:pPr>
    </w:p>
    <w:p w14:paraId="516E5CB8" w14:textId="7A344709" w:rsidR="26671FC7" w:rsidRDefault="26671FC7" w:rsidP="123FE1F1">
      <w:pPr>
        <w:jc w:val="both"/>
        <w:rPr>
          <w:rFonts w:ascii="Times New Roman" w:hAnsi="Times New Roman"/>
          <w:b/>
          <w:bCs/>
          <w:color w:val="000000" w:themeColor="text1"/>
          <w:sz w:val="24"/>
          <w:szCs w:val="24"/>
        </w:rPr>
      </w:pPr>
      <w:r w:rsidRPr="183D6548">
        <w:rPr>
          <w:rFonts w:ascii="Times New Roman" w:hAnsi="Times New Roman"/>
          <w:b/>
          <w:bCs/>
          <w:color w:val="000000" w:themeColor="text1"/>
          <w:sz w:val="24"/>
          <w:szCs w:val="24"/>
        </w:rPr>
        <w:lastRenderedPageBreak/>
        <w:t>Žalieji reikalavimai taikomi visoms pirkimo objekto pozicijoms:</w:t>
      </w:r>
    </w:p>
    <w:p w14:paraId="304D04B1" w14:textId="53CEB65C" w:rsidR="26671FC7" w:rsidRDefault="26671FC7" w:rsidP="123FE1F1">
      <w:pPr>
        <w:spacing w:line="276" w:lineRule="auto"/>
        <w:jc w:val="both"/>
        <w:rPr>
          <w:rFonts w:ascii="Times New Roman" w:hAnsi="Times New Roman"/>
          <w:b/>
          <w:bCs/>
          <w:sz w:val="24"/>
          <w:szCs w:val="24"/>
        </w:rPr>
      </w:pPr>
      <w:r w:rsidRPr="183D6548">
        <w:rPr>
          <w:rFonts w:ascii="Times New Roman" w:hAnsi="Times New Roman"/>
          <w:b/>
          <w:bCs/>
          <w:sz w:val="24"/>
          <w:szCs w:val="24"/>
        </w:rPr>
        <w:t>Taikomi žemiau nurodyti Lietuvos Respublikos aplinkos ministro 2011 m. birželio 28 d. įsakymu Nr. D1-508 „Dėl aplinkos apsaugos kriterijų taikymo, vykdant žaliuosius pirkimus, tvarkos aprašo patvirtinimo“ (aktualia redakcija) reikalavimai:</w:t>
      </w:r>
    </w:p>
    <w:p w14:paraId="20E2E280" w14:textId="169FAE44" w:rsidR="26671FC7" w:rsidRDefault="26671FC7" w:rsidP="123FE1F1">
      <w:pPr>
        <w:spacing w:line="276" w:lineRule="auto"/>
        <w:jc w:val="both"/>
        <w:rPr>
          <w:rFonts w:ascii="Times New Roman" w:hAnsi="Times New Roman"/>
          <w:b/>
          <w:bCs/>
          <w:sz w:val="24"/>
          <w:szCs w:val="24"/>
        </w:rPr>
      </w:pPr>
      <w:r w:rsidRPr="183D6548">
        <w:rPr>
          <w:rFonts w:ascii="Times New Roman" w:hAnsi="Times New Roman"/>
          <w:b/>
          <w:bCs/>
          <w:sz w:val="24"/>
          <w:szCs w:val="24"/>
        </w:rPr>
        <w:t xml:space="preserve"> </w:t>
      </w:r>
    </w:p>
    <w:tbl>
      <w:tblPr>
        <w:tblW w:w="0" w:type="auto"/>
        <w:tblLook w:val="04A0" w:firstRow="1" w:lastRow="0" w:firstColumn="1" w:lastColumn="0" w:noHBand="0" w:noVBand="1"/>
      </w:tblPr>
      <w:tblGrid>
        <w:gridCol w:w="813"/>
        <w:gridCol w:w="5479"/>
        <w:gridCol w:w="4154"/>
      </w:tblGrid>
      <w:tr w:rsidR="183D6548" w14:paraId="52FB46BE" w14:textId="77777777" w:rsidTr="3C2876EF">
        <w:trPr>
          <w:trHeight w:val="300"/>
        </w:trPr>
        <w:tc>
          <w:tcPr>
            <w:tcW w:w="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0BC98" w14:textId="33E4A32E" w:rsidR="183D6548" w:rsidRPr="007B244A" w:rsidRDefault="183D6548" w:rsidP="123FE1F1">
            <w:pPr>
              <w:spacing w:after="0"/>
              <w:jc w:val="center"/>
              <w:rPr>
                <w:rFonts w:ascii="Times New Roman" w:hAnsi="Times New Roman"/>
                <w:b/>
                <w:bCs/>
              </w:rPr>
            </w:pPr>
            <w:r w:rsidRPr="007B244A">
              <w:rPr>
                <w:rFonts w:ascii="Times New Roman" w:hAnsi="Times New Roman"/>
                <w:b/>
                <w:bCs/>
              </w:rPr>
              <w:t>Eil. Nr.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2BE05" w14:textId="134ACA00" w:rsidR="183D6548" w:rsidRPr="007B244A" w:rsidRDefault="183D6548" w:rsidP="123FE1F1">
            <w:pPr>
              <w:spacing w:after="0"/>
              <w:jc w:val="center"/>
              <w:rPr>
                <w:rFonts w:ascii="Times New Roman" w:hAnsi="Times New Roman"/>
                <w:b/>
                <w:bCs/>
              </w:rPr>
            </w:pPr>
            <w:r w:rsidRPr="007B244A">
              <w:rPr>
                <w:rFonts w:ascii="Times New Roman" w:hAnsi="Times New Roman"/>
                <w:b/>
                <w:bCs/>
              </w:rPr>
              <w:t>Aplinkos apsaugos kriterijai</w:t>
            </w:r>
          </w:p>
        </w:tc>
        <w:tc>
          <w:tcPr>
            <w:tcW w:w="41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5AE3B" w14:textId="0C8D1282" w:rsidR="183D6548" w:rsidRPr="007B244A" w:rsidRDefault="183D6548" w:rsidP="123FE1F1">
            <w:pPr>
              <w:spacing w:after="0"/>
              <w:jc w:val="center"/>
              <w:rPr>
                <w:rFonts w:ascii="Times New Roman" w:hAnsi="Times New Roman"/>
                <w:b/>
                <w:bCs/>
              </w:rPr>
            </w:pPr>
            <w:r w:rsidRPr="007B244A">
              <w:rPr>
                <w:rFonts w:ascii="Times New Roman" w:hAnsi="Times New Roman"/>
                <w:b/>
                <w:bCs/>
              </w:rPr>
              <w:t>Atitiktį aplinkos kriterijams pagrindžiantys dokumentai (jei reikalaujama)</w:t>
            </w:r>
          </w:p>
        </w:tc>
      </w:tr>
      <w:tr w:rsidR="183D6548" w14:paraId="450EDA4F" w14:textId="77777777" w:rsidTr="3C2876EF">
        <w:trPr>
          <w:trHeight w:val="300"/>
        </w:trPr>
        <w:tc>
          <w:tcPr>
            <w:tcW w:w="814" w:type="dxa"/>
            <w:tcBorders>
              <w:top w:val="single" w:sz="8" w:space="0" w:color="auto"/>
              <w:left w:val="single" w:sz="8" w:space="0" w:color="auto"/>
              <w:bottom w:val="single" w:sz="8" w:space="0" w:color="auto"/>
              <w:right w:val="single" w:sz="8" w:space="0" w:color="auto"/>
            </w:tcBorders>
            <w:tcMar>
              <w:left w:w="108" w:type="dxa"/>
              <w:right w:w="108" w:type="dxa"/>
            </w:tcMar>
          </w:tcPr>
          <w:p w14:paraId="42CE8B49" w14:textId="37297EF7" w:rsidR="3C2876EF" w:rsidRPr="007B244A" w:rsidRDefault="3C2876EF" w:rsidP="007B244A">
            <w:pPr>
              <w:spacing w:after="0"/>
              <w:rPr>
                <w:rFonts w:ascii="Times New Roman" w:hAnsi="Times New Roman"/>
                <w:sz w:val="24"/>
                <w:szCs w:val="24"/>
              </w:rPr>
            </w:pPr>
            <w:r w:rsidRPr="007B244A">
              <w:rPr>
                <w:rFonts w:ascii="Times New Roman" w:hAnsi="Times New Roman"/>
                <w:sz w:val="24"/>
                <w:szCs w:val="24"/>
              </w:rPr>
              <w:t>1.</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420CE" w14:textId="31C081FB" w:rsidR="007B244A" w:rsidRPr="007B244A" w:rsidRDefault="007B244A" w:rsidP="007B244A">
            <w:pPr>
              <w:spacing w:after="0" w:line="276" w:lineRule="auto"/>
              <w:jc w:val="both"/>
              <w:rPr>
                <w:rFonts w:ascii="Times New Roman" w:hAnsi="Times New Roman"/>
                <w:b/>
                <w:bCs/>
                <w:sz w:val="24"/>
                <w:szCs w:val="24"/>
              </w:rPr>
            </w:pPr>
            <w:r w:rsidRPr="007B244A">
              <w:rPr>
                <w:rFonts w:ascii="Times New Roman" w:hAnsi="Times New Roman"/>
                <w:b/>
                <w:bCs/>
                <w:sz w:val="24"/>
                <w:szCs w:val="24"/>
              </w:rPr>
              <w:t>4 punkto 4.4.4.1. papunktis:</w:t>
            </w:r>
          </w:p>
          <w:p w14:paraId="4109AEB6" w14:textId="77777777" w:rsidR="007B244A" w:rsidRPr="007B244A" w:rsidRDefault="007B244A">
            <w:pPr>
              <w:spacing w:before="60"/>
              <w:jc w:val="both"/>
              <w:rPr>
                <w:rFonts w:ascii="Times New Roman" w:hAnsi="Times New Roman"/>
                <w:sz w:val="24"/>
                <w:szCs w:val="24"/>
              </w:rPr>
            </w:pPr>
          </w:p>
          <w:p w14:paraId="1A00E973" w14:textId="2417D316" w:rsidR="3C2876EF" w:rsidRPr="007B244A" w:rsidRDefault="3C2876EF" w:rsidP="007B244A">
            <w:pPr>
              <w:spacing w:before="60"/>
              <w:jc w:val="both"/>
              <w:rPr>
                <w:rFonts w:ascii="Times New Roman" w:hAnsi="Times New Roman"/>
                <w:sz w:val="24"/>
                <w:szCs w:val="24"/>
              </w:rPr>
            </w:pPr>
            <w:r w:rsidRPr="007B244A">
              <w:rPr>
                <w:rFonts w:ascii="Times New Roman" w:hAnsi="Times New Roman"/>
                <w:sz w:val="24"/>
                <w:szCs w:val="24"/>
              </w:rPr>
              <w:t xml:space="preserve">Tiekėjas privalo Prekes atvežti Pirkėjui ne kelių eismo piko valandomis, pirmadieniais − ketvirtadieniais nuo 14:30 iki 16:00 val., penktadieniais ir švenčių dienų išvakarėse nuo 13:00 iki 14:00 val. ir trumpiausiais galimais maršrutais. </w:t>
            </w:r>
          </w:p>
        </w:tc>
        <w:tc>
          <w:tcPr>
            <w:tcW w:w="41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8F3DD" w14:textId="6227F50D" w:rsidR="3C2876EF" w:rsidRPr="007B244A" w:rsidRDefault="3C2876EF" w:rsidP="007B244A">
            <w:pPr>
              <w:spacing w:after="0"/>
              <w:jc w:val="both"/>
              <w:rPr>
                <w:rFonts w:ascii="Times New Roman" w:hAnsi="Times New Roman"/>
                <w:sz w:val="24"/>
                <w:szCs w:val="24"/>
              </w:rPr>
            </w:pPr>
            <w:r w:rsidRPr="007B244A">
              <w:rPr>
                <w:rFonts w:ascii="Times New Roman" w:hAnsi="Times New Roman"/>
                <w:sz w:val="24"/>
                <w:szCs w:val="24"/>
              </w:rPr>
              <w:t>Pagrindžiantys dokumentai nereikalaujami, Tiekėjas šį reikalavimą patvirtina teikdamas pasiūlymą.</w:t>
            </w:r>
          </w:p>
          <w:p w14:paraId="42E11781" w14:textId="0B67FC42" w:rsidR="3C2876EF" w:rsidRPr="007B244A" w:rsidRDefault="3C2876EF" w:rsidP="007B244A">
            <w:pPr>
              <w:spacing w:after="0"/>
              <w:rPr>
                <w:rFonts w:ascii="Times New Roman" w:hAnsi="Times New Roman"/>
                <w:sz w:val="24"/>
                <w:szCs w:val="24"/>
              </w:rPr>
            </w:pPr>
            <w:r w:rsidRPr="007B244A">
              <w:rPr>
                <w:rFonts w:ascii="Times New Roman" w:hAnsi="Times New Roman"/>
                <w:sz w:val="24"/>
                <w:szCs w:val="24"/>
              </w:rPr>
              <w:t xml:space="preserve"> </w:t>
            </w:r>
          </w:p>
          <w:p w14:paraId="65F598DE" w14:textId="6830F84F" w:rsidR="3C2876EF" w:rsidRPr="007B244A" w:rsidRDefault="3C2876EF" w:rsidP="007B244A">
            <w:pPr>
              <w:spacing w:after="0"/>
              <w:jc w:val="center"/>
              <w:rPr>
                <w:rFonts w:ascii="Times New Roman" w:hAnsi="Times New Roman"/>
                <w:b/>
                <w:bCs/>
                <w:sz w:val="24"/>
                <w:szCs w:val="24"/>
                <w:highlight w:val="yellow"/>
              </w:rPr>
            </w:pPr>
            <w:r w:rsidRPr="007B244A">
              <w:rPr>
                <w:rFonts w:ascii="Times New Roman" w:hAnsi="Times New Roman"/>
                <w:b/>
                <w:bCs/>
                <w:sz w:val="24"/>
                <w:szCs w:val="24"/>
                <w:highlight w:val="yellow"/>
              </w:rPr>
              <w:t>TAIP/NE</w:t>
            </w:r>
          </w:p>
          <w:p w14:paraId="3B59E717" w14:textId="7553EA7E" w:rsidR="3C2876EF" w:rsidRPr="007B244A" w:rsidRDefault="3C2876EF" w:rsidP="007B244A">
            <w:pPr>
              <w:spacing w:after="0"/>
              <w:jc w:val="center"/>
              <w:rPr>
                <w:rFonts w:ascii="Times New Roman" w:hAnsi="Times New Roman"/>
                <w:sz w:val="24"/>
                <w:szCs w:val="24"/>
              </w:rPr>
            </w:pPr>
            <w:r w:rsidRPr="007B244A">
              <w:rPr>
                <w:rFonts w:ascii="Times New Roman" w:hAnsi="Times New Roman"/>
                <w:sz w:val="24"/>
                <w:szCs w:val="24"/>
              </w:rPr>
              <w:t>(tinkamą pažymėti)</w:t>
            </w:r>
          </w:p>
          <w:p w14:paraId="690F3ACA" w14:textId="7DD3C2FC" w:rsidR="3C2876EF" w:rsidRPr="007B244A" w:rsidRDefault="3C2876EF" w:rsidP="007B244A">
            <w:pPr>
              <w:spacing w:after="0"/>
              <w:jc w:val="center"/>
              <w:rPr>
                <w:rFonts w:ascii="Times New Roman" w:hAnsi="Times New Roman"/>
                <w:sz w:val="24"/>
                <w:szCs w:val="24"/>
              </w:rPr>
            </w:pPr>
            <w:r w:rsidRPr="007B244A">
              <w:rPr>
                <w:rFonts w:ascii="Times New Roman" w:hAnsi="Times New Roman"/>
                <w:sz w:val="24"/>
                <w:szCs w:val="24"/>
              </w:rPr>
              <w:t xml:space="preserve"> </w:t>
            </w:r>
          </w:p>
          <w:p w14:paraId="59591E67" w14:textId="6C26349F" w:rsidR="3C2876EF" w:rsidRPr="007B244A" w:rsidRDefault="3C2876EF" w:rsidP="007B244A">
            <w:pPr>
              <w:spacing w:after="0"/>
              <w:jc w:val="both"/>
              <w:rPr>
                <w:rFonts w:ascii="Times New Roman" w:hAnsi="Times New Roman"/>
                <w:sz w:val="24"/>
                <w:szCs w:val="24"/>
              </w:rPr>
            </w:pPr>
            <w:r w:rsidRPr="007B244A">
              <w:rPr>
                <w:rFonts w:ascii="Times New Roman" w:hAnsi="Times New Roman"/>
                <w:sz w:val="24"/>
                <w:szCs w:val="24"/>
              </w:rPr>
              <w:t xml:space="preserve">Už Prekių priėmimą atsakingas Pirkėjo atstovas, priimdamas Prekes fiziškai įsitikins, ar Tiekėjas Prekes pristatė ne kelių eismo piko valandomis. </w:t>
            </w:r>
          </w:p>
          <w:p w14:paraId="169118CE" w14:textId="3792887B" w:rsidR="3C2876EF" w:rsidRPr="007B244A" w:rsidRDefault="3C2876EF" w:rsidP="007B244A">
            <w:pPr>
              <w:spacing w:after="0"/>
              <w:jc w:val="both"/>
              <w:rPr>
                <w:rFonts w:ascii="Times New Roman" w:hAnsi="Times New Roman"/>
                <w:sz w:val="24"/>
                <w:szCs w:val="24"/>
              </w:rPr>
            </w:pPr>
            <w:r w:rsidRPr="007B244A">
              <w:rPr>
                <w:rFonts w:ascii="Times New Roman" w:hAnsi="Times New Roman"/>
                <w:sz w:val="24"/>
                <w:szCs w:val="24"/>
              </w:rPr>
              <w:t>Pirkėjas turi teisę Sutarties vykdymo metu pareikalauti trumpiausio galimo maršruto pasirinkimą įrodančių dokumentų.</w:t>
            </w:r>
          </w:p>
          <w:p w14:paraId="66C72D3C" w14:textId="023DDC7F" w:rsidR="3C2876EF" w:rsidRPr="007B244A" w:rsidRDefault="3C2876EF" w:rsidP="007B244A">
            <w:pPr>
              <w:tabs>
                <w:tab w:val="left" w:pos="0"/>
                <w:tab w:val="left" w:pos="0"/>
                <w:tab w:val="left" w:pos="0"/>
              </w:tabs>
              <w:spacing w:after="0" w:line="252" w:lineRule="auto"/>
              <w:ind w:firstLine="851"/>
              <w:jc w:val="both"/>
              <w:rPr>
                <w:rFonts w:eastAsia="Calibri" w:cs="Calibri"/>
              </w:rPr>
            </w:pPr>
            <w:r w:rsidRPr="007B244A">
              <w:rPr>
                <w:rFonts w:eastAsia="Calibri" w:cs="Calibri"/>
              </w:rPr>
              <w:t xml:space="preserve"> </w:t>
            </w:r>
          </w:p>
        </w:tc>
      </w:tr>
      <w:tr w:rsidR="183D6548" w14:paraId="3EA20E97" w14:textId="77777777" w:rsidTr="3C2876EF">
        <w:trPr>
          <w:trHeight w:val="300"/>
        </w:trPr>
        <w:tc>
          <w:tcPr>
            <w:tcW w:w="814" w:type="dxa"/>
            <w:tcBorders>
              <w:top w:val="single" w:sz="8" w:space="0" w:color="auto"/>
              <w:left w:val="single" w:sz="8" w:space="0" w:color="auto"/>
              <w:bottom w:val="single" w:sz="8" w:space="0" w:color="auto"/>
              <w:right w:val="single" w:sz="8" w:space="0" w:color="auto"/>
            </w:tcBorders>
            <w:tcMar>
              <w:left w:w="108" w:type="dxa"/>
              <w:right w:w="108" w:type="dxa"/>
            </w:tcMar>
          </w:tcPr>
          <w:p w14:paraId="1DBBF065" w14:textId="43A521F4" w:rsidR="183D6548" w:rsidRDefault="42C090F4" w:rsidP="123FE1F1">
            <w:pPr>
              <w:spacing w:after="0"/>
              <w:rPr>
                <w:rFonts w:ascii="Times New Roman" w:hAnsi="Times New Roman"/>
                <w:sz w:val="24"/>
                <w:szCs w:val="24"/>
              </w:rPr>
            </w:pPr>
            <w:r w:rsidRPr="3C2876EF">
              <w:rPr>
                <w:rFonts w:ascii="Times New Roman" w:hAnsi="Times New Roman"/>
                <w:sz w:val="24"/>
                <w:szCs w:val="24"/>
              </w:rPr>
              <w:t>2.</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791D7" w14:textId="16444A81" w:rsidR="183D6548" w:rsidRDefault="183D6548" w:rsidP="123FE1F1">
            <w:pPr>
              <w:spacing w:after="0" w:line="276" w:lineRule="auto"/>
              <w:jc w:val="both"/>
              <w:rPr>
                <w:rFonts w:ascii="Times New Roman" w:hAnsi="Times New Roman"/>
                <w:b/>
                <w:bCs/>
                <w:sz w:val="24"/>
                <w:szCs w:val="24"/>
              </w:rPr>
            </w:pPr>
            <w:r w:rsidRPr="183D6548">
              <w:rPr>
                <w:rFonts w:ascii="Times New Roman" w:hAnsi="Times New Roman"/>
                <w:b/>
                <w:bCs/>
                <w:sz w:val="24"/>
                <w:szCs w:val="24"/>
              </w:rPr>
              <w:t>4 punkto 4.4.4.4. papunktis*:</w:t>
            </w:r>
          </w:p>
          <w:p w14:paraId="58E37550" w14:textId="16FBCB50" w:rsidR="183D6548" w:rsidRDefault="28B1BE04" w:rsidP="123FE1F1">
            <w:pPr>
              <w:spacing w:after="0" w:line="276" w:lineRule="auto"/>
              <w:jc w:val="both"/>
              <w:rPr>
                <w:rFonts w:ascii="Times New Roman" w:hAnsi="Times New Roman"/>
                <w:sz w:val="24"/>
                <w:szCs w:val="24"/>
              </w:rPr>
            </w:pPr>
            <w:r w:rsidRPr="28B1BE04">
              <w:rPr>
                <w:rFonts w:ascii="Times New Roman" w:hAnsi="Times New Roman"/>
                <w:sz w:val="24"/>
                <w:szCs w:val="24"/>
              </w:rPr>
              <w:t>perkama</w:t>
            </w:r>
            <w:r w:rsidR="183D6548" w:rsidRPr="183D6548">
              <w:rPr>
                <w:rFonts w:ascii="Times New Roman" w:hAnsi="Times New Roman"/>
                <w:sz w:val="24"/>
                <w:szCs w:val="24"/>
              </w:rPr>
              <w:t xml:space="preserve"> įranga yra ilgaamžė, t. y. tinkama naudoti daug kartų, o jos sudedamosios dalys lengvai pataisomos ir pakeičiamos, dėl </w:t>
            </w:r>
            <w:r w:rsidR="123FE1F1" w:rsidRPr="123FE1F1">
              <w:rPr>
                <w:rFonts w:ascii="Times New Roman" w:hAnsi="Times New Roman"/>
                <w:sz w:val="24"/>
                <w:szCs w:val="24"/>
              </w:rPr>
              <w:t>perkam</w:t>
            </w:r>
            <w:r w:rsidR="0E3CE4EB" w:rsidRPr="123FE1F1">
              <w:rPr>
                <w:rFonts w:ascii="Times New Roman" w:hAnsi="Times New Roman"/>
                <w:sz w:val="24"/>
                <w:szCs w:val="24"/>
              </w:rPr>
              <w:t>ai</w:t>
            </w:r>
            <w:r w:rsidR="123FE1F1" w:rsidRPr="123FE1F1">
              <w:rPr>
                <w:rFonts w:ascii="Times New Roman" w:hAnsi="Times New Roman"/>
                <w:sz w:val="24"/>
                <w:szCs w:val="24"/>
              </w:rPr>
              <w:t xml:space="preserve"> įrang</w:t>
            </w:r>
            <w:r w:rsidR="1FCC6BC9" w:rsidRPr="123FE1F1">
              <w:rPr>
                <w:rFonts w:ascii="Times New Roman" w:hAnsi="Times New Roman"/>
                <w:sz w:val="24"/>
                <w:szCs w:val="24"/>
              </w:rPr>
              <w:t>ai</w:t>
            </w:r>
            <w:r w:rsidR="123FE1F1" w:rsidRPr="123FE1F1">
              <w:rPr>
                <w:rFonts w:ascii="Times New Roman" w:hAnsi="Times New Roman"/>
                <w:sz w:val="24"/>
                <w:szCs w:val="24"/>
              </w:rPr>
              <w:t xml:space="preserve"> </w:t>
            </w:r>
            <w:r w:rsidR="1FAC7428" w:rsidRPr="123FE1F1">
              <w:rPr>
                <w:rFonts w:ascii="Times New Roman" w:hAnsi="Times New Roman"/>
                <w:sz w:val="24"/>
                <w:szCs w:val="24"/>
              </w:rPr>
              <w:t>taikom</w:t>
            </w:r>
            <w:r w:rsidR="4342214E" w:rsidRPr="123FE1F1">
              <w:rPr>
                <w:rFonts w:ascii="Times New Roman" w:hAnsi="Times New Roman"/>
                <w:sz w:val="24"/>
                <w:szCs w:val="24"/>
              </w:rPr>
              <w:t xml:space="preserve">os ne trumpesnės kaip 3 metų </w:t>
            </w:r>
            <w:r w:rsidR="7997E790" w:rsidRPr="585ECEE6">
              <w:rPr>
                <w:rFonts w:ascii="Times New Roman" w:hAnsi="Times New Roman"/>
                <w:sz w:val="24"/>
                <w:szCs w:val="24"/>
              </w:rPr>
              <w:t>garantinės techninės priežiūros</w:t>
            </w:r>
          </w:p>
        </w:tc>
        <w:tc>
          <w:tcPr>
            <w:tcW w:w="41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FCEA7" w14:textId="496174FE" w:rsidR="473BAD01" w:rsidRDefault="12C6EEF5" w:rsidP="473BAD01">
            <w:pPr>
              <w:spacing w:after="0"/>
              <w:jc w:val="both"/>
              <w:rPr>
                <w:rFonts w:ascii="Times New Roman" w:hAnsi="Times New Roman"/>
                <w:sz w:val="24"/>
                <w:szCs w:val="24"/>
              </w:rPr>
            </w:pPr>
            <w:r w:rsidRPr="473BAD01">
              <w:rPr>
                <w:rFonts w:ascii="Times New Roman" w:hAnsi="Times New Roman"/>
                <w:sz w:val="24"/>
                <w:szCs w:val="24"/>
              </w:rPr>
              <w:t>Pagrindžiantys dokumentai nereikalaujami, Tiekėjas šį reikalavimą patvirtina teikdamas pasiūlymą.</w:t>
            </w:r>
          </w:p>
          <w:p w14:paraId="6E682A9E" w14:textId="0616E415" w:rsidR="12C6EEF5" w:rsidRDefault="12C6EEF5" w:rsidP="473BAD01">
            <w:pPr>
              <w:spacing w:after="0"/>
              <w:rPr>
                <w:rFonts w:ascii="Times New Roman" w:hAnsi="Times New Roman"/>
                <w:sz w:val="24"/>
                <w:szCs w:val="24"/>
              </w:rPr>
            </w:pPr>
            <w:r w:rsidRPr="473BAD01">
              <w:rPr>
                <w:rFonts w:ascii="Times New Roman" w:hAnsi="Times New Roman"/>
                <w:sz w:val="24"/>
                <w:szCs w:val="24"/>
              </w:rPr>
              <w:t xml:space="preserve"> </w:t>
            </w:r>
          </w:p>
          <w:p w14:paraId="369E7872" w14:textId="57DA69C1" w:rsidR="12C6EEF5" w:rsidRDefault="12C6EEF5" w:rsidP="473BAD01">
            <w:pPr>
              <w:spacing w:after="0"/>
              <w:jc w:val="center"/>
              <w:rPr>
                <w:rFonts w:ascii="Times New Roman" w:hAnsi="Times New Roman"/>
                <w:b/>
                <w:bCs/>
                <w:sz w:val="24"/>
                <w:szCs w:val="24"/>
                <w:highlight w:val="yellow"/>
              </w:rPr>
            </w:pPr>
            <w:r w:rsidRPr="473BAD01">
              <w:rPr>
                <w:rFonts w:ascii="Times New Roman" w:hAnsi="Times New Roman"/>
                <w:b/>
                <w:bCs/>
                <w:sz w:val="24"/>
                <w:szCs w:val="24"/>
                <w:highlight w:val="yellow"/>
              </w:rPr>
              <w:t>TAIP/NE</w:t>
            </w:r>
          </w:p>
          <w:p w14:paraId="4CB06F38" w14:textId="5A48505A" w:rsidR="12C6EEF5" w:rsidRDefault="12C6EEF5" w:rsidP="473BAD01">
            <w:pPr>
              <w:spacing w:after="0"/>
              <w:jc w:val="center"/>
              <w:rPr>
                <w:rFonts w:ascii="Times New Roman" w:hAnsi="Times New Roman"/>
                <w:sz w:val="24"/>
                <w:szCs w:val="24"/>
              </w:rPr>
            </w:pPr>
            <w:r w:rsidRPr="473BAD01">
              <w:rPr>
                <w:rFonts w:ascii="Times New Roman" w:hAnsi="Times New Roman"/>
                <w:sz w:val="24"/>
                <w:szCs w:val="24"/>
              </w:rPr>
              <w:t>(tinkamą pažymėti)</w:t>
            </w:r>
          </w:p>
          <w:p w14:paraId="3E27B538" w14:textId="35E2A4DB" w:rsidR="12C6EEF5" w:rsidRDefault="12C6EEF5" w:rsidP="473BAD01">
            <w:pPr>
              <w:spacing w:after="0"/>
              <w:jc w:val="center"/>
              <w:rPr>
                <w:rFonts w:ascii="Times New Roman" w:hAnsi="Times New Roman"/>
                <w:sz w:val="24"/>
                <w:szCs w:val="24"/>
              </w:rPr>
            </w:pPr>
            <w:r w:rsidRPr="473BAD01">
              <w:rPr>
                <w:rFonts w:ascii="Times New Roman" w:hAnsi="Times New Roman"/>
                <w:sz w:val="24"/>
                <w:szCs w:val="24"/>
              </w:rPr>
              <w:t xml:space="preserve"> </w:t>
            </w:r>
          </w:p>
          <w:p w14:paraId="179D22A5" w14:textId="68DF7670" w:rsidR="183D6548" w:rsidRDefault="183D6548" w:rsidP="123FE1F1">
            <w:pPr>
              <w:spacing w:after="0"/>
              <w:jc w:val="both"/>
              <w:rPr>
                <w:rFonts w:ascii="Times New Roman" w:hAnsi="Times New Roman"/>
                <w:sz w:val="24"/>
                <w:szCs w:val="24"/>
              </w:rPr>
            </w:pPr>
            <w:r w:rsidRPr="183D6548">
              <w:rPr>
                <w:rFonts w:ascii="Times New Roman" w:hAnsi="Times New Roman"/>
                <w:sz w:val="24"/>
                <w:szCs w:val="24"/>
              </w:rPr>
              <w:t xml:space="preserve"> </w:t>
            </w:r>
          </w:p>
        </w:tc>
      </w:tr>
    </w:tbl>
    <w:p w14:paraId="00EB7E39" w14:textId="0C04B586" w:rsidR="183D6548" w:rsidRDefault="183D6548" w:rsidP="123FE1F1">
      <w:pPr>
        <w:spacing w:line="276" w:lineRule="auto"/>
        <w:rPr>
          <w:rFonts w:ascii="Times New Roman" w:hAnsi="Times New Roman"/>
          <w:sz w:val="24"/>
          <w:szCs w:val="24"/>
        </w:rPr>
      </w:pPr>
    </w:p>
    <w:p w14:paraId="0021BAA5" w14:textId="56DEA8C6" w:rsidR="047B77B6" w:rsidRDefault="047B77B6" w:rsidP="007B244A">
      <w:pPr>
        <w:spacing w:line="276" w:lineRule="auto"/>
        <w:jc w:val="both"/>
        <w:rPr>
          <w:rFonts w:ascii="Times New Roman" w:hAnsi="Times New Roman"/>
          <w:b/>
          <w:bCs/>
          <w:sz w:val="24"/>
          <w:szCs w:val="24"/>
          <w:highlight w:val="yellow"/>
          <w:u w:val="single"/>
        </w:rPr>
      </w:pPr>
    </w:p>
    <w:p w14:paraId="54484A4C" w14:textId="02EEF837" w:rsidR="008D3F31" w:rsidRPr="008D3F31" w:rsidRDefault="008D3F31" w:rsidP="00C10F1E">
      <w:pPr>
        <w:pStyle w:val="ListParagraph"/>
      </w:pPr>
    </w:p>
    <w:sectPr w:rsidR="008D3F31" w:rsidRPr="008D3F31" w:rsidSect="00A23F21">
      <w:pgSz w:w="11906" w:h="16838"/>
      <w:pgMar w:top="720" w:right="720" w:bottom="720" w:left="72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orta Vencevičienė" w:date="2026-06-18T10:36:00Z" w:initials="MV">
    <w:p w14:paraId="1E023FC1" w14:textId="77777777" w:rsidR="001E2A95" w:rsidRDefault="001E2A95" w:rsidP="00777433">
      <w:pPr>
        <w:pStyle w:val="CommentText"/>
      </w:pPr>
      <w:r>
        <w:rPr>
          <w:rStyle w:val="CommentReference"/>
        </w:rPr>
        <w:annotationRef/>
      </w:r>
      <w:r>
        <w:t>Pavadinimas dingo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023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5EE03" w16cex:dateUtc="2026-06-18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023FC1" w16cid:durableId="2875EE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34"/>
    <w:multiLevelType w:val="hybridMultilevel"/>
    <w:tmpl w:val="1570D29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35831"/>
    <w:multiLevelType w:val="hybridMultilevel"/>
    <w:tmpl w:val="D3865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F96561"/>
    <w:multiLevelType w:val="hybridMultilevel"/>
    <w:tmpl w:val="EC64506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8E3A0"/>
    <w:multiLevelType w:val="hybridMultilevel"/>
    <w:tmpl w:val="54F256EC"/>
    <w:lvl w:ilvl="0" w:tplc="0B8435B6">
      <w:start w:val="1"/>
      <w:numFmt w:val="lowerLetter"/>
      <w:lvlText w:val="d)"/>
      <w:lvlJc w:val="left"/>
      <w:pPr>
        <w:ind w:left="720" w:hanging="360"/>
      </w:pPr>
    </w:lvl>
    <w:lvl w:ilvl="1" w:tplc="18804DCE">
      <w:start w:val="1"/>
      <w:numFmt w:val="lowerLetter"/>
      <w:lvlText w:val="%2."/>
      <w:lvlJc w:val="left"/>
      <w:pPr>
        <w:ind w:left="1440" w:hanging="360"/>
      </w:pPr>
    </w:lvl>
    <w:lvl w:ilvl="2" w:tplc="3C18E7FE">
      <w:start w:val="1"/>
      <w:numFmt w:val="lowerRoman"/>
      <w:lvlText w:val="%3."/>
      <w:lvlJc w:val="right"/>
      <w:pPr>
        <w:ind w:left="2160" w:hanging="180"/>
      </w:pPr>
    </w:lvl>
    <w:lvl w:ilvl="3" w:tplc="8392F1CE">
      <w:start w:val="1"/>
      <w:numFmt w:val="decimal"/>
      <w:lvlText w:val="%4."/>
      <w:lvlJc w:val="left"/>
      <w:pPr>
        <w:ind w:left="2880" w:hanging="360"/>
      </w:pPr>
    </w:lvl>
    <w:lvl w:ilvl="4" w:tplc="F026653C">
      <w:start w:val="1"/>
      <w:numFmt w:val="lowerLetter"/>
      <w:lvlText w:val="%5."/>
      <w:lvlJc w:val="left"/>
      <w:pPr>
        <w:ind w:left="3600" w:hanging="360"/>
      </w:pPr>
    </w:lvl>
    <w:lvl w:ilvl="5" w:tplc="0FD81A66">
      <w:start w:val="1"/>
      <w:numFmt w:val="lowerRoman"/>
      <w:lvlText w:val="%6."/>
      <w:lvlJc w:val="right"/>
      <w:pPr>
        <w:ind w:left="4320" w:hanging="180"/>
      </w:pPr>
    </w:lvl>
    <w:lvl w:ilvl="6" w:tplc="0F4E9F50">
      <w:start w:val="1"/>
      <w:numFmt w:val="decimal"/>
      <w:lvlText w:val="%7."/>
      <w:lvlJc w:val="left"/>
      <w:pPr>
        <w:ind w:left="5040" w:hanging="360"/>
      </w:pPr>
    </w:lvl>
    <w:lvl w:ilvl="7" w:tplc="504E28EA">
      <w:start w:val="1"/>
      <w:numFmt w:val="lowerLetter"/>
      <w:lvlText w:val="%8."/>
      <w:lvlJc w:val="left"/>
      <w:pPr>
        <w:ind w:left="5760" w:hanging="360"/>
      </w:pPr>
    </w:lvl>
    <w:lvl w:ilvl="8" w:tplc="F11EA708">
      <w:start w:val="1"/>
      <w:numFmt w:val="lowerRoman"/>
      <w:lvlText w:val="%9."/>
      <w:lvlJc w:val="right"/>
      <w:pPr>
        <w:ind w:left="6480" w:hanging="180"/>
      </w:pPr>
    </w:lvl>
  </w:abstractNum>
  <w:abstractNum w:abstractNumId="4" w15:restartNumberingAfterBreak="0">
    <w:nsid w:val="78AD44C5"/>
    <w:multiLevelType w:val="hybridMultilevel"/>
    <w:tmpl w:val="EC645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176853">
    <w:abstractNumId w:val="3"/>
  </w:num>
  <w:num w:numId="2" w16cid:durableId="1395808734">
    <w:abstractNumId w:val="1"/>
  </w:num>
  <w:num w:numId="3" w16cid:durableId="1144809556">
    <w:abstractNumId w:val="2"/>
  </w:num>
  <w:num w:numId="4" w16cid:durableId="1081831164">
    <w:abstractNumId w:val="0"/>
  </w:num>
  <w:num w:numId="5" w16cid:durableId="18814742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ta Vencevičienė">
    <w15:presenceInfo w15:providerId="AD" w15:userId="S::mortmock0104@kmu.lt::66109089-cfac-435d-910b-29c27d047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B7"/>
    <w:rsid w:val="00003B18"/>
    <w:rsid w:val="00007CF5"/>
    <w:rsid w:val="00011D56"/>
    <w:rsid w:val="000200A9"/>
    <w:rsid w:val="000257AA"/>
    <w:rsid w:val="00027E2F"/>
    <w:rsid w:val="00037022"/>
    <w:rsid w:val="0003790D"/>
    <w:rsid w:val="00044B4E"/>
    <w:rsid w:val="00046B33"/>
    <w:rsid w:val="00047E12"/>
    <w:rsid w:val="00052A06"/>
    <w:rsid w:val="000549BE"/>
    <w:rsid w:val="00055474"/>
    <w:rsid w:val="00055F6D"/>
    <w:rsid w:val="000568EE"/>
    <w:rsid w:val="00060B42"/>
    <w:rsid w:val="000623E5"/>
    <w:rsid w:val="00063EAA"/>
    <w:rsid w:val="000641FE"/>
    <w:rsid w:val="00071AA0"/>
    <w:rsid w:val="0007458A"/>
    <w:rsid w:val="00074788"/>
    <w:rsid w:val="00085112"/>
    <w:rsid w:val="000944FA"/>
    <w:rsid w:val="00096C3C"/>
    <w:rsid w:val="000B4ACB"/>
    <w:rsid w:val="000B4EB2"/>
    <w:rsid w:val="000B650C"/>
    <w:rsid w:val="000D7C69"/>
    <w:rsid w:val="000E3449"/>
    <w:rsid w:val="000E4BDF"/>
    <w:rsid w:val="000E4EDC"/>
    <w:rsid w:val="000E6D3F"/>
    <w:rsid w:val="001013ED"/>
    <w:rsid w:val="0010176D"/>
    <w:rsid w:val="00105498"/>
    <w:rsid w:val="001055BD"/>
    <w:rsid w:val="00105B56"/>
    <w:rsid w:val="001060C1"/>
    <w:rsid w:val="00110E4E"/>
    <w:rsid w:val="001159B4"/>
    <w:rsid w:val="00116E2C"/>
    <w:rsid w:val="001269F8"/>
    <w:rsid w:val="001330AE"/>
    <w:rsid w:val="001416DB"/>
    <w:rsid w:val="00141DBB"/>
    <w:rsid w:val="001430BD"/>
    <w:rsid w:val="00150E3F"/>
    <w:rsid w:val="001519EA"/>
    <w:rsid w:val="001561D2"/>
    <w:rsid w:val="00157D32"/>
    <w:rsid w:val="001639EB"/>
    <w:rsid w:val="00163AB2"/>
    <w:rsid w:val="001646AF"/>
    <w:rsid w:val="001670D3"/>
    <w:rsid w:val="001678A2"/>
    <w:rsid w:val="0018127E"/>
    <w:rsid w:val="001815DD"/>
    <w:rsid w:val="0019507E"/>
    <w:rsid w:val="001A1107"/>
    <w:rsid w:val="001A260C"/>
    <w:rsid w:val="001A398B"/>
    <w:rsid w:val="001B4084"/>
    <w:rsid w:val="001B65E5"/>
    <w:rsid w:val="001B6DE1"/>
    <w:rsid w:val="001C23EC"/>
    <w:rsid w:val="001D0161"/>
    <w:rsid w:val="001D0195"/>
    <w:rsid w:val="001D14F5"/>
    <w:rsid w:val="001D4DDB"/>
    <w:rsid w:val="001D4F5F"/>
    <w:rsid w:val="001D6C07"/>
    <w:rsid w:val="001E0EEF"/>
    <w:rsid w:val="001E2A95"/>
    <w:rsid w:val="001E71CC"/>
    <w:rsid w:val="001F0A94"/>
    <w:rsid w:val="001F1B2D"/>
    <w:rsid w:val="001F4BE0"/>
    <w:rsid w:val="00201EFA"/>
    <w:rsid w:val="00212B61"/>
    <w:rsid w:val="0021528F"/>
    <w:rsid w:val="00221986"/>
    <w:rsid w:val="00230E70"/>
    <w:rsid w:val="002328BA"/>
    <w:rsid w:val="002420DC"/>
    <w:rsid w:val="00244CD1"/>
    <w:rsid w:val="00254D60"/>
    <w:rsid w:val="002623AA"/>
    <w:rsid w:val="00262820"/>
    <w:rsid w:val="002633C2"/>
    <w:rsid w:val="002648D6"/>
    <w:rsid w:val="00271D03"/>
    <w:rsid w:val="00271EFC"/>
    <w:rsid w:val="00287F05"/>
    <w:rsid w:val="00290302"/>
    <w:rsid w:val="002913DA"/>
    <w:rsid w:val="002939EA"/>
    <w:rsid w:val="00294418"/>
    <w:rsid w:val="00294C0F"/>
    <w:rsid w:val="002965C6"/>
    <w:rsid w:val="0029737E"/>
    <w:rsid w:val="002A7C84"/>
    <w:rsid w:val="002B0D86"/>
    <w:rsid w:val="002B0FAF"/>
    <w:rsid w:val="002B132C"/>
    <w:rsid w:val="002B1510"/>
    <w:rsid w:val="002C75EE"/>
    <w:rsid w:val="002D0634"/>
    <w:rsid w:val="002D0ECD"/>
    <w:rsid w:val="002E3C7A"/>
    <w:rsid w:val="002E6277"/>
    <w:rsid w:val="002F4C33"/>
    <w:rsid w:val="00301CB2"/>
    <w:rsid w:val="0031202E"/>
    <w:rsid w:val="003132C0"/>
    <w:rsid w:val="00314B19"/>
    <w:rsid w:val="003155B9"/>
    <w:rsid w:val="00317714"/>
    <w:rsid w:val="00317AE5"/>
    <w:rsid w:val="0032478B"/>
    <w:rsid w:val="00330DD4"/>
    <w:rsid w:val="00332E65"/>
    <w:rsid w:val="00332F1D"/>
    <w:rsid w:val="003438DF"/>
    <w:rsid w:val="003449D5"/>
    <w:rsid w:val="00360924"/>
    <w:rsid w:val="00363116"/>
    <w:rsid w:val="00366667"/>
    <w:rsid w:val="00366712"/>
    <w:rsid w:val="003871B8"/>
    <w:rsid w:val="00390795"/>
    <w:rsid w:val="00390D42"/>
    <w:rsid w:val="00394BC9"/>
    <w:rsid w:val="003A2235"/>
    <w:rsid w:val="003B5267"/>
    <w:rsid w:val="003B647E"/>
    <w:rsid w:val="003C00B4"/>
    <w:rsid w:val="003C3A7E"/>
    <w:rsid w:val="003C672F"/>
    <w:rsid w:val="003D01BF"/>
    <w:rsid w:val="003D0F0E"/>
    <w:rsid w:val="003D2672"/>
    <w:rsid w:val="003D2BE5"/>
    <w:rsid w:val="003D2D44"/>
    <w:rsid w:val="003D37CC"/>
    <w:rsid w:val="003D461B"/>
    <w:rsid w:val="003D64D7"/>
    <w:rsid w:val="003D77D7"/>
    <w:rsid w:val="003E1B54"/>
    <w:rsid w:val="003E59EC"/>
    <w:rsid w:val="003F02C1"/>
    <w:rsid w:val="003F191E"/>
    <w:rsid w:val="003F602F"/>
    <w:rsid w:val="003F6603"/>
    <w:rsid w:val="003F73E9"/>
    <w:rsid w:val="004259E7"/>
    <w:rsid w:val="0042786A"/>
    <w:rsid w:val="00431B02"/>
    <w:rsid w:val="00436599"/>
    <w:rsid w:val="00436B13"/>
    <w:rsid w:val="00441496"/>
    <w:rsid w:val="00446BE7"/>
    <w:rsid w:val="004541A4"/>
    <w:rsid w:val="0046203F"/>
    <w:rsid w:val="00462AB0"/>
    <w:rsid w:val="00464ADB"/>
    <w:rsid w:val="00471EF2"/>
    <w:rsid w:val="0047718C"/>
    <w:rsid w:val="0047744A"/>
    <w:rsid w:val="00482146"/>
    <w:rsid w:val="00487705"/>
    <w:rsid w:val="00491C1D"/>
    <w:rsid w:val="004923FA"/>
    <w:rsid w:val="004957F4"/>
    <w:rsid w:val="004962A4"/>
    <w:rsid w:val="004A37B3"/>
    <w:rsid w:val="004B2D90"/>
    <w:rsid w:val="004B3341"/>
    <w:rsid w:val="004B43E9"/>
    <w:rsid w:val="004B4D0F"/>
    <w:rsid w:val="004B7E42"/>
    <w:rsid w:val="004C12DB"/>
    <w:rsid w:val="004C3BDA"/>
    <w:rsid w:val="004D2DCF"/>
    <w:rsid w:val="004D77F9"/>
    <w:rsid w:val="004E06B9"/>
    <w:rsid w:val="004E1914"/>
    <w:rsid w:val="004E7FAC"/>
    <w:rsid w:val="004F030B"/>
    <w:rsid w:val="004F08E9"/>
    <w:rsid w:val="004F4450"/>
    <w:rsid w:val="004F59C3"/>
    <w:rsid w:val="004F5D17"/>
    <w:rsid w:val="004F77C4"/>
    <w:rsid w:val="0050089F"/>
    <w:rsid w:val="00510C3D"/>
    <w:rsid w:val="00510E1A"/>
    <w:rsid w:val="00511192"/>
    <w:rsid w:val="00511219"/>
    <w:rsid w:val="00511CA1"/>
    <w:rsid w:val="00512C22"/>
    <w:rsid w:val="00512D4B"/>
    <w:rsid w:val="005163E1"/>
    <w:rsid w:val="005174A8"/>
    <w:rsid w:val="00520DB0"/>
    <w:rsid w:val="00525D15"/>
    <w:rsid w:val="00525E60"/>
    <w:rsid w:val="00530363"/>
    <w:rsid w:val="00530EB2"/>
    <w:rsid w:val="00535728"/>
    <w:rsid w:val="005366D6"/>
    <w:rsid w:val="005448A8"/>
    <w:rsid w:val="00545244"/>
    <w:rsid w:val="00553C37"/>
    <w:rsid w:val="005578CB"/>
    <w:rsid w:val="005660A2"/>
    <w:rsid w:val="005670CC"/>
    <w:rsid w:val="00567129"/>
    <w:rsid w:val="00586F46"/>
    <w:rsid w:val="0058781A"/>
    <w:rsid w:val="00593374"/>
    <w:rsid w:val="00597A47"/>
    <w:rsid w:val="005A11DF"/>
    <w:rsid w:val="005A1550"/>
    <w:rsid w:val="005A1AEB"/>
    <w:rsid w:val="005B091D"/>
    <w:rsid w:val="005C12F8"/>
    <w:rsid w:val="005C4C59"/>
    <w:rsid w:val="005C5688"/>
    <w:rsid w:val="005D75CD"/>
    <w:rsid w:val="005E0A0E"/>
    <w:rsid w:val="005E3D14"/>
    <w:rsid w:val="005E51BF"/>
    <w:rsid w:val="005E5346"/>
    <w:rsid w:val="005E6379"/>
    <w:rsid w:val="005F4D01"/>
    <w:rsid w:val="005F71BB"/>
    <w:rsid w:val="00604BAD"/>
    <w:rsid w:val="0061038A"/>
    <w:rsid w:val="00616854"/>
    <w:rsid w:val="00617E99"/>
    <w:rsid w:val="00622E29"/>
    <w:rsid w:val="00624983"/>
    <w:rsid w:val="00626555"/>
    <w:rsid w:val="00631277"/>
    <w:rsid w:val="00635942"/>
    <w:rsid w:val="00640D41"/>
    <w:rsid w:val="006410B9"/>
    <w:rsid w:val="00641A76"/>
    <w:rsid w:val="00644341"/>
    <w:rsid w:val="0065287A"/>
    <w:rsid w:val="00657007"/>
    <w:rsid w:val="00660577"/>
    <w:rsid w:val="00664238"/>
    <w:rsid w:val="006722EC"/>
    <w:rsid w:val="00672A86"/>
    <w:rsid w:val="00675F18"/>
    <w:rsid w:val="00681067"/>
    <w:rsid w:val="006845B0"/>
    <w:rsid w:val="00685EED"/>
    <w:rsid w:val="00694893"/>
    <w:rsid w:val="0069505B"/>
    <w:rsid w:val="006969F6"/>
    <w:rsid w:val="006A20C3"/>
    <w:rsid w:val="006A21AA"/>
    <w:rsid w:val="006A29B2"/>
    <w:rsid w:val="006A31AE"/>
    <w:rsid w:val="006A5367"/>
    <w:rsid w:val="006B259E"/>
    <w:rsid w:val="006B4184"/>
    <w:rsid w:val="006B6FAA"/>
    <w:rsid w:val="006C20F8"/>
    <w:rsid w:val="006C29A4"/>
    <w:rsid w:val="006C40D7"/>
    <w:rsid w:val="006C4E45"/>
    <w:rsid w:val="006D1C4D"/>
    <w:rsid w:val="006D1EB7"/>
    <w:rsid w:val="006D7A0F"/>
    <w:rsid w:val="006D7DB4"/>
    <w:rsid w:val="006E128C"/>
    <w:rsid w:val="006E14E9"/>
    <w:rsid w:val="006F18B2"/>
    <w:rsid w:val="006F340D"/>
    <w:rsid w:val="006F4AB5"/>
    <w:rsid w:val="006F4D35"/>
    <w:rsid w:val="006F54BF"/>
    <w:rsid w:val="006F5A2D"/>
    <w:rsid w:val="00703646"/>
    <w:rsid w:val="0070568C"/>
    <w:rsid w:val="00711A3B"/>
    <w:rsid w:val="00711B89"/>
    <w:rsid w:val="007162E6"/>
    <w:rsid w:val="00716F7B"/>
    <w:rsid w:val="0072101C"/>
    <w:rsid w:val="00721741"/>
    <w:rsid w:val="00723DE8"/>
    <w:rsid w:val="00724297"/>
    <w:rsid w:val="00727C38"/>
    <w:rsid w:val="007312BC"/>
    <w:rsid w:val="0073287A"/>
    <w:rsid w:val="00736AC6"/>
    <w:rsid w:val="007409F9"/>
    <w:rsid w:val="007416B4"/>
    <w:rsid w:val="0074285C"/>
    <w:rsid w:val="00755125"/>
    <w:rsid w:val="0076190D"/>
    <w:rsid w:val="00771A17"/>
    <w:rsid w:val="00774202"/>
    <w:rsid w:val="00775AF8"/>
    <w:rsid w:val="0077693A"/>
    <w:rsid w:val="00777433"/>
    <w:rsid w:val="007811E5"/>
    <w:rsid w:val="007829A9"/>
    <w:rsid w:val="0078616B"/>
    <w:rsid w:val="0078789B"/>
    <w:rsid w:val="00792D78"/>
    <w:rsid w:val="007A1E70"/>
    <w:rsid w:val="007A3B6D"/>
    <w:rsid w:val="007B0339"/>
    <w:rsid w:val="007B244A"/>
    <w:rsid w:val="007B4AE9"/>
    <w:rsid w:val="007B6716"/>
    <w:rsid w:val="007C1A9A"/>
    <w:rsid w:val="007C3B89"/>
    <w:rsid w:val="007C4663"/>
    <w:rsid w:val="007C771E"/>
    <w:rsid w:val="007C7BD7"/>
    <w:rsid w:val="007D32D7"/>
    <w:rsid w:val="007D56C3"/>
    <w:rsid w:val="007D737E"/>
    <w:rsid w:val="007E141F"/>
    <w:rsid w:val="007E38BF"/>
    <w:rsid w:val="007E43AD"/>
    <w:rsid w:val="007F3EFD"/>
    <w:rsid w:val="008065CF"/>
    <w:rsid w:val="008117AC"/>
    <w:rsid w:val="008124A4"/>
    <w:rsid w:val="0081735B"/>
    <w:rsid w:val="00817392"/>
    <w:rsid w:val="0082110A"/>
    <w:rsid w:val="008229AA"/>
    <w:rsid w:val="00822CF3"/>
    <w:rsid w:val="0082469E"/>
    <w:rsid w:val="00824BC4"/>
    <w:rsid w:val="00824CA9"/>
    <w:rsid w:val="00824ECE"/>
    <w:rsid w:val="0082655E"/>
    <w:rsid w:val="00830492"/>
    <w:rsid w:val="008307CD"/>
    <w:rsid w:val="00831584"/>
    <w:rsid w:val="008322BC"/>
    <w:rsid w:val="008322D0"/>
    <w:rsid w:val="00841E00"/>
    <w:rsid w:val="00841F87"/>
    <w:rsid w:val="00851C9F"/>
    <w:rsid w:val="00852E1C"/>
    <w:rsid w:val="0085400B"/>
    <w:rsid w:val="00864BCB"/>
    <w:rsid w:val="00865A18"/>
    <w:rsid w:val="00866A02"/>
    <w:rsid w:val="00866B66"/>
    <w:rsid w:val="0087518F"/>
    <w:rsid w:val="00875EEC"/>
    <w:rsid w:val="00882D7E"/>
    <w:rsid w:val="00883B2F"/>
    <w:rsid w:val="00883D7C"/>
    <w:rsid w:val="00886E3B"/>
    <w:rsid w:val="00894E7A"/>
    <w:rsid w:val="008A4F8D"/>
    <w:rsid w:val="008B1F21"/>
    <w:rsid w:val="008C7B27"/>
    <w:rsid w:val="008D3F31"/>
    <w:rsid w:val="008E08CE"/>
    <w:rsid w:val="008E0B6F"/>
    <w:rsid w:val="008E490A"/>
    <w:rsid w:val="008E7AC9"/>
    <w:rsid w:val="008F1101"/>
    <w:rsid w:val="008F524D"/>
    <w:rsid w:val="008F5475"/>
    <w:rsid w:val="008F7639"/>
    <w:rsid w:val="00901B80"/>
    <w:rsid w:val="00902135"/>
    <w:rsid w:val="00907C59"/>
    <w:rsid w:val="0091200A"/>
    <w:rsid w:val="00914A72"/>
    <w:rsid w:val="009276F6"/>
    <w:rsid w:val="00932C69"/>
    <w:rsid w:val="00935878"/>
    <w:rsid w:val="009367B9"/>
    <w:rsid w:val="009421DE"/>
    <w:rsid w:val="00942C84"/>
    <w:rsid w:val="00955111"/>
    <w:rsid w:val="00955B0A"/>
    <w:rsid w:val="00976263"/>
    <w:rsid w:val="00981CE6"/>
    <w:rsid w:val="00984B8B"/>
    <w:rsid w:val="00985ABB"/>
    <w:rsid w:val="00986AC3"/>
    <w:rsid w:val="009933BB"/>
    <w:rsid w:val="0099349B"/>
    <w:rsid w:val="009947DC"/>
    <w:rsid w:val="009954A3"/>
    <w:rsid w:val="009965E0"/>
    <w:rsid w:val="00997F5F"/>
    <w:rsid w:val="009A09F9"/>
    <w:rsid w:val="009B5A91"/>
    <w:rsid w:val="009C33F8"/>
    <w:rsid w:val="009C3415"/>
    <w:rsid w:val="009E03EF"/>
    <w:rsid w:val="009F29EC"/>
    <w:rsid w:val="009F521D"/>
    <w:rsid w:val="00A01611"/>
    <w:rsid w:val="00A01B5B"/>
    <w:rsid w:val="00A031A9"/>
    <w:rsid w:val="00A10417"/>
    <w:rsid w:val="00A14DBE"/>
    <w:rsid w:val="00A15F89"/>
    <w:rsid w:val="00A162E2"/>
    <w:rsid w:val="00A21460"/>
    <w:rsid w:val="00A23F21"/>
    <w:rsid w:val="00A27C20"/>
    <w:rsid w:val="00A334DF"/>
    <w:rsid w:val="00A368C7"/>
    <w:rsid w:val="00A4024D"/>
    <w:rsid w:val="00A433EA"/>
    <w:rsid w:val="00A43764"/>
    <w:rsid w:val="00A43CD8"/>
    <w:rsid w:val="00A440D9"/>
    <w:rsid w:val="00A44184"/>
    <w:rsid w:val="00A5029B"/>
    <w:rsid w:val="00A5433E"/>
    <w:rsid w:val="00A54D09"/>
    <w:rsid w:val="00A65058"/>
    <w:rsid w:val="00A65299"/>
    <w:rsid w:val="00A65D23"/>
    <w:rsid w:val="00A734E8"/>
    <w:rsid w:val="00A73B43"/>
    <w:rsid w:val="00A7608C"/>
    <w:rsid w:val="00A80BB9"/>
    <w:rsid w:val="00A81851"/>
    <w:rsid w:val="00A826BE"/>
    <w:rsid w:val="00A900F8"/>
    <w:rsid w:val="00A97650"/>
    <w:rsid w:val="00AA3EBE"/>
    <w:rsid w:val="00AB1F5D"/>
    <w:rsid w:val="00AB5D49"/>
    <w:rsid w:val="00AC245F"/>
    <w:rsid w:val="00AC626A"/>
    <w:rsid w:val="00AC686A"/>
    <w:rsid w:val="00AD59AF"/>
    <w:rsid w:val="00AE22D1"/>
    <w:rsid w:val="00AE3192"/>
    <w:rsid w:val="00AE35C6"/>
    <w:rsid w:val="00AE7D5F"/>
    <w:rsid w:val="00AF2503"/>
    <w:rsid w:val="00B069E4"/>
    <w:rsid w:val="00B109EB"/>
    <w:rsid w:val="00B1262B"/>
    <w:rsid w:val="00B12C51"/>
    <w:rsid w:val="00B13F04"/>
    <w:rsid w:val="00B23A00"/>
    <w:rsid w:val="00B31C18"/>
    <w:rsid w:val="00B36144"/>
    <w:rsid w:val="00B430AC"/>
    <w:rsid w:val="00B44268"/>
    <w:rsid w:val="00B53996"/>
    <w:rsid w:val="00B56159"/>
    <w:rsid w:val="00B620B0"/>
    <w:rsid w:val="00B621C3"/>
    <w:rsid w:val="00B6347F"/>
    <w:rsid w:val="00B66886"/>
    <w:rsid w:val="00B66C7B"/>
    <w:rsid w:val="00B67430"/>
    <w:rsid w:val="00B81455"/>
    <w:rsid w:val="00B84F7C"/>
    <w:rsid w:val="00B8553B"/>
    <w:rsid w:val="00B87320"/>
    <w:rsid w:val="00B875D4"/>
    <w:rsid w:val="00B90444"/>
    <w:rsid w:val="00B94F6D"/>
    <w:rsid w:val="00BA19A1"/>
    <w:rsid w:val="00BA78D6"/>
    <w:rsid w:val="00BB543C"/>
    <w:rsid w:val="00BB787E"/>
    <w:rsid w:val="00BC6DCE"/>
    <w:rsid w:val="00BC6F4C"/>
    <w:rsid w:val="00BD0A81"/>
    <w:rsid w:val="00BD1B95"/>
    <w:rsid w:val="00BD2B44"/>
    <w:rsid w:val="00BD4085"/>
    <w:rsid w:val="00BF17D7"/>
    <w:rsid w:val="00BF21BF"/>
    <w:rsid w:val="00C0039F"/>
    <w:rsid w:val="00C0312A"/>
    <w:rsid w:val="00C10F1E"/>
    <w:rsid w:val="00C123C0"/>
    <w:rsid w:val="00C17D3D"/>
    <w:rsid w:val="00C21AF7"/>
    <w:rsid w:val="00C22F87"/>
    <w:rsid w:val="00C23ACA"/>
    <w:rsid w:val="00C24E18"/>
    <w:rsid w:val="00C30DB1"/>
    <w:rsid w:val="00C34368"/>
    <w:rsid w:val="00C3480F"/>
    <w:rsid w:val="00C35472"/>
    <w:rsid w:val="00C57F3C"/>
    <w:rsid w:val="00C60B35"/>
    <w:rsid w:val="00C6591D"/>
    <w:rsid w:val="00C70A28"/>
    <w:rsid w:val="00C72B6A"/>
    <w:rsid w:val="00C86296"/>
    <w:rsid w:val="00C97DA7"/>
    <w:rsid w:val="00CA0EFA"/>
    <w:rsid w:val="00CB0C06"/>
    <w:rsid w:val="00CB2687"/>
    <w:rsid w:val="00CB2EEB"/>
    <w:rsid w:val="00CB3C82"/>
    <w:rsid w:val="00CB472D"/>
    <w:rsid w:val="00CC3578"/>
    <w:rsid w:val="00CC7F32"/>
    <w:rsid w:val="00CD0B87"/>
    <w:rsid w:val="00CD4B3F"/>
    <w:rsid w:val="00CD7F26"/>
    <w:rsid w:val="00CE595B"/>
    <w:rsid w:val="00CE6332"/>
    <w:rsid w:val="00CE66AC"/>
    <w:rsid w:val="00CE700E"/>
    <w:rsid w:val="00CF0235"/>
    <w:rsid w:val="00CF0790"/>
    <w:rsid w:val="00CF4536"/>
    <w:rsid w:val="00D019AF"/>
    <w:rsid w:val="00D02DF1"/>
    <w:rsid w:val="00D0308B"/>
    <w:rsid w:val="00D1011C"/>
    <w:rsid w:val="00D11D69"/>
    <w:rsid w:val="00D13055"/>
    <w:rsid w:val="00D132BF"/>
    <w:rsid w:val="00D149BE"/>
    <w:rsid w:val="00D15F5E"/>
    <w:rsid w:val="00D20DA8"/>
    <w:rsid w:val="00D21641"/>
    <w:rsid w:val="00D27D8C"/>
    <w:rsid w:val="00D3250D"/>
    <w:rsid w:val="00D47DC8"/>
    <w:rsid w:val="00D5141E"/>
    <w:rsid w:val="00D602C6"/>
    <w:rsid w:val="00D612E3"/>
    <w:rsid w:val="00D62E03"/>
    <w:rsid w:val="00D635E1"/>
    <w:rsid w:val="00D738FB"/>
    <w:rsid w:val="00D75A70"/>
    <w:rsid w:val="00D80D8A"/>
    <w:rsid w:val="00D916FB"/>
    <w:rsid w:val="00D91A12"/>
    <w:rsid w:val="00D97620"/>
    <w:rsid w:val="00DA1576"/>
    <w:rsid w:val="00DA5625"/>
    <w:rsid w:val="00DA57A9"/>
    <w:rsid w:val="00DB26A6"/>
    <w:rsid w:val="00DB4A7B"/>
    <w:rsid w:val="00DE57B9"/>
    <w:rsid w:val="00DE65C6"/>
    <w:rsid w:val="00E0223A"/>
    <w:rsid w:val="00E05B66"/>
    <w:rsid w:val="00E07C10"/>
    <w:rsid w:val="00E11260"/>
    <w:rsid w:val="00E11788"/>
    <w:rsid w:val="00E13AAD"/>
    <w:rsid w:val="00E159E1"/>
    <w:rsid w:val="00E22EFD"/>
    <w:rsid w:val="00E304A7"/>
    <w:rsid w:val="00E3198D"/>
    <w:rsid w:val="00E35A2B"/>
    <w:rsid w:val="00E41BFB"/>
    <w:rsid w:val="00E56250"/>
    <w:rsid w:val="00E57201"/>
    <w:rsid w:val="00E70734"/>
    <w:rsid w:val="00E73764"/>
    <w:rsid w:val="00E81B07"/>
    <w:rsid w:val="00E83D90"/>
    <w:rsid w:val="00E84736"/>
    <w:rsid w:val="00E909CD"/>
    <w:rsid w:val="00E91954"/>
    <w:rsid w:val="00E919CD"/>
    <w:rsid w:val="00E91DAB"/>
    <w:rsid w:val="00E94F79"/>
    <w:rsid w:val="00E95528"/>
    <w:rsid w:val="00E977BF"/>
    <w:rsid w:val="00EA518B"/>
    <w:rsid w:val="00EA7048"/>
    <w:rsid w:val="00EB5D06"/>
    <w:rsid w:val="00EB75FB"/>
    <w:rsid w:val="00EC1F52"/>
    <w:rsid w:val="00EC3645"/>
    <w:rsid w:val="00EC6360"/>
    <w:rsid w:val="00ED0B47"/>
    <w:rsid w:val="00ED6BE7"/>
    <w:rsid w:val="00EE1212"/>
    <w:rsid w:val="00EE599F"/>
    <w:rsid w:val="00EE6509"/>
    <w:rsid w:val="00EF2B66"/>
    <w:rsid w:val="00EF3A3F"/>
    <w:rsid w:val="00EF7748"/>
    <w:rsid w:val="00F05014"/>
    <w:rsid w:val="00F1172B"/>
    <w:rsid w:val="00F15E0E"/>
    <w:rsid w:val="00F22FD5"/>
    <w:rsid w:val="00F23155"/>
    <w:rsid w:val="00F239B3"/>
    <w:rsid w:val="00F26B4D"/>
    <w:rsid w:val="00F366BB"/>
    <w:rsid w:val="00F42A62"/>
    <w:rsid w:val="00F46843"/>
    <w:rsid w:val="00F578F6"/>
    <w:rsid w:val="00F57B13"/>
    <w:rsid w:val="00F60593"/>
    <w:rsid w:val="00F717CB"/>
    <w:rsid w:val="00F76CC3"/>
    <w:rsid w:val="00F81596"/>
    <w:rsid w:val="00F83A5A"/>
    <w:rsid w:val="00FA0EA2"/>
    <w:rsid w:val="00FA3CD3"/>
    <w:rsid w:val="00FB4D3E"/>
    <w:rsid w:val="00FC773A"/>
    <w:rsid w:val="00FD0FE9"/>
    <w:rsid w:val="00FD2A3C"/>
    <w:rsid w:val="00FE4C08"/>
    <w:rsid w:val="00FF1AC2"/>
    <w:rsid w:val="00FF7FE9"/>
    <w:rsid w:val="023C055A"/>
    <w:rsid w:val="02BD73A8"/>
    <w:rsid w:val="030301B3"/>
    <w:rsid w:val="03EEB870"/>
    <w:rsid w:val="047B77B6"/>
    <w:rsid w:val="04F3A4EA"/>
    <w:rsid w:val="0537BC80"/>
    <w:rsid w:val="05D781D9"/>
    <w:rsid w:val="0653CF90"/>
    <w:rsid w:val="070DF973"/>
    <w:rsid w:val="071F1DB5"/>
    <w:rsid w:val="074775D7"/>
    <w:rsid w:val="086D76C1"/>
    <w:rsid w:val="08901742"/>
    <w:rsid w:val="0910542A"/>
    <w:rsid w:val="0A0D7832"/>
    <w:rsid w:val="0AD5543A"/>
    <w:rsid w:val="0B15FE77"/>
    <w:rsid w:val="0B1A22DF"/>
    <w:rsid w:val="0C4CFBF2"/>
    <w:rsid w:val="0CBA12ED"/>
    <w:rsid w:val="0E3CE4EB"/>
    <w:rsid w:val="0EBBB746"/>
    <w:rsid w:val="0FDB0AEF"/>
    <w:rsid w:val="102F8C41"/>
    <w:rsid w:val="10A72E90"/>
    <w:rsid w:val="11C72532"/>
    <w:rsid w:val="123FE1F1"/>
    <w:rsid w:val="1293FDFE"/>
    <w:rsid w:val="12B9A82E"/>
    <w:rsid w:val="12C6EEF5"/>
    <w:rsid w:val="1417DAAB"/>
    <w:rsid w:val="144B4BEC"/>
    <w:rsid w:val="14732D4D"/>
    <w:rsid w:val="14E86215"/>
    <w:rsid w:val="168163E9"/>
    <w:rsid w:val="1768FF79"/>
    <w:rsid w:val="17DEBFBC"/>
    <w:rsid w:val="183D6548"/>
    <w:rsid w:val="18A509F2"/>
    <w:rsid w:val="1939C654"/>
    <w:rsid w:val="197BAFC6"/>
    <w:rsid w:val="19C1367F"/>
    <w:rsid w:val="1A3455D0"/>
    <w:rsid w:val="1AE8F45E"/>
    <w:rsid w:val="1CCF81D4"/>
    <w:rsid w:val="1CF22A8B"/>
    <w:rsid w:val="1D3EA34C"/>
    <w:rsid w:val="1DA7CDE7"/>
    <w:rsid w:val="1E339D3F"/>
    <w:rsid w:val="1ED83CFD"/>
    <w:rsid w:val="1EF80598"/>
    <w:rsid w:val="1F2E77D0"/>
    <w:rsid w:val="1F3B73F9"/>
    <w:rsid w:val="1F40E3F1"/>
    <w:rsid w:val="1F80CA5B"/>
    <w:rsid w:val="1FAC7428"/>
    <w:rsid w:val="1FCC6BC9"/>
    <w:rsid w:val="20008698"/>
    <w:rsid w:val="2015BC1B"/>
    <w:rsid w:val="2039894A"/>
    <w:rsid w:val="211CA42F"/>
    <w:rsid w:val="21397F1E"/>
    <w:rsid w:val="213BDD1C"/>
    <w:rsid w:val="21A458C2"/>
    <w:rsid w:val="21CA8A77"/>
    <w:rsid w:val="22A025B0"/>
    <w:rsid w:val="231E1DC5"/>
    <w:rsid w:val="23CADA04"/>
    <w:rsid w:val="244C2440"/>
    <w:rsid w:val="24850534"/>
    <w:rsid w:val="24B581A1"/>
    <w:rsid w:val="24F795C6"/>
    <w:rsid w:val="2523EC42"/>
    <w:rsid w:val="2598AF45"/>
    <w:rsid w:val="25B84059"/>
    <w:rsid w:val="25F26191"/>
    <w:rsid w:val="26214276"/>
    <w:rsid w:val="2631963D"/>
    <w:rsid w:val="26671FC7"/>
    <w:rsid w:val="26A83943"/>
    <w:rsid w:val="26D75019"/>
    <w:rsid w:val="26E149E5"/>
    <w:rsid w:val="26E7F2D0"/>
    <w:rsid w:val="274111B5"/>
    <w:rsid w:val="278ABB12"/>
    <w:rsid w:val="279315DB"/>
    <w:rsid w:val="27A402E4"/>
    <w:rsid w:val="287FF29B"/>
    <w:rsid w:val="28B1BE04"/>
    <w:rsid w:val="28B90893"/>
    <w:rsid w:val="29235591"/>
    <w:rsid w:val="2A7C60DE"/>
    <w:rsid w:val="2A9028A0"/>
    <w:rsid w:val="2AB2E1FA"/>
    <w:rsid w:val="2B09EA6A"/>
    <w:rsid w:val="2B7C6EAC"/>
    <w:rsid w:val="2BA20B87"/>
    <w:rsid w:val="2C544492"/>
    <w:rsid w:val="2C9C4C39"/>
    <w:rsid w:val="2CEFB230"/>
    <w:rsid w:val="2DCCF2F5"/>
    <w:rsid w:val="2DDF171D"/>
    <w:rsid w:val="2DFFB8F6"/>
    <w:rsid w:val="2EEA0F28"/>
    <w:rsid w:val="2F123F0E"/>
    <w:rsid w:val="2F1284EA"/>
    <w:rsid w:val="2F63C5FE"/>
    <w:rsid w:val="30855617"/>
    <w:rsid w:val="3118F682"/>
    <w:rsid w:val="3176EC79"/>
    <w:rsid w:val="31C3F4B3"/>
    <w:rsid w:val="320AA9BE"/>
    <w:rsid w:val="320DEF18"/>
    <w:rsid w:val="32723124"/>
    <w:rsid w:val="32F47BB1"/>
    <w:rsid w:val="33B7EB06"/>
    <w:rsid w:val="344F2158"/>
    <w:rsid w:val="35CF0D40"/>
    <w:rsid w:val="35DDA110"/>
    <w:rsid w:val="36E87223"/>
    <w:rsid w:val="37BB3492"/>
    <w:rsid w:val="38010324"/>
    <w:rsid w:val="385D0B79"/>
    <w:rsid w:val="39003A66"/>
    <w:rsid w:val="3991B7A1"/>
    <w:rsid w:val="39DB3162"/>
    <w:rsid w:val="39DEAC1C"/>
    <w:rsid w:val="3A179DAC"/>
    <w:rsid w:val="3A89C331"/>
    <w:rsid w:val="3B7F0BA8"/>
    <w:rsid w:val="3C090B61"/>
    <w:rsid w:val="3C2876EF"/>
    <w:rsid w:val="3C2CB31A"/>
    <w:rsid w:val="3C318CDD"/>
    <w:rsid w:val="3CB42F26"/>
    <w:rsid w:val="3CBE5034"/>
    <w:rsid w:val="3CCF1C82"/>
    <w:rsid w:val="3D597E96"/>
    <w:rsid w:val="3D922414"/>
    <w:rsid w:val="3E4BA51E"/>
    <w:rsid w:val="3E8A4A00"/>
    <w:rsid w:val="3EAD3BA7"/>
    <w:rsid w:val="3F0C9A52"/>
    <w:rsid w:val="413BC066"/>
    <w:rsid w:val="416F3F4E"/>
    <w:rsid w:val="41725C0C"/>
    <w:rsid w:val="4182709E"/>
    <w:rsid w:val="42C090F4"/>
    <w:rsid w:val="4342214E"/>
    <w:rsid w:val="4379AB04"/>
    <w:rsid w:val="43808476"/>
    <w:rsid w:val="43A0C7AF"/>
    <w:rsid w:val="43D242C0"/>
    <w:rsid w:val="43F82BD0"/>
    <w:rsid w:val="448FC558"/>
    <w:rsid w:val="4492D749"/>
    <w:rsid w:val="44990A37"/>
    <w:rsid w:val="45ADE490"/>
    <w:rsid w:val="46860F0F"/>
    <w:rsid w:val="46913368"/>
    <w:rsid w:val="46A0C2C8"/>
    <w:rsid w:val="46CC2C83"/>
    <w:rsid w:val="472252CE"/>
    <w:rsid w:val="473BAD01"/>
    <w:rsid w:val="474B2161"/>
    <w:rsid w:val="4757E220"/>
    <w:rsid w:val="47740F8A"/>
    <w:rsid w:val="480CA05B"/>
    <w:rsid w:val="48176EC7"/>
    <w:rsid w:val="487CC2C7"/>
    <w:rsid w:val="489856AC"/>
    <w:rsid w:val="48F87323"/>
    <w:rsid w:val="495EE6A7"/>
    <w:rsid w:val="498D7D6B"/>
    <w:rsid w:val="4A4EEE53"/>
    <w:rsid w:val="4A6A4CF5"/>
    <w:rsid w:val="4B28EB70"/>
    <w:rsid w:val="4B5E3A57"/>
    <w:rsid w:val="4BC4DE12"/>
    <w:rsid w:val="4BF61F24"/>
    <w:rsid w:val="4C3BFD82"/>
    <w:rsid w:val="4D409F50"/>
    <w:rsid w:val="4E42C3CB"/>
    <w:rsid w:val="4E8ED4D8"/>
    <w:rsid w:val="4EBCC7EC"/>
    <w:rsid w:val="4F494F2C"/>
    <w:rsid w:val="4FF6DF9B"/>
    <w:rsid w:val="4FFE2663"/>
    <w:rsid w:val="50315FF8"/>
    <w:rsid w:val="50F670E7"/>
    <w:rsid w:val="513F86EF"/>
    <w:rsid w:val="51C4F6AA"/>
    <w:rsid w:val="51E6AF22"/>
    <w:rsid w:val="52292479"/>
    <w:rsid w:val="5230B440"/>
    <w:rsid w:val="52BE6CBF"/>
    <w:rsid w:val="52E2C675"/>
    <w:rsid w:val="52E37A1F"/>
    <w:rsid w:val="5338BDCB"/>
    <w:rsid w:val="535D6B19"/>
    <w:rsid w:val="5429B0BF"/>
    <w:rsid w:val="54D0785D"/>
    <w:rsid w:val="54D8F3A1"/>
    <w:rsid w:val="54DD544F"/>
    <w:rsid w:val="5739F5DC"/>
    <w:rsid w:val="573D1B99"/>
    <w:rsid w:val="574A36EB"/>
    <w:rsid w:val="57CDA8E1"/>
    <w:rsid w:val="582B605F"/>
    <w:rsid w:val="585ECEE6"/>
    <w:rsid w:val="586BA8AB"/>
    <w:rsid w:val="58B902E0"/>
    <w:rsid w:val="59588437"/>
    <w:rsid w:val="59B42BBA"/>
    <w:rsid w:val="59E0EB24"/>
    <w:rsid w:val="5A0B28C4"/>
    <w:rsid w:val="5AEAD0B4"/>
    <w:rsid w:val="5AF6931B"/>
    <w:rsid w:val="5B9B74E0"/>
    <w:rsid w:val="5BB57BDC"/>
    <w:rsid w:val="5CA51C02"/>
    <w:rsid w:val="5CC4D8C0"/>
    <w:rsid w:val="5CC88AF9"/>
    <w:rsid w:val="5E2E99A7"/>
    <w:rsid w:val="5E77A304"/>
    <w:rsid w:val="5EE57EDA"/>
    <w:rsid w:val="5F6EAF52"/>
    <w:rsid w:val="5F7C3A73"/>
    <w:rsid w:val="60439357"/>
    <w:rsid w:val="6066B9F2"/>
    <w:rsid w:val="60E4E6CD"/>
    <w:rsid w:val="61D59521"/>
    <w:rsid w:val="61D695CE"/>
    <w:rsid w:val="62356448"/>
    <w:rsid w:val="62BDC517"/>
    <w:rsid w:val="62E0A115"/>
    <w:rsid w:val="62FB58A5"/>
    <w:rsid w:val="63061DBE"/>
    <w:rsid w:val="631A5597"/>
    <w:rsid w:val="64195959"/>
    <w:rsid w:val="6608BFF9"/>
    <w:rsid w:val="66A43B71"/>
    <w:rsid w:val="670ED1C4"/>
    <w:rsid w:val="69ACF4AE"/>
    <w:rsid w:val="6A11E61D"/>
    <w:rsid w:val="6A36BD2F"/>
    <w:rsid w:val="6A3F5619"/>
    <w:rsid w:val="6B2A5F55"/>
    <w:rsid w:val="6BEC4245"/>
    <w:rsid w:val="6C88E61F"/>
    <w:rsid w:val="6CBDB93D"/>
    <w:rsid w:val="6D62C933"/>
    <w:rsid w:val="6DB619F7"/>
    <w:rsid w:val="6DD68BED"/>
    <w:rsid w:val="6DE67A3B"/>
    <w:rsid w:val="6E5C6A56"/>
    <w:rsid w:val="6E61AF24"/>
    <w:rsid w:val="6E75EE80"/>
    <w:rsid w:val="6E84CC32"/>
    <w:rsid w:val="6F57362A"/>
    <w:rsid w:val="6F99747E"/>
    <w:rsid w:val="702ABEBC"/>
    <w:rsid w:val="704B3600"/>
    <w:rsid w:val="70872A7F"/>
    <w:rsid w:val="709B70E9"/>
    <w:rsid w:val="70EF1F3B"/>
    <w:rsid w:val="7153D8EB"/>
    <w:rsid w:val="7154892E"/>
    <w:rsid w:val="72019846"/>
    <w:rsid w:val="7220DFBE"/>
    <w:rsid w:val="724093F0"/>
    <w:rsid w:val="738CE8E5"/>
    <w:rsid w:val="73D8AB58"/>
    <w:rsid w:val="750EFB58"/>
    <w:rsid w:val="756F8D7F"/>
    <w:rsid w:val="75822105"/>
    <w:rsid w:val="75CA5CEE"/>
    <w:rsid w:val="76150F03"/>
    <w:rsid w:val="7617A00E"/>
    <w:rsid w:val="76472C31"/>
    <w:rsid w:val="784A50F0"/>
    <w:rsid w:val="785C2263"/>
    <w:rsid w:val="78F26255"/>
    <w:rsid w:val="7901D0B8"/>
    <w:rsid w:val="792EB7CB"/>
    <w:rsid w:val="79520019"/>
    <w:rsid w:val="795AE220"/>
    <w:rsid w:val="7980C320"/>
    <w:rsid w:val="798FB807"/>
    <w:rsid w:val="7997E790"/>
    <w:rsid w:val="7A3CA4DE"/>
    <w:rsid w:val="7A51FA4B"/>
    <w:rsid w:val="7A5F4F59"/>
    <w:rsid w:val="7AC9F552"/>
    <w:rsid w:val="7AE91B53"/>
    <w:rsid w:val="7B21B5D5"/>
    <w:rsid w:val="7BD076ED"/>
    <w:rsid w:val="7CA28117"/>
    <w:rsid w:val="7CB4BEA9"/>
    <w:rsid w:val="7D63249D"/>
    <w:rsid w:val="7DC4D5BA"/>
    <w:rsid w:val="7E2BC5B1"/>
    <w:rsid w:val="7E5BF6B9"/>
    <w:rsid w:val="7E6FC917"/>
    <w:rsid w:val="7EDBD093"/>
    <w:rsid w:val="7F4DF2EE"/>
    <w:rsid w:val="7FF5F2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B1FD"/>
  <w15:chartTrackingRefBased/>
  <w15:docId w15:val="{9EDA6484-23B6-4D72-BECF-BF59DF0B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93"/>
    <w:pPr>
      <w:spacing w:line="259" w:lineRule="auto"/>
    </w:pPr>
    <w:rPr>
      <w:rFonts w:ascii="Calibri" w:eastAsia="Times New Roman" w:hAnsi="Calibri" w:cs="Times New Roman"/>
      <w:sz w:val="22"/>
      <w:szCs w:val="22"/>
      <w:lang w:eastAsia="zh-CN"/>
      <w14:ligatures w14:val="none"/>
    </w:rPr>
  </w:style>
  <w:style w:type="paragraph" w:styleId="Heading1">
    <w:name w:val="heading 1"/>
    <w:basedOn w:val="Normal"/>
    <w:next w:val="Normal"/>
    <w:link w:val="Heading1Char"/>
    <w:uiPriority w:val="9"/>
    <w:qFormat/>
    <w:rsid w:val="006D1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B7"/>
    <w:rPr>
      <w:rFonts w:eastAsiaTheme="majorEastAsia" w:cstheme="majorBidi"/>
      <w:color w:val="272727" w:themeColor="text1" w:themeTint="D8"/>
    </w:rPr>
  </w:style>
  <w:style w:type="paragraph" w:styleId="Title">
    <w:name w:val="Title"/>
    <w:basedOn w:val="Normal"/>
    <w:next w:val="Normal"/>
    <w:link w:val="TitleChar"/>
    <w:uiPriority w:val="10"/>
    <w:qFormat/>
    <w:rsid w:val="006D1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B7"/>
    <w:pPr>
      <w:spacing w:before="160"/>
      <w:jc w:val="center"/>
    </w:pPr>
    <w:rPr>
      <w:i/>
      <w:iCs/>
      <w:color w:val="404040" w:themeColor="text1" w:themeTint="BF"/>
    </w:rPr>
  </w:style>
  <w:style w:type="character" w:customStyle="1" w:styleId="QuoteChar">
    <w:name w:val="Quote Char"/>
    <w:basedOn w:val="DefaultParagraphFont"/>
    <w:link w:val="Quote"/>
    <w:uiPriority w:val="29"/>
    <w:rsid w:val="006D1EB7"/>
    <w:rPr>
      <w:i/>
      <w:iCs/>
      <w:color w:val="404040" w:themeColor="text1" w:themeTint="BF"/>
    </w:rPr>
  </w:style>
  <w:style w:type="paragraph" w:styleId="ListParagraph">
    <w:name w:val="List Paragraph"/>
    <w:basedOn w:val="Normal"/>
    <w:uiPriority w:val="34"/>
    <w:qFormat/>
    <w:rsid w:val="006D1EB7"/>
    <w:pPr>
      <w:ind w:left="720"/>
      <w:contextualSpacing/>
    </w:pPr>
  </w:style>
  <w:style w:type="character" w:styleId="IntenseEmphasis">
    <w:name w:val="Intense Emphasis"/>
    <w:basedOn w:val="DefaultParagraphFont"/>
    <w:uiPriority w:val="21"/>
    <w:qFormat/>
    <w:rsid w:val="006D1EB7"/>
    <w:rPr>
      <w:i/>
      <w:iCs/>
      <w:color w:val="0F4761" w:themeColor="accent1" w:themeShade="BF"/>
    </w:rPr>
  </w:style>
  <w:style w:type="paragraph" w:styleId="IntenseQuote">
    <w:name w:val="Intense Quote"/>
    <w:basedOn w:val="Normal"/>
    <w:next w:val="Normal"/>
    <w:link w:val="IntenseQuoteChar"/>
    <w:uiPriority w:val="30"/>
    <w:qFormat/>
    <w:rsid w:val="006D1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B7"/>
    <w:rPr>
      <w:i/>
      <w:iCs/>
      <w:color w:val="0F4761" w:themeColor="accent1" w:themeShade="BF"/>
    </w:rPr>
  </w:style>
  <w:style w:type="character" w:styleId="IntenseReference">
    <w:name w:val="Intense Reference"/>
    <w:basedOn w:val="DefaultParagraphFont"/>
    <w:uiPriority w:val="32"/>
    <w:qFormat/>
    <w:rsid w:val="006D1EB7"/>
    <w:rPr>
      <w:b/>
      <w:bCs/>
      <w:smallCaps/>
      <w:color w:val="0F4761" w:themeColor="accent1" w:themeShade="BF"/>
      <w:spacing w:val="5"/>
    </w:rPr>
  </w:style>
  <w:style w:type="character" w:styleId="CommentReference">
    <w:name w:val="annotation reference"/>
    <w:basedOn w:val="DefaultParagraphFont"/>
    <w:uiPriority w:val="99"/>
    <w:semiHidden/>
    <w:unhideWhenUsed/>
    <w:rsid w:val="00CD7F26"/>
    <w:rPr>
      <w:sz w:val="16"/>
      <w:szCs w:val="16"/>
    </w:rPr>
  </w:style>
  <w:style w:type="paragraph" w:styleId="CommentText">
    <w:name w:val="annotation text"/>
    <w:basedOn w:val="Normal"/>
    <w:link w:val="CommentTextChar"/>
    <w:uiPriority w:val="99"/>
    <w:unhideWhenUsed/>
    <w:rsid w:val="00CD7F26"/>
    <w:pPr>
      <w:spacing w:line="240" w:lineRule="auto"/>
    </w:pPr>
    <w:rPr>
      <w:sz w:val="20"/>
      <w:szCs w:val="20"/>
    </w:rPr>
  </w:style>
  <w:style w:type="character" w:customStyle="1" w:styleId="CommentTextChar">
    <w:name w:val="Comment Text Char"/>
    <w:basedOn w:val="DefaultParagraphFont"/>
    <w:link w:val="CommentText"/>
    <w:uiPriority w:val="99"/>
    <w:rsid w:val="00CD7F26"/>
    <w:rPr>
      <w:rFonts w:ascii="Calibri" w:eastAsia="Times New Roman" w:hAnsi="Calibri" w:cs="Times New Roman"/>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CD7F26"/>
    <w:rPr>
      <w:b/>
      <w:bCs/>
    </w:rPr>
  </w:style>
  <w:style w:type="character" w:customStyle="1" w:styleId="CommentSubjectChar">
    <w:name w:val="Comment Subject Char"/>
    <w:basedOn w:val="CommentTextChar"/>
    <w:link w:val="CommentSubject"/>
    <w:uiPriority w:val="99"/>
    <w:semiHidden/>
    <w:rsid w:val="00CD7F26"/>
    <w:rPr>
      <w:rFonts w:ascii="Calibri" w:eastAsia="Times New Roman" w:hAnsi="Calibri" w:cs="Times New Roman"/>
      <w:b/>
      <w:bCs/>
      <w:sz w:val="20"/>
      <w:szCs w:val="20"/>
      <w:lang w:eastAsia="zh-CN"/>
      <w14:ligatures w14:val="none"/>
    </w:rPr>
  </w:style>
  <w:style w:type="paragraph" w:styleId="Revision">
    <w:name w:val="Revision"/>
    <w:hidden/>
    <w:uiPriority w:val="99"/>
    <w:semiHidden/>
    <w:rsid w:val="007C7BD7"/>
    <w:pPr>
      <w:spacing w:after="0" w:line="240" w:lineRule="auto"/>
    </w:pPr>
    <w:rPr>
      <w:rFonts w:ascii="Calibri" w:eastAsia="Times New Roman" w:hAnsi="Calibri" w:cs="Times New Roman"/>
      <w:sz w:val="22"/>
      <w:szCs w:val="22"/>
      <w:lang w:eastAsia="zh-CN"/>
      <w14:ligatures w14:val="none"/>
    </w:rPr>
  </w:style>
  <w:style w:type="table" w:styleId="TableGrid">
    <w:name w:val="Table Grid"/>
    <w:basedOn w:val="TableNormal"/>
    <w:uiPriority w:val="59"/>
    <w:rsid w:val="008E7A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6A11E6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4a5a9f67c30c1b55ba83fa44cc926875">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301de09292773d2d6eeb3302ba4181a4"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7D919-27DF-452E-ACFD-BFC33C7C2E1B}">
  <ds:schemaRefs>
    <ds:schemaRef ds:uri="http://schemas.microsoft.com/sharepoint/v3/contenttype/forms"/>
  </ds:schemaRefs>
</ds:datastoreItem>
</file>

<file path=customXml/itemProps2.xml><?xml version="1.0" encoding="utf-8"?>
<ds:datastoreItem xmlns:ds="http://schemas.openxmlformats.org/officeDocument/2006/customXml" ds:itemID="{AF73E0F8-6D6F-49BD-BED1-469C3DCA8943}">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23F030F7-B3D2-43A7-A3B9-23B1FC442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B8B08-4FAC-4D04-A5FD-EE137CCB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21354</Words>
  <Characters>12173</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Šimkus</dc:creator>
  <cp:keywords/>
  <dc:description/>
  <cp:lastModifiedBy>Morta Vencevičienė</cp:lastModifiedBy>
  <cp:revision>2</cp:revision>
  <dcterms:created xsi:type="dcterms:W3CDTF">2026-06-30T12:18:00Z</dcterms:created>
  <dcterms:modified xsi:type="dcterms:W3CDTF">2026-06-30T12:18:00Z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