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E9C3" w14:textId="54ACBE30" w:rsidR="000B63C5" w:rsidRDefault="000B63C5" w:rsidP="002A3063">
      <w:pPr>
        <w:spacing w:line="257" w:lineRule="auto"/>
        <w:jc w:val="right"/>
        <w:rPr>
          <w:rFonts w:ascii="Times New Roman" w:eastAsiaTheme="minorEastAsia" w:hAnsi="Times New Roman" w:cs="Times New Roman"/>
          <w:b/>
          <w:bCs/>
          <w:lang w:val="lt"/>
        </w:rPr>
      </w:pPr>
      <w:r>
        <w:rPr>
          <w:rFonts w:ascii="Times New Roman" w:eastAsiaTheme="minorEastAsia" w:hAnsi="Times New Roman" w:cs="Times New Roman"/>
          <w:b/>
          <w:bCs/>
          <w:lang w:val="lt"/>
        </w:rPr>
        <w:t>Priedas Nr. 1</w:t>
      </w:r>
    </w:p>
    <w:p w14:paraId="4E88C798" w14:textId="686A9ACF" w:rsidR="00927BF5" w:rsidRDefault="00927BF5" w:rsidP="002A3063">
      <w:pPr>
        <w:spacing w:line="257" w:lineRule="auto"/>
        <w:jc w:val="right"/>
        <w:rPr>
          <w:rFonts w:ascii="Times New Roman" w:eastAsiaTheme="minorEastAsia" w:hAnsi="Times New Roman" w:cs="Times New Roman"/>
          <w:b/>
          <w:bCs/>
          <w:lang w:val="lt"/>
        </w:rPr>
      </w:pPr>
      <w:r w:rsidRPr="00927BF5">
        <w:rPr>
          <w:rFonts w:ascii="Aptos" w:eastAsia="Aptos" w:hAnsi="Aptos" w:cs="Times New Roman"/>
          <w:noProof/>
          <w:sz w:val="22"/>
          <w:szCs w:val="22"/>
        </w:rPr>
        <w:drawing>
          <wp:inline distT="0" distB="0" distL="0" distR="0" wp14:anchorId="3D0924F8" wp14:editId="22DC1F21">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5ED248DB" w14:textId="2D8E7E1C" w:rsidR="00887D85" w:rsidRDefault="009124BE" w:rsidP="496FA6E1">
      <w:pPr>
        <w:spacing w:line="257" w:lineRule="auto"/>
        <w:jc w:val="center"/>
        <w:rPr>
          <w:rFonts w:ascii="Times New Roman" w:eastAsiaTheme="minorEastAsia" w:hAnsi="Times New Roman" w:cs="Times New Roman"/>
          <w:b/>
          <w:bCs/>
          <w:lang w:val="lt"/>
        </w:rPr>
      </w:pPr>
      <w:r>
        <w:rPr>
          <w:rFonts w:ascii="Times New Roman" w:eastAsiaTheme="minorEastAsia" w:hAnsi="Times New Roman" w:cs="Times New Roman"/>
          <w:b/>
          <w:bCs/>
          <w:lang w:val="lt"/>
        </w:rPr>
        <w:t xml:space="preserve">TECHNINĖ </w:t>
      </w:r>
      <w:r w:rsidR="496FA6E1" w:rsidRPr="00083BBE">
        <w:rPr>
          <w:rFonts w:ascii="Times New Roman" w:eastAsiaTheme="minorEastAsia" w:hAnsi="Times New Roman" w:cs="Times New Roman"/>
          <w:b/>
          <w:bCs/>
          <w:lang w:val="lt"/>
        </w:rPr>
        <w:t>SPECIFIKACIJA</w:t>
      </w:r>
    </w:p>
    <w:p w14:paraId="5E2E88F0" w14:textId="77777777" w:rsidR="00927BF5" w:rsidRPr="00083BBE" w:rsidRDefault="00927BF5" w:rsidP="496FA6E1">
      <w:pPr>
        <w:spacing w:line="257" w:lineRule="auto"/>
        <w:jc w:val="center"/>
        <w:rPr>
          <w:rFonts w:ascii="Times New Roman" w:eastAsiaTheme="minorEastAsia" w:hAnsi="Times New Roman" w:cs="Times New Roman"/>
          <w:b/>
          <w:bCs/>
          <w:lang w:val="lt"/>
        </w:rPr>
      </w:pPr>
    </w:p>
    <w:p w14:paraId="0F64A7FD" w14:textId="7E965BAB" w:rsidR="00887D85" w:rsidRPr="00083BBE" w:rsidRDefault="496FA6E1" w:rsidP="496FA6E1">
      <w:pPr>
        <w:spacing w:line="257" w:lineRule="auto"/>
        <w:rPr>
          <w:rFonts w:ascii="Times New Roman" w:eastAsiaTheme="minorEastAsia" w:hAnsi="Times New Roman" w:cs="Times New Roman"/>
          <w:lang w:val="lt"/>
        </w:rPr>
      </w:pPr>
      <w:r w:rsidRPr="00083BBE">
        <w:rPr>
          <w:rFonts w:ascii="Times New Roman" w:eastAsiaTheme="minorEastAsia" w:hAnsi="Times New Roman" w:cs="Times New Roman"/>
          <w:b/>
          <w:bCs/>
          <w:lang w:val="lt"/>
        </w:rPr>
        <w:t xml:space="preserve">Pirkimo objektas: </w:t>
      </w:r>
      <w:proofErr w:type="spellStart"/>
      <w:r w:rsidRPr="00083BBE">
        <w:rPr>
          <w:rFonts w:ascii="Times New Roman" w:eastAsiaTheme="minorEastAsia" w:hAnsi="Times New Roman" w:cs="Times New Roman"/>
          <w:lang w:val="lt"/>
        </w:rPr>
        <w:t>Daugiakomponentė</w:t>
      </w:r>
      <w:r w:rsidR="00212053">
        <w:rPr>
          <w:rFonts w:ascii="Times New Roman" w:eastAsiaTheme="minorEastAsia" w:hAnsi="Times New Roman" w:cs="Times New Roman"/>
          <w:lang w:val="lt"/>
        </w:rPr>
        <w:t>s</w:t>
      </w:r>
      <w:proofErr w:type="spellEnd"/>
      <w:r w:rsidRPr="00083BBE">
        <w:rPr>
          <w:rFonts w:ascii="Times New Roman" w:eastAsiaTheme="minorEastAsia" w:hAnsi="Times New Roman" w:cs="Times New Roman"/>
          <w:lang w:val="lt"/>
        </w:rPr>
        <w:t xml:space="preserve"> baltymų analizės sistema</w:t>
      </w:r>
      <w:r w:rsidR="00D77D40" w:rsidRPr="00083BBE">
        <w:rPr>
          <w:rFonts w:ascii="Times New Roman" w:eastAsiaTheme="minorEastAsia" w:hAnsi="Times New Roman" w:cs="Times New Roman"/>
          <w:lang w:val="lt"/>
        </w:rPr>
        <w:t xml:space="preserve"> – 1 komplektas</w:t>
      </w:r>
      <w:r w:rsidR="00AF5CA5">
        <w:rPr>
          <w:rFonts w:ascii="Times New Roman" w:eastAsiaTheme="minorEastAsia" w:hAnsi="Times New Roman" w:cs="Times New Roman"/>
          <w:lang w:val="lt"/>
        </w:rPr>
        <w:t>.</w:t>
      </w:r>
    </w:p>
    <w:p w14:paraId="7658D62D" w14:textId="19D41754" w:rsidR="00777B8E" w:rsidRDefault="00162422" w:rsidP="00162422">
      <w:pPr>
        <w:spacing w:line="257" w:lineRule="auto"/>
        <w:jc w:val="both"/>
        <w:rPr>
          <w:rFonts w:ascii="Times New Roman" w:eastAsiaTheme="minorEastAsia" w:hAnsi="Times New Roman" w:cs="Times New Roman"/>
          <w:lang w:val="lt"/>
        </w:rPr>
      </w:pPr>
      <w:r w:rsidRPr="00162422">
        <w:rPr>
          <w:rFonts w:ascii="Times New Roman" w:eastAsiaTheme="minorEastAsia" w:hAnsi="Times New Roman" w:cs="Times New Roman"/>
          <w:lang w:val="lt"/>
        </w:rPr>
        <w:t xml:space="preserve">Tiekėjas turi pateikti dokumentus, įrodančius siūlomos įrangos atitikimą techniniams reikalavimams, nurodytiems pirkimo dokumentų techninėje specifikacijoje: </w:t>
      </w:r>
      <w:r w:rsidRPr="00B266B7">
        <w:rPr>
          <w:rFonts w:ascii="Times New Roman" w:eastAsiaTheme="minorEastAsia" w:hAnsi="Times New Roman" w:cs="Times New Roman"/>
          <w:b/>
          <w:bCs/>
          <w:lang w:val="lt"/>
        </w:rPr>
        <w:t>tiekėjas turi pateikti gamintojo parengtus katalogus ar brošiūras</w:t>
      </w:r>
      <w:r w:rsidRPr="00162422">
        <w:rPr>
          <w:rFonts w:ascii="Times New Roman" w:eastAsiaTheme="minorEastAsia" w:hAnsi="Times New Roman" w:cs="Times New Roman"/>
          <w:lang w:val="lt"/>
        </w:rPr>
        <w:t>,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w:t>
      </w:r>
      <w:r w:rsidRPr="00B266B7">
        <w:rPr>
          <w:rFonts w:ascii="Times New Roman" w:eastAsiaTheme="minorEastAsia" w:hAnsi="Times New Roman" w:cs="Times New Roman"/>
          <w:b/>
          <w:bCs/>
          <w:lang w:val="lt"/>
        </w:rPr>
        <w:t>toliau – pagrindžiantys dokumentai</w:t>
      </w:r>
      <w:r w:rsidRPr="00162422">
        <w:rPr>
          <w:rFonts w:ascii="Times New Roman" w:eastAsiaTheme="minorEastAsia" w:hAnsi="Times New Roman" w:cs="Times New Roman"/>
          <w:lang w:val="lt"/>
        </w:rPr>
        <w:t>)</w:t>
      </w:r>
      <w:r w:rsidR="000213B5">
        <w:rPr>
          <w:rFonts w:ascii="Times New Roman" w:eastAsiaTheme="minorEastAsia" w:hAnsi="Times New Roman" w:cs="Times New Roman"/>
          <w:lang w:val="lt"/>
        </w:rPr>
        <w:t>.</w:t>
      </w:r>
      <w:r w:rsidRPr="00162422">
        <w:rPr>
          <w:rFonts w:ascii="Times New Roman" w:eastAsiaTheme="minorEastAsia" w:hAnsi="Times New Roman" w:cs="Times New Roman"/>
          <w:lang w:val="lt"/>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687FCAFD" w14:textId="77777777" w:rsidR="00162422" w:rsidRPr="00083BBE" w:rsidRDefault="00162422" w:rsidP="496FA6E1">
      <w:pPr>
        <w:spacing w:line="257" w:lineRule="auto"/>
        <w:rPr>
          <w:rFonts w:ascii="Times New Roman" w:eastAsiaTheme="minorEastAsia" w:hAnsi="Times New Roman" w:cs="Times New Roman"/>
          <w:lang w:val="lt-LT"/>
        </w:rPr>
      </w:pPr>
    </w:p>
    <w:tbl>
      <w:tblPr>
        <w:tblStyle w:val="TableGrid"/>
        <w:tblW w:w="0" w:type="auto"/>
        <w:tblLook w:val="04A0" w:firstRow="1" w:lastRow="0" w:firstColumn="1" w:lastColumn="0" w:noHBand="0" w:noVBand="1"/>
      </w:tblPr>
      <w:tblGrid>
        <w:gridCol w:w="678"/>
        <w:gridCol w:w="1777"/>
        <w:gridCol w:w="4110"/>
        <w:gridCol w:w="3397"/>
      </w:tblGrid>
      <w:tr w:rsidR="007E14B0" w:rsidRPr="00334756" w14:paraId="542847EC" w14:textId="683BCE4B" w:rsidTr="007E14B0">
        <w:trPr>
          <w:trHeight w:val="300"/>
        </w:trPr>
        <w:tc>
          <w:tcPr>
            <w:tcW w:w="678" w:type="dxa"/>
          </w:tcPr>
          <w:p w14:paraId="0C827DCA" w14:textId="114998CA" w:rsidR="007E14B0" w:rsidRPr="00083BBE" w:rsidRDefault="007E14B0" w:rsidP="496FA6E1">
            <w:pP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 xml:space="preserve">Eil. </w:t>
            </w:r>
            <w:r w:rsidR="00D14C6C">
              <w:rPr>
                <w:rFonts w:ascii="Times New Roman" w:eastAsiaTheme="minorEastAsia" w:hAnsi="Times New Roman" w:cs="Times New Roman"/>
                <w:b/>
                <w:bCs/>
                <w:lang w:val="lt-LT"/>
              </w:rPr>
              <w:t>N</w:t>
            </w:r>
            <w:r w:rsidR="00D14C6C" w:rsidRPr="00083BBE">
              <w:rPr>
                <w:rFonts w:ascii="Times New Roman" w:eastAsiaTheme="minorEastAsia" w:hAnsi="Times New Roman" w:cs="Times New Roman"/>
                <w:b/>
                <w:bCs/>
                <w:lang w:val="lt-LT"/>
              </w:rPr>
              <w:t>r</w:t>
            </w:r>
            <w:r w:rsidRPr="00083BBE">
              <w:rPr>
                <w:rFonts w:ascii="Times New Roman" w:eastAsiaTheme="minorEastAsia" w:hAnsi="Times New Roman" w:cs="Times New Roman"/>
                <w:b/>
                <w:bCs/>
                <w:lang w:val="lt-LT"/>
              </w:rPr>
              <w:t>.</w:t>
            </w:r>
          </w:p>
        </w:tc>
        <w:tc>
          <w:tcPr>
            <w:tcW w:w="1777" w:type="dxa"/>
          </w:tcPr>
          <w:p w14:paraId="676D672B" w14:textId="053BADC0" w:rsidR="007E14B0" w:rsidRPr="00083BBE" w:rsidRDefault="007E14B0" w:rsidP="496FA6E1">
            <w:pP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Parametras</w:t>
            </w:r>
          </w:p>
        </w:tc>
        <w:tc>
          <w:tcPr>
            <w:tcW w:w="4110" w:type="dxa"/>
          </w:tcPr>
          <w:p w14:paraId="49AC104F" w14:textId="381BD795" w:rsidR="007E14B0" w:rsidRPr="00083BBE" w:rsidRDefault="00F834DF" w:rsidP="496FA6E1">
            <w:pPr>
              <w:rPr>
                <w:rFonts w:ascii="Times New Roman" w:eastAsiaTheme="minorEastAsia" w:hAnsi="Times New Roman" w:cs="Times New Roman"/>
                <w:b/>
                <w:bCs/>
                <w:lang w:val="lt-LT"/>
              </w:rPr>
            </w:pPr>
            <w:r>
              <w:rPr>
                <w:rFonts w:ascii="Times New Roman" w:eastAsiaTheme="minorEastAsia" w:hAnsi="Times New Roman" w:cs="Times New Roman"/>
                <w:b/>
                <w:bCs/>
                <w:lang w:val="lt-LT"/>
              </w:rPr>
              <w:t>Reikalaujama charakteristika</w:t>
            </w:r>
          </w:p>
        </w:tc>
        <w:tc>
          <w:tcPr>
            <w:tcW w:w="3397" w:type="dxa"/>
          </w:tcPr>
          <w:p w14:paraId="1F5A0C66" w14:textId="77777777" w:rsidR="00FD3B77" w:rsidRPr="00083BBE" w:rsidRDefault="00FD3B77" w:rsidP="00FD3B77">
            <w:pPr>
              <w:spacing w:after="160" w:line="278" w:lineRule="auto"/>
              <w:jc w:val="both"/>
              <w:rPr>
                <w:rFonts w:ascii="Times New Roman" w:eastAsia="Aptos" w:hAnsi="Times New Roman" w:cs="Times New Roman"/>
                <w:b/>
                <w:bCs/>
                <w:lang w:val="pl-PL"/>
              </w:rPr>
            </w:pPr>
            <w:proofErr w:type="spellStart"/>
            <w:r w:rsidRPr="00083BBE">
              <w:rPr>
                <w:rFonts w:ascii="Times New Roman" w:eastAsia="Aptos" w:hAnsi="Times New Roman" w:cs="Times New Roman"/>
                <w:b/>
                <w:bCs/>
                <w:lang w:val="pl-PL"/>
              </w:rPr>
              <w:t>Tiekėjo</w:t>
            </w:r>
            <w:proofErr w:type="spellEnd"/>
            <w:r w:rsidRPr="00083BBE">
              <w:rPr>
                <w:rFonts w:ascii="Times New Roman" w:eastAsia="Aptos" w:hAnsi="Times New Roman" w:cs="Times New Roman"/>
                <w:b/>
                <w:bCs/>
                <w:lang w:val="pl-PL"/>
              </w:rPr>
              <w:t xml:space="preserve"> </w:t>
            </w:r>
            <w:proofErr w:type="spellStart"/>
            <w:r w:rsidRPr="00083BBE">
              <w:rPr>
                <w:rFonts w:ascii="Times New Roman" w:eastAsia="Aptos" w:hAnsi="Times New Roman" w:cs="Times New Roman"/>
                <w:b/>
                <w:bCs/>
                <w:lang w:val="pl-PL"/>
              </w:rPr>
              <w:t>siūloma</w:t>
            </w:r>
            <w:proofErr w:type="spellEnd"/>
            <w:r w:rsidRPr="00083BBE">
              <w:rPr>
                <w:rFonts w:ascii="Times New Roman" w:eastAsia="Aptos" w:hAnsi="Times New Roman" w:cs="Times New Roman"/>
                <w:b/>
                <w:bCs/>
                <w:lang w:val="pl-PL"/>
              </w:rPr>
              <w:t xml:space="preserve"> </w:t>
            </w:r>
            <w:proofErr w:type="spellStart"/>
            <w:r w:rsidRPr="00083BBE">
              <w:rPr>
                <w:rFonts w:ascii="Times New Roman" w:eastAsia="Aptos" w:hAnsi="Times New Roman" w:cs="Times New Roman"/>
                <w:b/>
                <w:bCs/>
                <w:lang w:val="pl-PL"/>
              </w:rPr>
              <w:t>charakteristika</w:t>
            </w:r>
            <w:proofErr w:type="spellEnd"/>
          </w:p>
          <w:p w14:paraId="5C9A5DA0" w14:textId="77777777" w:rsidR="00FD3B77" w:rsidRPr="00083BBE" w:rsidRDefault="00FD3B77" w:rsidP="00FD3B77">
            <w:pPr>
              <w:spacing w:after="160" w:line="278" w:lineRule="auto"/>
              <w:jc w:val="center"/>
              <w:rPr>
                <w:rFonts w:ascii="Times New Roman" w:eastAsia="Aptos" w:hAnsi="Times New Roman" w:cs="Times New Roman"/>
                <w:b/>
                <w:bCs/>
                <w:i/>
                <w:iCs/>
                <w:u w:val="single"/>
                <w:lang w:val="pl-PL"/>
              </w:rPr>
            </w:pPr>
            <w:r w:rsidRPr="00083BBE">
              <w:rPr>
                <w:rFonts w:ascii="Times New Roman" w:eastAsia="Aptos" w:hAnsi="Times New Roman" w:cs="Times New Roman"/>
                <w:b/>
                <w:bCs/>
                <w:i/>
                <w:iCs/>
                <w:u w:val="single"/>
                <w:lang w:val="pl-PL"/>
              </w:rPr>
              <w:t>(</w:t>
            </w:r>
            <w:proofErr w:type="spellStart"/>
            <w:r w:rsidRPr="00083BBE">
              <w:rPr>
                <w:rFonts w:ascii="Times New Roman" w:eastAsia="Aptos" w:hAnsi="Times New Roman" w:cs="Times New Roman"/>
                <w:b/>
                <w:bCs/>
                <w:i/>
                <w:iCs/>
                <w:u w:val="single"/>
                <w:lang w:val="pl-PL"/>
              </w:rPr>
              <w:t>pildo</w:t>
            </w:r>
            <w:proofErr w:type="spellEnd"/>
            <w:r w:rsidRPr="00083BBE">
              <w:rPr>
                <w:rFonts w:ascii="Times New Roman" w:eastAsia="Aptos" w:hAnsi="Times New Roman" w:cs="Times New Roman"/>
                <w:b/>
                <w:bCs/>
                <w:i/>
                <w:iCs/>
                <w:u w:val="single"/>
                <w:lang w:val="pl-PL"/>
              </w:rPr>
              <w:t xml:space="preserve"> </w:t>
            </w:r>
            <w:proofErr w:type="spellStart"/>
            <w:r w:rsidRPr="00083BBE">
              <w:rPr>
                <w:rFonts w:ascii="Times New Roman" w:eastAsia="Aptos" w:hAnsi="Times New Roman" w:cs="Times New Roman"/>
                <w:b/>
                <w:bCs/>
                <w:i/>
                <w:iCs/>
                <w:u w:val="single"/>
                <w:lang w:val="pl-PL"/>
              </w:rPr>
              <w:t>tiekėjas</w:t>
            </w:r>
            <w:proofErr w:type="spellEnd"/>
            <w:r w:rsidRPr="00083BBE">
              <w:rPr>
                <w:rFonts w:ascii="Times New Roman" w:eastAsia="Aptos" w:hAnsi="Times New Roman" w:cs="Times New Roman"/>
                <w:b/>
                <w:bCs/>
                <w:i/>
                <w:iCs/>
                <w:u w:val="single"/>
                <w:lang w:val="pl-PL"/>
              </w:rPr>
              <w:t>)</w:t>
            </w:r>
          </w:p>
          <w:p w14:paraId="2906A249" w14:textId="77777777" w:rsidR="00FD3B77" w:rsidRPr="00083BBE" w:rsidRDefault="00FD3B77" w:rsidP="00FD3B77">
            <w:pPr>
              <w:spacing w:after="160" w:line="278" w:lineRule="auto"/>
              <w:jc w:val="center"/>
              <w:rPr>
                <w:rFonts w:ascii="Times New Roman" w:eastAsia="Aptos" w:hAnsi="Times New Roman" w:cs="Times New Roman"/>
                <w:b/>
                <w:bCs/>
                <w:u w:val="single"/>
                <w:lang w:val="pl-PL"/>
              </w:rPr>
            </w:pPr>
          </w:p>
          <w:p w14:paraId="7E8C9837" w14:textId="77777777" w:rsidR="00FD3B77" w:rsidRPr="00083BBE" w:rsidRDefault="00FD3B77" w:rsidP="00FD3B77">
            <w:pPr>
              <w:spacing w:after="160" w:line="259" w:lineRule="auto"/>
              <w:jc w:val="both"/>
              <w:rPr>
                <w:rFonts w:ascii="Times New Roman" w:eastAsia="Aptos" w:hAnsi="Times New Roman" w:cs="Times New Roman"/>
                <w:b/>
                <w:bCs/>
                <w:lang w:val="lt-LT" w:eastAsia="lt-LT"/>
              </w:rPr>
            </w:pPr>
            <w:r w:rsidRPr="00083BBE">
              <w:rPr>
                <w:rFonts w:ascii="Times New Roman" w:eastAsia="Aptos" w:hAnsi="Times New Roman" w:cs="Times New Roman"/>
                <w:b/>
                <w:bCs/>
                <w:lang w:val="sv-SE" w:eastAsia="lt-LT"/>
              </w:rPr>
              <w:t>Tiekėjas pildo kiekvien</w:t>
            </w:r>
            <w:r w:rsidRPr="00083BBE">
              <w:rPr>
                <w:rFonts w:ascii="Times New Roman" w:eastAsia="Aptos" w:hAnsi="Times New Roman" w:cs="Times New Roman"/>
                <w:b/>
                <w:bCs/>
                <w:lang w:val="lt-LT" w:eastAsia="lt-LT"/>
              </w:rPr>
              <w:t>ą reikalavimą su atitinkama siūloma reikšme.</w:t>
            </w:r>
          </w:p>
          <w:p w14:paraId="5965F0C1" w14:textId="72B8840B" w:rsidR="007E14B0" w:rsidRPr="00083BBE" w:rsidRDefault="00FD3B77" w:rsidP="00FD3B77">
            <w:pPr>
              <w:rPr>
                <w:rFonts w:ascii="Times New Roman" w:eastAsiaTheme="minorEastAsia" w:hAnsi="Times New Roman" w:cs="Times New Roman"/>
                <w:b/>
                <w:bCs/>
                <w:lang w:val="lt-LT"/>
              </w:rPr>
            </w:pPr>
            <w:r w:rsidRPr="00083BBE">
              <w:rPr>
                <w:rFonts w:ascii="Times New Roman" w:eastAsia="Aptos" w:hAnsi="Times New Roman" w:cs="Times New Roman"/>
                <w:lang w:val="lt-LT" w:eastAsia="lt-LT"/>
              </w:rPr>
              <w:t xml:space="preserve">Prie kiekvieno reikalavimo (jeigu žemiau nenurodyta kitaip) pateikiamas  techninę charakteristiką pagrindžiantis dokumentas </w:t>
            </w:r>
            <w:r w:rsidRPr="00083BBE">
              <w:rPr>
                <w:rFonts w:ascii="Times New Roman" w:eastAsia="Aptos" w:hAnsi="Times New Roman" w:cs="Times New Roman"/>
                <w:highlight w:val="yellow"/>
                <w:lang w:val="lt-LT" w:eastAsia="lt-LT"/>
              </w:rPr>
              <w:t>_______</w:t>
            </w:r>
            <w:r w:rsidRPr="00083BBE">
              <w:rPr>
                <w:rFonts w:ascii="Times New Roman" w:eastAsia="Aptos" w:hAnsi="Times New Roman" w:cs="Times New Roman"/>
                <w:lang w:val="lt-LT" w:eastAsia="lt-LT"/>
              </w:rPr>
              <w:t xml:space="preserve"> (</w:t>
            </w:r>
            <w:r w:rsidRPr="00083BBE">
              <w:rPr>
                <w:rFonts w:ascii="Times New Roman" w:eastAsia="Aptos" w:hAnsi="Times New Roman" w:cs="Times New Roman"/>
                <w:i/>
                <w:iCs/>
                <w:lang w:val="lt-LT" w:eastAsia="lt-LT"/>
              </w:rPr>
              <w:t>nurodyti pateikiamą dokumentą</w:t>
            </w:r>
            <w:r w:rsidRPr="00083BBE">
              <w:rPr>
                <w:rFonts w:ascii="Times New Roman" w:eastAsia="Aptos" w:hAnsi="Times New Roman" w:cs="Times New Roman"/>
                <w:lang w:val="lt-LT" w:eastAsia="lt-LT"/>
              </w:rPr>
              <w:t xml:space="preserve">), kurio </w:t>
            </w:r>
            <w:r w:rsidRPr="00083BBE">
              <w:rPr>
                <w:rFonts w:ascii="Times New Roman" w:eastAsia="Aptos" w:hAnsi="Times New Roman" w:cs="Times New Roman"/>
                <w:highlight w:val="yellow"/>
                <w:lang w:val="lt-LT" w:eastAsia="lt-LT"/>
              </w:rPr>
              <w:t>_____</w:t>
            </w:r>
            <w:r w:rsidRPr="00083BBE">
              <w:rPr>
                <w:rFonts w:ascii="Times New Roman" w:eastAsia="Aptos" w:hAnsi="Times New Roman" w:cs="Times New Roman"/>
                <w:lang w:val="lt-LT" w:eastAsia="lt-LT"/>
              </w:rPr>
              <w:t xml:space="preserve"> (</w:t>
            </w:r>
            <w:r w:rsidRPr="00083BBE">
              <w:rPr>
                <w:rFonts w:ascii="Times New Roman" w:eastAsia="Aptos" w:hAnsi="Times New Roman" w:cs="Times New Roman"/>
                <w:i/>
                <w:iCs/>
                <w:lang w:val="lt-LT" w:eastAsia="lt-LT"/>
              </w:rPr>
              <w:t>nurodyti</w:t>
            </w:r>
            <w:r w:rsidRPr="00083BBE">
              <w:rPr>
                <w:rFonts w:ascii="Times New Roman" w:eastAsia="Aptos" w:hAnsi="Times New Roman" w:cs="Times New Roman"/>
                <w:lang w:val="lt-LT" w:eastAsia="lt-LT"/>
              </w:rPr>
              <w:t>) puslapyje pateikta atžyma apie parametro reikšmę</w:t>
            </w:r>
          </w:p>
        </w:tc>
      </w:tr>
      <w:tr w:rsidR="007C300F" w:rsidRPr="00083BBE" w14:paraId="1C6C02CD" w14:textId="77777777" w:rsidTr="007E14B0">
        <w:trPr>
          <w:trHeight w:val="300"/>
        </w:trPr>
        <w:tc>
          <w:tcPr>
            <w:tcW w:w="678" w:type="dxa"/>
          </w:tcPr>
          <w:p w14:paraId="50A6A405" w14:textId="76B4232C"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lastRenderedPageBreak/>
              <w:t>1</w:t>
            </w:r>
          </w:p>
        </w:tc>
        <w:tc>
          <w:tcPr>
            <w:tcW w:w="1777" w:type="dxa"/>
          </w:tcPr>
          <w:p w14:paraId="23EF3095" w14:textId="77B651BB"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2</w:t>
            </w:r>
          </w:p>
        </w:tc>
        <w:tc>
          <w:tcPr>
            <w:tcW w:w="4110" w:type="dxa"/>
          </w:tcPr>
          <w:p w14:paraId="2A27810C" w14:textId="286A71CA"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3</w:t>
            </w:r>
          </w:p>
        </w:tc>
        <w:tc>
          <w:tcPr>
            <w:tcW w:w="3397" w:type="dxa"/>
          </w:tcPr>
          <w:p w14:paraId="488E76AF" w14:textId="169C19CB"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4</w:t>
            </w:r>
          </w:p>
        </w:tc>
      </w:tr>
      <w:tr w:rsidR="007E14B0" w:rsidRPr="00334756" w14:paraId="6B4464D2" w14:textId="1601388B" w:rsidTr="007E14B0">
        <w:trPr>
          <w:trHeight w:val="300"/>
        </w:trPr>
        <w:tc>
          <w:tcPr>
            <w:tcW w:w="678" w:type="dxa"/>
          </w:tcPr>
          <w:p w14:paraId="11C1AD69" w14:textId="59439FA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1.</w:t>
            </w:r>
          </w:p>
        </w:tc>
        <w:tc>
          <w:tcPr>
            <w:tcW w:w="1777" w:type="dxa"/>
          </w:tcPr>
          <w:p w14:paraId="49C0B85D" w14:textId="531424E5"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Paskirtis </w:t>
            </w:r>
          </w:p>
        </w:tc>
        <w:tc>
          <w:tcPr>
            <w:tcW w:w="4110" w:type="dxa"/>
          </w:tcPr>
          <w:p w14:paraId="1972468F" w14:textId="6F9DA8A5" w:rsidR="007E14B0" w:rsidRPr="00083BBE" w:rsidRDefault="007E14B0" w:rsidP="00D14C6C">
            <w:pPr>
              <w:jc w:val="both"/>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Sistema skirta daugybinei kiekybinei baltymų, nukleorūgščių analizei paremtai antikūnų ir </w:t>
            </w:r>
            <w:r w:rsidR="002D04C2">
              <w:rPr>
                <w:rFonts w:ascii="Times New Roman" w:eastAsiaTheme="minorEastAsia" w:hAnsi="Times New Roman" w:cs="Times New Roman"/>
                <w:lang w:val="lt-LT"/>
              </w:rPr>
              <w:t>magnetinių</w:t>
            </w:r>
            <w:r w:rsidR="001F29B1">
              <w:rPr>
                <w:rFonts w:ascii="Times New Roman" w:eastAsiaTheme="minorEastAsia" w:hAnsi="Times New Roman" w:cs="Times New Roman"/>
                <w:lang w:val="lt-LT"/>
              </w:rPr>
              <w:t xml:space="preserve"> dalelių</w:t>
            </w:r>
            <w:r w:rsidR="00212053">
              <w:rPr>
                <w:rFonts w:ascii="Times New Roman" w:eastAsiaTheme="minorEastAsia" w:hAnsi="Times New Roman" w:cs="Times New Roman"/>
                <w:lang w:val="lt-LT"/>
              </w:rPr>
              <w:t xml:space="preserve"> </w:t>
            </w:r>
            <w:r w:rsidRPr="00083BBE">
              <w:rPr>
                <w:rFonts w:ascii="Times New Roman" w:eastAsiaTheme="minorEastAsia" w:hAnsi="Times New Roman" w:cs="Times New Roman"/>
                <w:lang w:val="lt-LT"/>
              </w:rPr>
              <w:t>analize.</w:t>
            </w:r>
          </w:p>
        </w:tc>
        <w:tc>
          <w:tcPr>
            <w:tcW w:w="3397" w:type="dxa"/>
          </w:tcPr>
          <w:p w14:paraId="47E2F94C" w14:textId="47598626" w:rsidR="007E14B0" w:rsidRPr="00083BBE" w:rsidRDefault="007E14B0" w:rsidP="496FA6E1">
            <w:pPr>
              <w:rPr>
                <w:rFonts w:ascii="Times New Roman" w:eastAsiaTheme="minorEastAsia" w:hAnsi="Times New Roman" w:cs="Times New Roman"/>
                <w:lang w:val="lt-LT"/>
              </w:rPr>
            </w:pPr>
          </w:p>
        </w:tc>
      </w:tr>
      <w:tr w:rsidR="007E14B0" w:rsidRPr="00334756" w14:paraId="063674E1" w14:textId="1D930800" w:rsidTr="007E14B0">
        <w:trPr>
          <w:trHeight w:val="300"/>
        </w:trPr>
        <w:tc>
          <w:tcPr>
            <w:tcW w:w="678" w:type="dxa"/>
          </w:tcPr>
          <w:p w14:paraId="48AD8ADF" w14:textId="713624B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2.</w:t>
            </w:r>
          </w:p>
        </w:tc>
        <w:tc>
          <w:tcPr>
            <w:tcW w:w="1777" w:type="dxa"/>
          </w:tcPr>
          <w:p w14:paraId="4DA2EFB6" w14:textId="3C21836E"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Komplektacija</w:t>
            </w:r>
          </w:p>
        </w:tc>
        <w:tc>
          <w:tcPr>
            <w:tcW w:w="4110" w:type="dxa"/>
          </w:tcPr>
          <w:p w14:paraId="731BA3B1" w14:textId="77777777" w:rsidR="00075EA7"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 xml:space="preserve">Analizės prietaisas, </w:t>
            </w:r>
          </w:p>
          <w:p w14:paraId="554DD3D7" w14:textId="61BE2CA8" w:rsidR="00474453"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dedikuota analizės programinė  įranga, integruotas procesorius su Windows 10 operacine sistema</w:t>
            </w:r>
            <w:r w:rsidR="00D77D40" w:rsidRPr="007E0C25">
              <w:rPr>
                <w:rFonts w:ascii="Times New Roman" w:eastAsiaTheme="minorEastAsia" w:hAnsi="Times New Roman" w:cs="Times New Roman"/>
                <w:lang w:val="lt-LT"/>
              </w:rPr>
              <w:t xml:space="preserve"> arba lygiaverte</w:t>
            </w:r>
            <w:r w:rsidRPr="007E0C25">
              <w:rPr>
                <w:rFonts w:ascii="Times New Roman" w:eastAsiaTheme="minorEastAsia" w:hAnsi="Times New Roman" w:cs="Times New Roman"/>
                <w:lang w:val="lt-LT"/>
              </w:rPr>
              <w:t xml:space="preserve">, integruotas </w:t>
            </w:r>
            <w:proofErr w:type="spellStart"/>
            <w:r w:rsidRPr="007E0C25">
              <w:rPr>
                <w:rFonts w:ascii="Times New Roman" w:eastAsiaTheme="minorEastAsia" w:hAnsi="Times New Roman" w:cs="Times New Roman"/>
                <w:lang w:val="lt-LT"/>
              </w:rPr>
              <w:t>barkodų</w:t>
            </w:r>
            <w:proofErr w:type="spellEnd"/>
            <w:r w:rsidRPr="007E0C25">
              <w:rPr>
                <w:rFonts w:ascii="Times New Roman" w:eastAsiaTheme="minorEastAsia" w:hAnsi="Times New Roman" w:cs="Times New Roman"/>
                <w:lang w:val="lt-LT"/>
              </w:rPr>
              <w:t xml:space="preserve"> skaitytuvas, kaitinimo blokai ne mažiau kaip 96 ir </w:t>
            </w:r>
            <w:r w:rsidR="00D77D40" w:rsidRPr="007E0C25">
              <w:rPr>
                <w:rFonts w:ascii="Times New Roman" w:eastAsiaTheme="minorEastAsia" w:hAnsi="Times New Roman" w:cs="Times New Roman"/>
                <w:lang w:val="lt-LT"/>
              </w:rPr>
              <w:t xml:space="preserve">ne mažiau kaip </w:t>
            </w:r>
            <w:r w:rsidRPr="007E0C25">
              <w:rPr>
                <w:rFonts w:ascii="Times New Roman" w:eastAsiaTheme="minorEastAsia" w:hAnsi="Times New Roman" w:cs="Times New Roman"/>
                <w:lang w:val="lt-LT"/>
              </w:rPr>
              <w:t>384  šulinėlių plokštelėms,</w:t>
            </w:r>
          </w:p>
          <w:p w14:paraId="66D259A5" w14:textId="0E31A758"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 xml:space="preserve"> kalibravimo ir veikimo  patikrinimui skirtos priemonės pilnam prietaiso  paleidimui, tirpalai ir pagalbinės priemonės reikalingi  pradiniam darbui su prietaisu ir  pradinis  reagentų komplektas mokymams, skirtas ne mažiau kaip 30 skirtingų  baltymų analizei</w:t>
            </w:r>
            <w:r w:rsidR="00DB055B" w:rsidRPr="007E0C25">
              <w:rPr>
                <w:rFonts w:ascii="Times New Roman" w:eastAsiaTheme="minorEastAsia" w:hAnsi="Times New Roman" w:cs="Times New Roman"/>
                <w:lang w:val="lt-LT"/>
              </w:rPr>
              <w:t xml:space="preserve">,  turi </w:t>
            </w:r>
            <w:r w:rsidR="00E449EE" w:rsidRPr="007E0C25">
              <w:rPr>
                <w:rFonts w:ascii="Times New Roman" w:eastAsiaTheme="minorEastAsia" w:hAnsi="Times New Roman" w:cs="Times New Roman"/>
                <w:lang w:val="lt-LT"/>
              </w:rPr>
              <w:t xml:space="preserve">būti </w:t>
            </w:r>
            <w:r w:rsidR="002F4088" w:rsidRPr="007E0C25">
              <w:rPr>
                <w:rFonts w:ascii="Times New Roman" w:eastAsiaTheme="minorEastAsia" w:hAnsi="Times New Roman" w:cs="Times New Roman"/>
                <w:lang w:val="lt-LT"/>
              </w:rPr>
              <w:t>g</w:t>
            </w:r>
            <w:r w:rsidR="00146D73" w:rsidRPr="007E0C25">
              <w:rPr>
                <w:rFonts w:ascii="Times New Roman" w:eastAsiaTheme="minorEastAsia" w:hAnsi="Times New Roman" w:cs="Times New Roman"/>
                <w:lang w:val="lt-LT"/>
              </w:rPr>
              <w:t xml:space="preserve">alima </w:t>
            </w:r>
            <w:r w:rsidRPr="007E0C25">
              <w:rPr>
                <w:rFonts w:ascii="Times New Roman" w:eastAsiaTheme="minorEastAsia" w:hAnsi="Times New Roman" w:cs="Times New Roman"/>
                <w:lang w:val="lt-LT"/>
              </w:rPr>
              <w:t xml:space="preserve">pasirinkti iš ne mažiau kaip </w:t>
            </w:r>
            <w:r w:rsidR="00212053" w:rsidRPr="007E0C25">
              <w:rPr>
                <w:rFonts w:ascii="Times New Roman" w:eastAsiaTheme="minorEastAsia" w:hAnsi="Times New Roman" w:cs="Times New Roman"/>
                <w:lang w:val="lt-LT"/>
              </w:rPr>
              <w:t xml:space="preserve">500 </w:t>
            </w:r>
            <w:r w:rsidRPr="007E0C25">
              <w:rPr>
                <w:rFonts w:ascii="Times New Roman" w:eastAsiaTheme="minorEastAsia" w:hAnsi="Times New Roman" w:cs="Times New Roman"/>
                <w:lang w:val="lt-LT"/>
              </w:rPr>
              <w:t xml:space="preserve">skirtingų analičių </w:t>
            </w:r>
            <w:r w:rsidR="00146D73" w:rsidRPr="007E0C25">
              <w:rPr>
                <w:rFonts w:ascii="Times New Roman" w:eastAsiaTheme="minorEastAsia" w:hAnsi="Times New Roman" w:cs="Times New Roman"/>
                <w:lang w:val="lt-LT"/>
              </w:rPr>
              <w:t xml:space="preserve">ir </w:t>
            </w:r>
            <w:r w:rsidRPr="007E0C25">
              <w:rPr>
                <w:rFonts w:ascii="Times New Roman" w:eastAsiaTheme="minorEastAsia" w:hAnsi="Times New Roman" w:cs="Times New Roman"/>
                <w:lang w:val="lt-LT"/>
              </w:rPr>
              <w:t xml:space="preserve">analizuoti  ne mažiau kaip 96  šulinėlių plokštelėje. </w:t>
            </w:r>
          </w:p>
        </w:tc>
        <w:tc>
          <w:tcPr>
            <w:tcW w:w="3397" w:type="dxa"/>
          </w:tcPr>
          <w:p w14:paraId="2CA6B2B4" w14:textId="3330898F" w:rsidR="007E14B0" w:rsidRPr="00083BBE" w:rsidRDefault="007E14B0" w:rsidP="496FA6E1">
            <w:pPr>
              <w:rPr>
                <w:rFonts w:ascii="Times New Roman" w:eastAsiaTheme="minorEastAsia" w:hAnsi="Times New Roman" w:cs="Times New Roman"/>
                <w:lang w:val="lt-LT"/>
              </w:rPr>
            </w:pPr>
          </w:p>
        </w:tc>
      </w:tr>
      <w:tr w:rsidR="007E14B0" w:rsidRPr="00195B22" w14:paraId="435474DB" w14:textId="3ADCB3D7" w:rsidTr="007E14B0">
        <w:trPr>
          <w:trHeight w:val="300"/>
        </w:trPr>
        <w:tc>
          <w:tcPr>
            <w:tcW w:w="678" w:type="dxa"/>
          </w:tcPr>
          <w:p w14:paraId="157F46A8" w14:textId="432FB672"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3.</w:t>
            </w:r>
          </w:p>
        </w:tc>
        <w:tc>
          <w:tcPr>
            <w:tcW w:w="1777" w:type="dxa"/>
          </w:tcPr>
          <w:p w14:paraId="43576DF3" w14:textId="19B5C355"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Analizės pajėgumai</w:t>
            </w:r>
          </w:p>
        </w:tc>
        <w:tc>
          <w:tcPr>
            <w:tcW w:w="4110" w:type="dxa"/>
          </w:tcPr>
          <w:p w14:paraId="1803148E" w14:textId="090C67E9"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Turi būti</w:t>
            </w:r>
            <w:r w:rsidR="00D77D40" w:rsidRPr="007E0C25">
              <w:rPr>
                <w:rFonts w:ascii="Times New Roman" w:eastAsiaTheme="minorEastAsia" w:hAnsi="Times New Roman" w:cs="Times New Roman"/>
                <w:lang w:val="lt-LT"/>
              </w:rPr>
              <w:t xml:space="preserve"> galima</w:t>
            </w:r>
            <w:r w:rsidRPr="007E0C25">
              <w:rPr>
                <w:rFonts w:ascii="Times New Roman" w:eastAsiaTheme="minorEastAsia" w:hAnsi="Times New Roman" w:cs="Times New Roman"/>
                <w:lang w:val="lt-LT"/>
              </w:rPr>
              <w:t xml:space="preserve"> vienu metu  išanalizuoti  ne mažiau kaip 500 skirtingų analičių viename mėginyje.  Turi būti </w:t>
            </w:r>
            <w:r w:rsidR="007B5933" w:rsidRPr="007E0C25">
              <w:rPr>
                <w:rFonts w:ascii="Times New Roman" w:eastAsiaTheme="minorEastAsia" w:hAnsi="Times New Roman" w:cs="Times New Roman"/>
                <w:lang w:val="lt-LT"/>
              </w:rPr>
              <w:t xml:space="preserve">galima </w:t>
            </w:r>
            <w:r w:rsidRPr="007E0C25">
              <w:rPr>
                <w:rFonts w:ascii="Times New Roman" w:eastAsiaTheme="minorEastAsia" w:hAnsi="Times New Roman" w:cs="Times New Roman"/>
                <w:lang w:val="lt-LT"/>
              </w:rPr>
              <w:t xml:space="preserve">atlikti  ne mažiau kaip </w:t>
            </w:r>
            <w:r w:rsidR="00A8094F" w:rsidRPr="007E0C25">
              <w:rPr>
                <w:rFonts w:ascii="Times New Roman" w:eastAsiaTheme="minorEastAsia" w:hAnsi="Times New Roman" w:cs="Times New Roman"/>
                <w:lang w:val="lt-LT"/>
              </w:rPr>
              <w:t xml:space="preserve"> </w:t>
            </w:r>
            <w:r w:rsidR="00212053" w:rsidRPr="007E0C25">
              <w:rPr>
                <w:rFonts w:ascii="Times New Roman" w:eastAsiaTheme="minorEastAsia" w:hAnsi="Times New Roman" w:cs="Times New Roman"/>
                <w:lang w:val="lt-LT"/>
              </w:rPr>
              <w:t xml:space="preserve">140 000 </w:t>
            </w:r>
            <w:r w:rsidRPr="007E0C25">
              <w:rPr>
                <w:rFonts w:ascii="Times New Roman" w:eastAsiaTheme="minorEastAsia" w:hAnsi="Times New Roman" w:cs="Times New Roman"/>
                <w:lang w:val="lt-LT"/>
              </w:rPr>
              <w:t xml:space="preserve">testų per valandą </w:t>
            </w:r>
          </w:p>
        </w:tc>
        <w:tc>
          <w:tcPr>
            <w:tcW w:w="3397" w:type="dxa"/>
          </w:tcPr>
          <w:p w14:paraId="3FEC1FB0" w14:textId="49136272" w:rsidR="007E14B0" w:rsidRPr="00083BBE" w:rsidRDefault="007E14B0" w:rsidP="496FA6E1">
            <w:pPr>
              <w:rPr>
                <w:rFonts w:ascii="Times New Roman" w:eastAsiaTheme="minorEastAsia" w:hAnsi="Times New Roman" w:cs="Times New Roman"/>
                <w:lang w:val="lt-LT"/>
              </w:rPr>
            </w:pPr>
          </w:p>
        </w:tc>
      </w:tr>
      <w:tr w:rsidR="007E14B0" w:rsidRPr="00334756" w14:paraId="13B3E2CC" w14:textId="1990FA94" w:rsidTr="007E14B0">
        <w:trPr>
          <w:trHeight w:val="300"/>
        </w:trPr>
        <w:tc>
          <w:tcPr>
            <w:tcW w:w="678" w:type="dxa"/>
          </w:tcPr>
          <w:p w14:paraId="16064714" w14:textId="519E2EF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4. </w:t>
            </w:r>
          </w:p>
        </w:tc>
        <w:tc>
          <w:tcPr>
            <w:tcW w:w="1777" w:type="dxa"/>
          </w:tcPr>
          <w:p w14:paraId="1415E06A" w14:textId="1B2F8B80"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Analizės laikas</w:t>
            </w:r>
          </w:p>
        </w:tc>
        <w:tc>
          <w:tcPr>
            <w:tcW w:w="4110" w:type="dxa"/>
          </w:tcPr>
          <w:p w14:paraId="3568681C" w14:textId="39ACA526"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Ne ilgiau kaip 20 min analizuojant  96 mėginių  plokštelę ir  ne ilgiau kaip 80  minučių analizuojant 384  mėginių plokštelę</w:t>
            </w:r>
          </w:p>
        </w:tc>
        <w:tc>
          <w:tcPr>
            <w:tcW w:w="3397" w:type="dxa"/>
          </w:tcPr>
          <w:p w14:paraId="69E9C1A0" w14:textId="32B2036B" w:rsidR="007E14B0" w:rsidRPr="00083BBE" w:rsidRDefault="007E14B0" w:rsidP="496FA6E1">
            <w:pPr>
              <w:rPr>
                <w:rFonts w:ascii="Times New Roman" w:eastAsiaTheme="minorEastAsia" w:hAnsi="Times New Roman" w:cs="Times New Roman"/>
                <w:lang w:val="lt-LT"/>
              </w:rPr>
            </w:pPr>
          </w:p>
        </w:tc>
      </w:tr>
      <w:tr w:rsidR="007E14B0" w:rsidRPr="00083BBE" w14:paraId="3A364EEF" w14:textId="191C52BF" w:rsidTr="007E14B0">
        <w:trPr>
          <w:trHeight w:val="300"/>
        </w:trPr>
        <w:tc>
          <w:tcPr>
            <w:tcW w:w="678" w:type="dxa"/>
          </w:tcPr>
          <w:p w14:paraId="091DF7D4" w14:textId="57BF1C50"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5. </w:t>
            </w:r>
          </w:p>
        </w:tc>
        <w:tc>
          <w:tcPr>
            <w:tcW w:w="1777" w:type="dxa"/>
          </w:tcPr>
          <w:p w14:paraId="4EA214D8" w14:textId="22D35924"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Valdymas </w:t>
            </w:r>
          </w:p>
        </w:tc>
        <w:tc>
          <w:tcPr>
            <w:tcW w:w="4110" w:type="dxa"/>
          </w:tcPr>
          <w:p w14:paraId="506DDB03" w14:textId="7239E8B3"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Valdomas liečiamu ekranu</w:t>
            </w:r>
          </w:p>
        </w:tc>
        <w:tc>
          <w:tcPr>
            <w:tcW w:w="3397" w:type="dxa"/>
          </w:tcPr>
          <w:p w14:paraId="6E9F1D29" w14:textId="670F15AA" w:rsidR="007E14B0" w:rsidRPr="00083BBE" w:rsidRDefault="007E14B0" w:rsidP="496FA6E1">
            <w:pPr>
              <w:rPr>
                <w:rFonts w:ascii="Times New Roman" w:eastAsiaTheme="minorEastAsia" w:hAnsi="Times New Roman" w:cs="Times New Roman"/>
                <w:lang w:val="lt-LT"/>
              </w:rPr>
            </w:pPr>
          </w:p>
        </w:tc>
      </w:tr>
      <w:tr w:rsidR="007E14B0" w:rsidRPr="00083BBE" w14:paraId="32FDCBF3" w14:textId="01337479" w:rsidTr="007E14B0">
        <w:trPr>
          <w:trHeight w:val="300"/>
        </w:trPr>
        <w:tc>
          <w:tcPr>
            <w:tcW w:w="678" w:type="dxa"/>
          </w:tcPr>
          <w:p w14:paraId="6B5A43B4" w14:textId="0E93C6B4"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6.</w:t>
            </w:r>
          </w:p>
        </w:tc>
        <w:tc>
          <w:tcPr>
            <w:tcW w:w="1777" w:type="dxa"/>
          </w:tcPr>
          <w:p w14:paraId="4E7C9761" w14:textId="69C2520F"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Lazeriai </w:t>
            </w:r>
          </w:p>
        </w:tc>
        <w:tc>
          <w:tcPr>
            <w:tcW w:w="4110" w:type="dxa"/>
          </w:tcPr>
          <w:p w14:paraId="0B17E540" w14:textId="760EF9D0"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530</w:t>
            </w:r>
            <w:r w:rsidR="00212053" w:rsidRPr="007E0C25">
              <w:rPr>
                <w:rFonts w:ascii="Times New Roman" w:eastAsiaTheme="minorEastAsia" w:hAnsi="Times New Roman" w:cs="Times New Roman"/>
                <w:lang w:val="lt-LT"/>
              </w:rPr>
              <w:t xml:space="preserve"> </w:t>
            </w:r>
            <w:r w:rsidRPr="007E0C25">
              <w:rPr>
                <w:rFonts w:ascii="Times New Roman" w:eastAsiaTheme="minorEastAsia" w:hAnsi="Times New Roman" w:cs="Times New Roman"/>
                <w:lang w:val="lt-LT"/>
              </w:rPr>
              <w:t xml:space="preserve">+/-5 </w:t>
            </w:r>
            <w:proofErr w:type="spellStart"/>
            <w:r w:rsidRPr="007E0C25">
              <w:rPr>
                <w:rFonts w:ascii="Times New Roman" w:eastAsiaTheme="minorEastAsia" w:hAnsi="Times New Roman" w:cs="Times New Roman"/>
                <w:lang w:val="lt-LT"/>
              </w:rPr>
              <w:t>nm</w:t>
            </w:r>
            <w:proofErr w:type="spellEnd"/>
            <w:r w:rsidRPr="007E0C25">
              <w:rPr>
                <w:rFonts w:ascii="Times New Roman" w:eastAsiaTheme="minorEastAsia" w:hAnsi="Times New Roman" w:cs="Times New Roman"/>
                <w:lang w:val="lt-LT"/>
              </w:rPr>
              <w:t xml:space="preserve"> lazeris </w:t>
            </w:r>
          </w:p>
        </w:tc>
        <w:tc>
          <w:tcPr>
            <w:tcW w:w="3397" w:type="dxa"/>
          </w:tcPr>
          <w:p w14:paraId="2E07FB62" w14:textId="77777777" w:rsidR="007E14B0" w:rsidRPr="00083BBE" w:rsidRDefault="007E14B0" w:rsidP="496FA6E1">
            <w:pPr>
              <w:rPr>
                <w:rFonts w:ascii="Times New Roman" w:eastAsiaTheme="minorEastAsia" w:hAnsi="Times New Roman" w:cs="Times New Roman"/>
                <w:lang w:val="lt-LT"/>
              </w:rPr>
            </w:pPr>
          </w:p>
        </w:tc>
      </w:tr>
      <w:tr w:rsidR="007E14B0" w:rsidRPr="00083BBE" w14:paraId="3C15F46D" w14:textId="192A3432" w:rsidTr="007E14B0">
        <w:trPr>
          <w:trHeight w:val="300"/>
        </w:trPr>
        <w:tc>
          <w:tcPr>
            <w:tcW w:w="678" w:type="dxa"/>
          </w:tcPr>
          <w:p w14:paraId="145A0E48" w14:textId="05E2BB20"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7.</w:t>
            </w:r>
          </w:p>
        </w:tc>
        <w:tc>
          <w:tcPr>
            <w:tcW w:w="1777" w:type="dxa"/>
          </w:tcPr>
          <w:p w14:paraId="27FC6EC5" w14:textId="081C7E1F"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Automatinės funkcijos </w:t>
            </w:r>
          </w:p>
        </w:tc>
        <w:tc>
          <w:tcPr>
            <w:tcW w:w="4110" w:type="dxa"/>
          </w:tcPr>
          <w:p w14:paraId="5653F830" w14:textId="1F6FC129" w:rsidR="007E14B0" w:rsidRPr="00083BBE" w:rsidRDefault="007E14B0" w:rsidP="00D14C6C">
            <w:pPr>
              <w:jc w:val="both"/>
              <w:rPr>
                <w:rFonts w:ascii="Times New Roman" w:eastAsiaTheme="minorEastAsia" w:hAnsi="Times New Roman" w:cs="Times New Roman"/>
                <w:lang w:val="lt-LT"/>
              </w:rPr>
            </w:pPr>
            <w:r w:rsidRPr="00212053">
              <w:rPr>
                <w:rFonts w:ascii="Times New Roman" w:eastAsiaTheme="minorEastAsia" w:hAnsi="Times New Roman" w:cs="Times New Roman"/>
                <w:lang w:val="lt-LT"/>
              </w:rPr>
              <w:t xml:space="preserve">Turi būti automatinis prietaiso paleidimas, </w:t>
            </w:r>
            <w:r w:rsidR="005C4B4B" w:rsidRPr="00212053">
              <w:rPr>
                <w:rFonts w:ascii="Times New Roman" w:eastAsiaTheme="minorEastAsia" w:hAnsi="Times New Roman" w:cs="Times New Roman"/>
                <w:lang w:val="lt-LT"/>
              </w:rPr>
              <w:t xml:space="preserve">automatinis </w:t>
            </w:r>
            <w:r w:rsidRPr="00212053">
              <w:rPr>
                <w:rFonts w:ascii="Times New Roman" w:eastAsiaTheme="minorEastAsia" w:hAnsi="Times New Roman" w:cs="Times New Roman"/>
                <w:lang w:val="lt-LT"/>
              </w:rPr>
              <w:t xml:space="preserve">išsijungimas ir </w:t>
            </w:r>
            <w:r w:rsidR="002E7A6A" w:rsidRPr="00212053">
              <w:rPr>
                <w:rFonts w:ascii="Times New Roman" w:eastAsiaTheme="minorEastAsia" w:hAnsi="Times New Roman" w:cs="Times New Roman"/>
                <w:lang w:val="lt-LT"/>
              </w:rPr>
              <w:t xml:space="preserve">automatinės </w:t>
            </w:r>
            <w:r w:rsidRPr="00212053">
              <w:rPr>
                <w:rFonts w:ascii="Times New Roman" w:eastAsiaTheme="minorEastAsia" w:hAnsi="Times New Roman" w:cs="Times New Roman"/>
                <w:lang w:val="lt-LT"/>
              </w:rPr>
              <w:t>priežiūros rutinos</w:t>
            </w:r>
          </w:p>
        </w:tc>
        <w:tc>
          <w:tcPr>
            <w:tcW w:w="3397" w:type="dxa"/>
          </w:tcPr>
          <w:p w14:paraId="03211019" w14:textId="6488D769" w:rsidR="007E14B0" w:rsidRPr="00083BBE" w:rsidRDefault="007E14B0" w:rsidP="496FA6E1">
            <w:pPr>
              <w:rPr>
                <w:rFonts w:ascii="Times New Roman" w:eastAsiaTheme="minorEastAsia" w:hAnsi="Times New Roman" w:cs="Times New Roman"/>
                <w:lang w:val="lt-LT"/>
              </w:rPr>
            </w:pPr>
          </w:p>
        </w:tc>
      </w:tr>
      <w:tr w:rsidR="007E14B0" w:rsidRPr="00334756" w14:paraId="0641DDE2" w14:textId="50D7AFCD" w:rsidTr="007E14B0">
        <w:trPr>
          <w:trHeight w:val="300"/>
        </w:trPr>
        <w:tc>
          <w:tcPr>
            <w:tcW w:w="678" w:type="dxa"/>
          </w:tcPr>
          <w:p w14:paraId="00E441C3" w14:textId="12E65B46"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8.</w:t>
            </w:r>
          </w:p>
        </w:tc>
        <w:tc>
          <w:tcPr>
            <w:tcW w:w="1777" w:type="dxa"/>
          </w:tcPr>
          <w:p w14:paraId="57C4A50B" w14:textId="7CD6015C"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Prietaiso paleidimo laikas</w:t>
            </w:r>
          </w:p>
        </w:tc>
        <w:tc>
          <w:tcPr>
            <w:tcW w:w="4110" w:type="dxa"/>
          </w:tcPr>
          <w:p w14:paraId="4E9B86B5" w14:textId="253D0A59" w:rsidR="007E14B0" w:rsidRPr="00083BBE" w:rsidRDefault="007E14B0" w:rsidP="00D14C6C">
            <w:pPr>
              <w:jc w:val="both"/>
              <w:rPr>
                <w:rFonts w:ascii="Times New Roman" w:eastAsiaTheme="minorEastAsia" w:hAnsi="Times New Roman" w:cs="Times New Roman"/>
                <w:lang w:val="lt-LT"/>
              </w:rPr>
            </w:pPr>
            <w:r w:rsidRPr="00083BBE">
              <w:rPr>
                <w:rFonts w:ascii="Times New Roman" w:eastAsiaTheme="minorEastAsia" w:hAnsi="Times New Roman" w:cs="Times New Roman"/>
                <w:lang w:val="lt-LT"/>
              </w:rPr>
              <w:t>Prietaiso sušilimo prieš darbą laikas ne ilgesnis kaip  30 min, inicializavimas ir sistemos automatinis patikrinimas ne ilgiau kaip 60 min</w:t>
            </w:r>
            <w:r w:rsidR="002E7A6A" w:rsidRPr="00083BBE">
              <w:rPr>
                <w:rFonts w:ascii="Times New Roman" w:eastAsiaTheme="minorEastAsia" w:hAnsi="Times New Roman" w:cs="Times New Roman"/>
                <w:lang w:val="lt-LT"/>
              </w:rPr>
              <w:t>.</w:t>
            </w:r>
          </w:p>
        </w:tc>
        <w:tc>
          <w:tcPr>
            <w:tcW w:w="3397" w:type="dxa"/>
          </w:tcPr>
          <w:p w14:paraId="7D802C94" w14:textId="1528BF54" w:rsidR="007E14B0" w:rsidRPr="00083BBE" w:rsidRDefault="007E14B0" w:rsidP="496FA6E1">
            <w:pPr>
              <w:rPr>
                <w:rFonts w:ascii="Times New Roman" w:eastAsiaTheme="minorEastAsia" w:hAnsi="Times New Roman" w:cs="Times New Roman"/>
                <w:lang w:val="lt-LT"/>
              </w:rPr>
            </w:pPr>
          </w:p>
        </w:tc>
      </w:tr>
      <w:tr w:rsidR="007E14B0" w:rsidRPr="00083BBE" w14:paraId="3B407C82" w14:textId="27B1B9B4" w:rsidTr="007E14B0">
        <w:trPr>
          <w:trHeight w:val="300"/>
        </w:trPr>
        <w:tc>
          <w:tcPr>
            <w:tcW w:w="678" w:type="dxa"/>
          </w:tcPr>
          <w:p w14:paraId="0A9B7F52" w14:textId="31B9EE17"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9.</w:t>
            </w:r>
          </w:p>
        </w:tc>
        <w:tc>
          <w:tcPr>
            <w:tcW w:w="1777" w:type="dxa"/>
          </w:tcPr>
          <w:p w14:paraId="73C1B81F" w14:textId="7A78CE9A"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Dinaminis intervalas </w:t>
            </w:r>
          </w:p>
        </w:tc>
        <w:tc>
          <w:tcPr>
            <w:tcW w:w="4110" w:type="dxa"/>
          </w:tcPr>
          <w:p w14:paraId="5FA8C7C8" w14:textId="207E5592" w:rsidR="007E14B0" w:rsidRPr="00083BBE" w:rsidRDefault="007E14B0" w:rsidP="00D14C6C">
            <w:pPr>
              <w:jc w:val="both"/>
              <w:rPr>
                <w:rFonts w:ascii="Times New Roman" w:eastAsiaTheme="minorEastAsia" w:hAnsi="Times New Roman" w:cs="Times New Roman"/>
                <w:lang w:val="lt-LT"/>
              </w:rPr>
            </w:pPr>
            <w:r w:rsidRPr="001F29B1">
              <w:rPr>
                <w:rFonts w:ascii="Times New Roman" w:eastAsiaTheme="minorEastAsia" w:hAnsi="Times New Roman" w:cs="Times New Roman"/>
                <w:lang w:val="lt-LT"/>
              </w:rPr>
              <w:t xml:space="preserve">Ne mažesnis kaip 5.5 </w:t>
            </w:r>
            <w:proofErr w:type="spellStart"/>
            <w:r w:rsidRPr="001F29B1">
              <w:rPr>
                <w:rFonts w:ascii="Times New Roman" w:eastAsiaTheme="minorEastAsia" w:hAnsi="Times New Roman" w:cs="Times New Roman"/>
                <w:lang w:val="lt-LT"/>
              </w:rPr>
              <w:t>log</w:t>
            </w:r>
            <w:proofErr w:type="spellEnd"/>
          </w:p>
        </w:tc>
        <w:tc>
          <w:tcPr>
            <w:tcW w:w="3397" w:type="dxa"/>
          </w:tcPr>
          <w:p w14:paraId="682DF9B1" w14:textId="6A303BCD" w:rsidR="007E14B0" w:rsidRPr="00083BBE" w:rsidRDefault="007E14B0" w:rsidP="496FA6E1">
            <w:pPr>
              <w:rPr>
                <w:rFonts w:ascii="Times New Roman" w:eastAsiaTheme="minorEastAsia" w:hAnsi="Times New Roman" w:cs="Times New Roman"/>
                <w:lang w:val="lt-LT"/>
              </w:rPr>
            </w:pPr>
          </w:p>
        </w:tc>
      </w:tr>
      <w:tr w:rsidR="007E14B0" w:rsidRPr="00334756" w14:paraId="2F0C702A" w14:textId="624DB56A" w:rsidTr="007E14B0">
        <w:trPr>
          <w:trHeight w:val="300"/>
        </w:trPr>
        <w:tc>
          <w:tcPr>
            <w:tcW w:w="678" w:type="dxa"/>
          </w:tcPr>
          <w:p w14:paraId="545748AB" w14:textId="74CA1C1E"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lastRenderedPageBreak/>
              <w:t>10.</w:t>
            </w:r>
          </w:p>
        </w:tc>
        <w:tc>
          <w:tcPr>
            <w:tcW w:w="1777" w:type="dxa"/>
          </w:tcPr>
          <w:p w14:paraId="07FA5AEF" w14:textId="484ADA7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Duomenų analizė</w:t>
            </w:r>
          </w:p>
        </w:tc>
        <w:tc>
          <w:tcPr>
            <w:tcW w:w="4110" w:type="dxa"/>
          </w:tcPr>
          <w:p w14:paraId="65D705E4" w14:textId="377FFA1C" w:rsidR="007E14B0" w:rsidRPr="00083BBE" w:rsidRDefault="007E14B0" w:rsidP="00D14C6C">
            <w:pPr>
              <w:jc w:val="both"/>
              <w:rPr>
                <w:rFonts w:ascii="Times New Roman" w:eastAsiaTheme="minorEastAsia" w:hAnsi="Times New Roman" w:cs="Times New Roman"/>
                <w:lang w:val="lt-LT"/>
              </w:rPr>
            </w:pPr>
            <w:r w:rsidRPr="00212053">
              <w:rPr>
                <w:rFonts w:ascii="Times New Roman" w:eastAsiaTheme="minorEastAsia" w:hAnsi="Times New Roman" w:cs="Times New Roman"/>
                <w:lang w:val="lt-LT"/>
              </w:rPr>
              <w:t xml:space="preserve">Turi būti </w:t>
            </w:r>
            <w:r w:rsidR="000420A7" w:rsidRPr="00212053">
              <w:rPr>
                <w:rFonts w:ascii="Times New Roman" w:eastAsiaTheme="minorEastAsia" w:hAnsi="Times New Roman" w:cs="Times New Roman"/>
                <w:lang w:val="lt-LT"/>
              </w:rPr>
              <w:t xml:space="preserve">galima  </w:t>
            </w:r>
            <w:r w:rsidRPr="00212053">
              <w:rPr>
                <w:rFonts w:ascii="Times New Roman" w:eastAsiaTheme="minorEastAsia" w:hAnsi="Times New Roman" w:cs="Times New Roman"/>
                <w:lang w:val="lt-LT"/>
              </w:rPr>
              <w:t>duomenis  analizuoti  ne tik prietaise, bet ir  debesų  kompiuterijos  platformoje</w:t>
            </w:r>
          </w:p>
        </w:tc>
        <w:tc>
          <w:tcPr>
            <w:tcW w:w="3397" w:type="dxa"/>
          </w:tcPr>
          <w:p w14:paraId="5A358E48" w14:textId="75A3C217" w:rsidR="007E14B0" w:rsidRPr="00083BBE" w:rsidRDefault="007E14B0" w:rsidP="496FA6E1">
            <w:pPr>
              <w:rPr>
                <w:rFonts w:ascii="Times New Roman" w:eastAsiaTheme="minorEastAsia" w:hAnsi="Times New Roman" w:cs="Times New Roman"/>
                <w:lang w:val="lt-LT"/>
              </w:rPr>
            </w:pPr>
          </w:p>
        </w:tc>
      </w:tr>
      <w:tr w:rsidR="007E14B0" w:rsidRPr="00334756" w14:paraId="4906F7D0" w14:textId="73589553" w:rsidTr="007E14B0">
        <w:trPr>
          <w:trHeight w:val="300"/>
        </w:trPr>
        <w:tc>
          <w:tcPr>
            <w:tcW w:w="678" w:type="dxa"/>
          </w:tcPr>
          <w:p w14:paraId="7733E1B8" w14:textId="541DAA67" w:rsidR="007E14B0" w:rsidRPr="00083BBE" w:rsidRDefault="00483A0C"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1</w:t>
            </w:r>
            <w:r>
              <w:rPr>
                <w:rFonts w:ascii="Times New Roman" w:eastAsiaTheme="minorEastAsia" w:hAnsi="Times New Roman" w:cs="Times New Roman"/>
                <w:lang w:val="lt-LT"/>
              </w:rPr>
              <w:t>1</w:t>
            </w:r>
            <w:r w:rsidR="007E14B0" w:rsidRPr="00083BBE">
              <w:rPr>
                <w:rFonts w:ascii="Times New Roman" w:eastAsiaTheme="minorEastAsia" w:hAnsi="Times New Roman" w:cs="Times New Roman"/>
                <w:lang w:val="lt-LT"/>
              </w:rPr>
              <w:t>.</w:t>
            </w:r>
          </w:p>
        </w:tc>
        <w:tc>
          <w:tcPr>
            <w:tcW w:w="1777" w:type="dxa"/>
          </w:tcPr>
          <w:p w14:paraId="74EF11B5" w14:textId="728B730D"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Garantija </w:t>
            </w:r>
          </w:p>
        </w:tc>
        <w:tc>
          <w:tcPr>
            <w:tcW w:w="4110" w:type="dxa"/>
          </w:tcPr>
          <w:p w14:paraId="1CB2E894" w14:textId="6D6385AE" w:rsidR="007E14B0" w:rsidRPr="00083BBE" w:rsidRDefault="007E14B0" w:rsidP="00D14C6C">
            <w:pPr>
              <w:jc w:val="both"/>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Ne mažiau kaip </w:t>
            </w:r>
            <w:r w:rsidR="00A63A78">
              <w:rPr>
                <w:rFonts w:ascii="Times New Roman" w:eastAsiaTheme="minorEastAsia" w:hAnsi="Times New Roman" w:cs="Times New Roman"/>
                <w:lang w:val="lt-LT"/>
              </w:rPr>
              <w:t>24</w:t>
            </w:r>
            <w:r w:rsidR="00A63A78" w:rsidRPr="00083BBE">
              <w:rPr>
                <w:rFonts w:ascii="Times New Roman" w:eastAsiaTheme="minorEastAsia" w:hAnsi="Times New Roman" w:cs="Times New Roman"/>
                <w:lang w:val="lt-LT"/>
              </w:rPr>
              <w:t xml:space="preserve"> </w:t>
            </w:r>
            <w:r w:rsidRPr="00083BBE">
              <w:rPr>
                <w:rFonts w:ascii="Times New Roman" w:eastAsiaTheme="minorEastAsia" w:hAnsi="Times New Roman" w:cs="Times New Roman"/>
                <w:lang w:val="lt-LT"/>
              </w:rPr>
              <w:t>mėn</w:t>
            </w:r>
            <w:r w:rsidR="00C95076" w:rsidRPr="00083BBE">
              <w:rPr>
                <w:rFonts w:ascii="Times New Roman" w:eastAsiaTheme="minorEastAsia" w:hAnsi="Times New Roman" w:cs="Times New Roman"/>
                <w:lang w:val="lt-LT"/>
              </w:rPr>
              <w:t>.</w:t>
            </w:r>
          </w:p>
        </w:tc>
        <w:tc>
          <w:tcPr>
            <w:tcW w:w="3397" w:type="dxa"/>
          </w:tcPr>
          <w:p w14:paraId="28658FB5" w14:textId="311DC024" w:rsidR="007E14B0" w:rsidRPr="00083BBE" w:rsidRDefault="00D966EE" w:rsidP="00D966EE">
            <w:pPr>
              <w:jc w:val="both"/>
              <w:rPr>
                <w:rFonts w:ascii="Times New Roman" w:eastAsiaTheme="minorEastAsia" w:hAnsi="Times New Roman" w:cs="Times New Roman"/>
                <w:lang w:val="lt-LT"/>
              </w:rPr>
            </w:pPr>
            <w:r w:rsidRPr="00D966EE">
              <w:rPr>
                <w:rFonts w:ascii="Times New Roman" w:eastAsia="Aptos" w:hAnsi="Times New Roman" w:cs="Times New Roman"/>
                <w:b/>
                <w:bCs/>
                <w:lang w:val="lt-LT"/>
              </w:rPr>
              <w:t>Pastaba:</w:t>
            </w:r>
            <w:r w:rsidRPr="00D966EE">
              <w:rPr>
                <w:rFonts w:ascii="Times New Roman" w:eastAsia="Aptos" w:hAnsi="Times New Roman" w:cs="Times New Roman"/>
                <w:lang w:val="lt-LT"/>
              </w:rPr>
              <w:t xml:space="preserve"> šio reikalavimo atitiktį pagrindžiančių dokumentų nereikia pateikti, pakanka, kad tiekėjas užpildys šį techninės specifikacijos reikalavimą.</w:t>
            </w:r>
          </w:p>
        </w:tc>
      </w:tr>
    </w:tbl>
    <w:p w14:paraId="0633E1EC" w14:textId="618A31F1" w:rsidR="00887D85" w:rsidRPr="00334756" w:rsidRDefault="00887D85" w:rsidP="496FA6E1">
      <w:pPr>
        <w:spacing w:line="257" w:lineRule="auto"/>
        <w:rPr>
          <w:rFonts w:ascii="Times New Roman" w:eastAsiaTheme="minorEastAsia" w:hAnsi="Times New Roman" w:cs="Times New Roman"/>
          <w:lang w:val="lt-LT"/>
        </w:rPr>
      </w:pPr>
    </w:p>
    <w:p w14:paraId="0B6FB866" w14:textId="77777777" w:rsidR="002D27CD" w:rsidRPr="002D27CD" w:rsidRDefault="002D27CD" w:rsidP="002D27CD">
      <w:pPr>
        <w:spacing w:after="0" w:line="240" w:lineRule="auto"/>
        <w:ind w:firstLine="709"/>
        <w:jc w:val="both"/>
        <w:rPr>
          <w:rFonts w:ascii="Times New Roman" w:eastAsia="Calibri" w:hAnsi="Times New Roman" w:cs="Times New Roman"/>
          <w:kern w:val="0"/>
          <w:lang w:val="lt-LT"/>
          <w14:ligatures w14:val="none"/>
        </w:rPr>
      </w:pPr>
      <w:r w:rsidRPr="002D27CD">
        <w:rPr>
          <w:rFonts w:ascii="Times New Roman" w:eastAsia="Calibri" w:hAnsi="Times New Roman" w:cs="Times New Roman"/>
          <w:kern w:val="0"/>
          <w:lang w:val="lt-LT"/>
          <w14:ligatures w14:val="none"/>
        </w:rPr>
        <w:t>Pastabos:</w:t>
      </w:r>
    </w:p>
    <w:p w14:paraId="5801DEB8" w14:textId="77777777" w:rsidR="002D27CD" w:rsidRPr="002D27CD" w:rsidRDefault="002D27CD" w:rsidP="002D27CD">
      <w:pPr>
        <w:spacing w:after="0" w:line="240" w:lineRule="auto"/>
        <w:ind w:firstLine="709"/>
        <w:jc w:val="both"/>
        <w:rPr>
          <w:rFonts w:ascii="Times New Roman" w:eastAsia="Calibri" w:hAnsi="Times New Roman" w:cs="Times New Roman"/>
          <w:i/>
          <w:iCs/>
          <w:kern w:val="0"/>
          <w:lang w:val="lt-LT"/>
          <w14:ligatures w14:val="none"/>
        </w:rPr>
      </w:pPr>
      <w:r w:rsidRPr="002D27CD">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2D27CD">
        <w:rPr>
          <w:rFonts w:ascii="Times New Roman" w:eastAsia="Calibri" w:hAnsi="Times New Roman" w:cs="Times New Roman"/>
          <w:kern w:val="0"/>
          <w:lang w:val="lt-LT"/>
          <w14:ligatures w14:val="none"/>
        </w:rPr>
        <w:t xml:space="preserve"> </w:t>
      </w:r>
      <w:r w:rsidRPr="002D27CD">
        <w:rPr>
          <w:rFonts w:ascii="Times New Roman" w:eastAsia="Calibri" w:hAnsi="Times New Roman" w:cs="Times New Roman"/>
          <w:i/>
          <w:iCs/>
          <w:kern w:val="0"/>
          <w:lang w:val="lt-LT"/>
          <w14:ligatures w14:val="none"/>
        </w:rPr>
        <w:t>2 proc.</w:t>
      </w:r>
    </w:p>
    <w:p w14:paraId="259B0AE8" w14:textId="77777777" w:rsidR="002F37D7" w:rsidRDefault="002F37D7" w:rsidP="496FA6E1">
      <w:pPr>
        <w:spacing w:line="257" w:lineRule="auto"/>
        <w:rPr>
          <w:rFonts w:ascii="Times New Roman" w:eastAsiaTheme="minorEastAsia" w:hAnsi="Times New Roman" w:cs="Times New Roman"/>
          <w:b/>
          <w:bCs/>
          <w:lang w:val="lt"/>
        </w:rPr>
      </w:pPr>
    </w:p>
    <w:p w14:paraId="3593098F" w14:textId="77777777" w:rsidR="004C1562" w:rsidRPr="004C1562" w:rsidRDefault="004C1562" w:rsidP="0089610B">
      <w:pPr>
        <w:spacing w:line="240" w:lineRule="auto"/>
        <w:jc w:val="both"/>
        <w:rPr>
          <w:rFonts w:ascii="Times New Roman" w:eastAsia="Aptos" w:hAnsi="Times New Roman" w:cs="Times New Roman"/>
          <w:u w:val="single"/>
          <w:lang w:val="lt-LT"/>
        </w:rPr>
      </w:pPr>
      <w:bookmarkStart w:id="0" w:name="x_x_x_x__Hlk158296136"/>
      <w:r w:rsidRPr="004C1562">
        <w:rPr>
          <w:rFonts w:ascii="Times New Roman" w:eastAsia="Aptos" w:hAnsi="Times New Roman" w:cs="Times New Roman"/>
          <w:b/>
          <w:bCs/>
          <w:u w:val="single"/>
          <w:lang w:val="lt-LT"/>
        </w:rPr>
        <w:t>K</w:t>
      </w:r>
      <w:bookmarkEnd w:id="0"/>
      <w:r w:rsidRPr="004C1562">
        <w:rPr>
          <w:rFonts w:ascii="Times New Roman" w:eastAsia="Aptos" w:hAnsi="Times New Roman" w:cs="Times New Roman"/>
          <w:b/>
          <w:bCs/>
          <w:u w:val="single"/>
          <w:lang w:val="lt-LT"/>
        </w:rPr>
        <w:t>ita informacija:</w:t>
      </w:r>
    </w:p>
    <w:p w14:paraId="64E2951A" w14:textId="77777777" w:rsidR="004C1562" w:rsidRPr="004C1562" w:rsidRDefault="004C1562" w:rsidP="0089610B">
      <w:pPr>
        <w:spacing w:line="240" w:lineRule="auto"/>
        <w:jc w:val="both"/>
        <w:rPr>
          <w:rFonts w:ascii="Times New Roman" w:eastAsia="Aptos" w:hAnsi="Times New Roman" w:cs="Times New Roman"/>
          <w:b/>
          <w:bCs/>
          <w:lang w:val="lt-LT"/>
        </w:rPr>
      </w:pPr>
      <w:r w:rsidRPr="004C1562">
        <w:rPr>
          <w:rFonts w:ascii="Times New Roman" w:eastAsia="Aptos" w:hAnsi="Times New Roman" w:cs="Times New Roman"/>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4C1562">
        <w:rPr>
          <w:rFonts w:ascii="Times New Roman" w:eastAsia="Aptos" w:hAnsi="Times New Roman" w:cs="Times New Roman"/>
          <w:b/>
          <w:bCs/>
          <w:lang w:val="lt-LT"/>
        </w:rPr>
        <w:t>Pirkėjas šio reikalavimo atitiktį vertins prekių pristatymo metu.</w:t>
      </w:r>
    </w:p>
    <w:p w14:paraId="637F04B3" w14:textId="77777777" w:rsidR="004C1562" w:rsidRPr="004C1562" w:rsidRDefault="004C1562" w:rsidP="0089610B">
      <w:pPr>
        <w:spacing w:line="240" w:lineRule="auto"/>
        <w:jc w:val="both"/>
        <w:rPr>
          <w:rFonts w:ascii="Times New Roman" w:eastAsia="Aptos" w:hAnsi="Times New Roman" w:cs="Times New Roman"/>
          <w:lang w:val="lt-LT"/>
        </w:rPr>
      </w:pPr>
      <w:r w:rsidRPr="004C1562">
        <w:rPr>
          <w:rFonts w:ascii="Times New Roman" w:eastAsia="Aptos" w:hAnsi="Times New Roman" w:cs="Times New Roman"/>
          <w:b/>
          <w:bCs/>
          <w:u w:val="single"/>
          <w:lang w:val="lt-LT"/>
        </w:rPr>
        <w:t xml:space="preserve">Tiekėjas Sutarties vykdymo metu kartu su pristatomomis prekėmis privalo pateikti: </w:t>
      </w:r>
      <w:r w:rsidRPr="004C1562">
        <w:rPr>
          <w:rFonts w:ascii="Times New Roman" w:eastAsia="Aptos" w:hAnsi="Times New Roman" w:cs="Times New Roman"/>
          <w:lang w:val="lt-LT"/>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1AE42357" w14:textId="77777777" w:rsidR="004C1562" w:rsidRPr="004C1562" w:rsidRDefault="004C1562" w:rsidP="0089610B">
      <w:pPr>
        <w:spacing w:line="240" w:lineRule="auto"/>
        <w:jc w:val="both"/>
        <w:rPr>
          <w:rFonts w:ascii="Times New Roman" w:eastAsia="Aptos" w:hAnsi="Times New Roman" w:cs="Times New Roman"/>
          <w:lang w:val="lt-LT"/>
        </w:rPr>
      </w:pPr>
      <w:r w:rsidRPr="004C1562">
        <w:rPr>
          <w:rFonts w:ascii="Times New Roman" w:eastAsia="Aptos" w:hAnsi="Times New Roman" w:cs="Times New Roman"/>
          <w:lang w:val="lt-LT"/>
        </w:rPr>
        <w:lastRenderedPageBreak/>
        <w:t>Jei prekėms pagal Europos Sąjungos teisės aktų reikalavimus nėra privalomas CE ženklinimas – </w:t>
      </w:r>
      <w:r w:rsidRPr="004C1562">
        <w:rPr>
          <w:rFonts w:ascii="Times New Roman" w:eastAsia="Aptos" w:hAnsi="Times New Roman" w:cs="Times New Roman"/>
          <w:b/>
          <w:bCs/>
          <w:lang w:val="lt-LT"/>
        </w:rPr>
        <w:t>Tiekėjas laisva rašytine forma turi pagrįsti, kad prekių neprivaloma ženklinti CE ženklu pagal teisės aktų reikalavimus.</w:t>
      </w:r>
    </w:p>
    <w:p w14:paraId="3D2C920E" w14:textId="77777777" w:rsidR="004C1562" w:rsidRPr="004C1562" w:rsidRDefault="004C1562" w:rsidP="0089610B">
      <w:pPr>
        <w:spacing w:line="240" w:lineRule="auto"/>
        <w:jc w:val="both"/>
        <w:rPr>
          <w:rFonts w:ascii="Times New Roman" w:eastAsia="Aptos" w:hAnsi="Times New Roman" w:cs="Times New Roman"/>
          <w:lang w:val="lt-LT"/>
        </w:rPr>
      </w:pPr>
      <w:r w:rsidRPr="004C1562">
        <w:rPr>
          <w:rFonts w:ascii="Times New Roman" w:eastAsia="Aptos" w:hAnsi="Times New Roman" w:cs="Times New Roman"/>
          <w:lang w:val="lt-LT"/>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4C1562">
        <w:rPr>
          <w:rFonts w:ascii="Times New Roman" w:eastAsia="Aptos" w:hAnsi="Times New Roman" w:cs="Times New Roman"/>
          <w:b/>
          <w:bCs/>
          <w:lang w:val="lt-LT"/>
        </w:rPr>
        <w:t>nėra taikomos – tokiu atveju Tiekėjas laisva rašytine forma turi pagrįsti dėl Direktyvų netaikymo.</w:t>
      </w:r>
    </w:p>
    <w:p w14:paraId="71EBE791" w14:textId="77777777" w:rsidR="004C1562" w:rsidRPr="004C1562" w:rsidRDefault="004C1562" w:rsidP="0089610B">
      <w:pPr>
        <w:spacing w:line="240" w:lineRule="auto"/>
        <w:rPr>
          <w:rFonts w:ascii="Aptos" w:eastAsia="Aptos" w:hAnsi="Aptos" w:cs="Times New Roman"/>
          <w:lang w:val="lt-LT"/>
        </w:rPr>
      </w:pPr>
    </w:p>
    <w:p w14:paraId="021FA6A2" w14:textId="77777777" w:rsidR="004C1562" w:rsidRPr="004C1562" w:rsidRDefault="004C1562" w:rsidP="0089610B">
      <w:pPr>
        <w:spacing w:line="240" w:lineRule="auto"/>
        <w:jc w:val="both"/>
        <w:rPr>
          <w:rFonts w:ascii="Times New Roman" w:eastAsia="Times New Roman" w:hAnsi="Times New Roman" w:cs="Times New Roman"/>
          <w:b/>
          <w:color w:val="000000"/>
          <w:u w:val="single"/>
          <w:lang w:val="lt-LT"/>
        </w:rPr>
      </w:pPr>
      <w:r w:rsidRPr="004C1562">
        <w:rPr>
          <w:rFonts w:ascii="Times New Roman" w:eastAsia="Times New Roman" w:hAnsi="Times New Roman" w:cs="Times New Roman"/>
          <w:b/>
          <w:color w:val="000000"/>
          <w:u w:val="single"/>
          <w:lang w:val="lt-LT"/>
        </w:rPr>
        <w:t>Žalieji reikalavimai:</w:t>
      </w:r>
    </w:p>
    <w:p w14:paraId="13483932" w14:textId="77777777" w:rsidR="004C1562" w:rsidRPr="004C1562" w:rsidRDefault="004C1562" w:rsidP="0089610B">
      <w:pPr>
        <w:spacing w:after="0" w:line="240" w:lineRule="auto"/>
        <w:jc w:val="both"/>
        <w:rPr>
          <w:rFonts w:ascii="Times New Roman" w:eastAsia="Calibri" w:hAnsi="Times New Roman" w:cs="Times New Roman"/>
          <w:b/>
          <w:bCs/>
          <w:lang w:val="lt-LT"/>
        </w:rPr>
      </w:pPr>
      <w:r w:rsidRPr="004C1562">
        <w:rPr>
          <w:rFonts w:ascii="Times New Roman" w:eastAsia="Calibri" w:hAnsi="Times New Roman" w:cs="Times New Roman"/>
          <w:b/>
          <w:bCs/>
          <w:lang w:val="lt-LT"/>
        </w:rPr>
        <w:t>Taikomi žemiau nurodyti Lietuvos Respublikos aplinkos ministro 2011 m. birželio 28 d. įsakymu Nr. D1-508 „Dėl aplinkos apsaugos kriterijų taikymo, vykdant žaliuosius pirkimus, tvarkos aprašo patvirtinimo“ (aktualia redakcija) reikalavimai:</w:t>
      </w:r>
    </w:p>
    <w:p w14:paraId="319B075F" w14:textId="61A9E537" w:rsidR="00887D85" w:rsidRPr="00083BBE" w:rsidRDefault="00887D85" w:rsidP="496FA6E1">
      <w:pPr>
        <w:spacing w:line="257" w:lineRule="auto"/>
        <w:rPr>
          <w:rFonts w:ascii="Times New Roman" w:eastAsiaTheme="minorEastAsia" w:hAnsi="Times New Roman" w:cs="Times New Roman"/>
          <w:b/>
          <w:bCs/>
          <w:lang w:val="lt"/>
        </w:rPr>
      </w:pPr>
    </w:p>
    <w:tbl>
      <w:tblPr>
        <w:tblStyle w:val="TableGrid"/>
        <w:tblW w:w="10632" w:type="dxa"/>
        <w:tblInd w:w="-572" w:type="dxa"/>
        <w:tblLook w:val="04A0" w:firstRow="1" w:lastRow="0" w:firstColumn="1" w:lastColumn="0" w:noHBand="0" w:noVBand="1"/>
      </w:tblPr>
      <w:tblGrid>
        <w:gridCol w:w="570"/>
        <w:gridCol w:w="6438"/>
        <w:gridCol w:w="3624"/>
      </w:tblGrid>
      <w:tr w:rsidR="007F0722" w:rsidRPr="00334756" w14:paraId="08FFFBE5" w14:textId="77777777" w:rsidTr="00334756">
        <w:tc>
          <w:tcPr>
            <w:tcW w:w="387" w:type="dxa"/>
          </w:tcPr>
          <w:p w14:paraId="2CAC57DD" w14:textId="77777777" w:rsidR="007F0722" w:rsidRPr="00D04506" w:rsidRDefault="007F0722" w:rsidP="00D36290">
            <w:pPr>
              <w:jc w:val="center"/>
              <w:rPr>
                <w:rFonts w:ascii="Times New Roman" w:hAnsi="Times New Roman" w:cs="Times New Roman"/>
                <w:b/>
                <w:bCs/>
                <w:lang w:val="lt-LT"/>
              </w:rPr>
            </w:pPr>
            <w:r w:rsidRPr="00D04506">
              <w:rPr>
                <w:rFonts w:ascii="Times New Roman" w:hAnsi="Times New Roman" w:cs="Times New Roman"/>
                <w:b/>
                <w:bCs/>
                <w:lang w:val="lt-LT"/>
              </w:rPr>
              <w:t>Eil. n</w:t>
            </w:r>
            <w:proofErr w:type="spellStart"/>
            <w:r w:rsidRPr="00D04506">
              <w:rPr>
                <w:rFonts w:ascii="Times New Roman" w:hAnsi="Times New Roman" w:cs="Times New Roman"/>
                <w:b/>
                <w:bCs/>
                <w:lang w:val="lt-LT"/>
              </w:rPr>
              <w:t>r.</w:t>
            </w:r>
            <w:proofErr w:type="spellEnd"/>
          </w:p>
        </w:tc>
        <w:tc>
          <w:tcPr>
            <w:tcW w:w="6570" w:type="dxa"/>
          </w:tcPr>
          <w:p w14:paraId="6AB37959" w14:textId="77777777" w:rsidR="007F0722" w:rsidRPr="00D04506" w:rsidRDefault="007F0722" w:rsidP="00D36290">
            <w:pPr>
              <w:pStyle w:val="Default"/>
              <w:jc w:val="center"/>
              <w:rPr>
                <w:lang w:val="lt-LT"/>
              </w:rPr>
            </w:pPr>
            <w:r w:rsidRPr="00D04506">
              <w:rPr>
                <w:b/>
                <w:bCs/>
                <w:lang w:val="lt-LT"/>
              </w:rPr>
              <w:t>Aplinkos apsaugos kriterijus</w:t>
            </w:r>
          </w:p>
          <w:p w14:paraId="024330CA" w14:textId="77777777" w:rsidR="007F0722" w:rsidRPr="00D04506" w:rsidRDefault="007F0722" w:rsidP="00D36290">
            <w:pPr>
              <w:jc w:val="center"/>
              <w:rPr>
                <w:rFonts w:ascii="Times New Roman" w:hAnsi="Times New Roman" w:cs="Times New Roman"/>
                <w:lang w:val="lt-LT"/>
              </w:rPr>
            </w:pPr>
          </w:p>
        </w:tc>
        <w:tc>
          <w:tcPr>
            <w:tcW w:w="3675" w:type="dxa"/>
          </w:tcPr>
          <w:p w14:paraId="0B74557B" w14:textId="23FFED47" w:rsidR="007F0722" w:rsidRPr="00D04506" w:rsidRDefault="002B7A1E" w:rsidP="00D36290">
            <w:pPr>
              <w:jc w:val="center"/>
              <w:rPr>
                <w:rFonts w:ascii="Times New Roman" w:hAnsi="Times New Roman" w:cs="Times New Roman"/>
                <w:lang w:val="lt-LT"/>
              </w:rPr>
            </w:pPr>
            <w:r w:rsidRPr="00334756">
              <w:rPr>
                <w:rFonts w:ascii="Times New Roman" w:hAnsi="Times New Roman" w:cs="Times New Roman"/>
                <w:b/>
                <w:bCs/>
                <w:lang w:val="lt-LT"/>
              </w:rPr>
              <w:t>Atitiktį aplinkos kriterijams pagrindžiantys dokumentai (jei reikalaujama)</w:t>
            </w:r>
          </w:p>
        </w:tc>
      </w:tr>
      <w:tr w:rsidR="007F0722" w:rsidRPr="00334756" w14:paraId="4C79913A" w14:textId="77777777" w:rsidTr="00334756">
        <w:tc>
          <w:tcPr>
            <w:tcW w:w="387" w:type="dxa"/>
          </w:tcPr>
          <w:p w14:paraId="5F6F3A1C" w14:textId="77777777" w:rsidR="007F0722" w:rsidRPr="00D04506" w:rsidRDefault="007F0722" w:rsidP="00D36290">
            <w:pPr>
              <w:jc w:val="center"/>
              <w:rPr>
                <w:rFonts w:ascii="Times New Roman" w:hAnsi="Times New Roman" w:cs="Times New Roman"/>
                <w:lang w:val="lt-LT"/>
              </w:rPr>
            </w:pPr>
            <w:r w:rsidRPr="00D04506">
              <w:rPr>
                <w:rFonts w:ascii="Times New Roman" w:hAnsi="Times New Roman" w:cs="Times New Roman"/>
                <w:lang w:val="lt-LT"/>
              </w:rPr>
              <w:t>1.</w:t>
            </w:r>
          </w:p>
        </w:tc>
        <w:tc>
          <w:tcPr>
            <w:tcW w:w="6570" w:type="dxa"/>
          </w:tcPr>
          <w:p w14:paraId="49152DAC" w14:textId="0EF3B254" w:rsidR="007F0722" w:rsidRPr="00D04506" w:rsidRDefault="007F0722" w:rsidP="007E0C25">
            <w:pPr>
              <w:jc w:val="both"/>
              <w:rPr>
                <w:rFonts w:ascii="Times New Roman" w:hAnsi="Times New Roman" w:cs="Times New Roman"/>
                <w:b/>
                <w:bCs/>
                <w:lang w:val="lt-LT" w:bidi="lt-LT"/>
              </w:rPr>
            </w:pPr>
            <w:r w:rsidRPr="00D04506">
              <w:rPr>
                <w:rFonts w:ascii="Times New Roman" w:hAnsi="Times New Roman" w:cs="Times New Roman"/>
                <w:b/>
                <w:bCs/>
                <w:lang w:val="lt-LT" w:bidi="lt-LT"/>
              </w:rPr>
              <w:t>Turi būti galim</w:t>
            </w:r>
            <w:r w:rsidR="0080541F" w:rsidRPr="00D04506">
              <w:rPr>
                <w:rFonts w:ascii="Times New Roman" w:hAnsi="Times New Roman" w:cs="Times New Roman"/>
                <w:b/>
                <w:bCs/>
                <w:lang w:val="lt-LT" w:bidi="lt-LT"/>
              </w:rPr>
              <w:t>a</w:t>
            </w:r>
            <w:r w:rsidRPr="00D04506">
              <w:rPr>
                <w:rFonts w:ascii="Times New Roman" w:hAnsi="Times New Roman" w:cs="Times New Roman"/>
                <w:b/>
                <w:bCs/>
                <w:lang w:val="lt-LT" w:bidi="lt-LT"/>
              </w:rPr>
              <w:t xml:space="preserve"> </w:t>
            </w:r>
            <w:r w:rsidRPr="00D04506">
              <w:rPr>
                <w:rFonts w:ascii="Times New Roman" w:eastAsiaTheme="minorEastAsia" w:hAnsi="Times New Roman" w:cs="Times New Roman"/>
                <w:lang w:val="lt-LT"/>
              </w:rPr>
              <w:t>vienu metu  išanalizuoti  ne mažiau kaip 500 skirtingų analičių viename mėginyje</w:t>
            </w:r>
            <w:r w:rsidRPr="00D04506">
              <w:rPr>
                <w:rFonts w:ascii="Times New Roman" w:hAnsi="Times New Roman" w:cs="Times New Roman"/>
                <w:lang w:val="lt-LT"/>
              </w:rPr>
              <w:t xml:space="preserve"> </w:t>
            </w:r>
            <w:r w:rsidRPr="00D04506">
              <w:rPr>
                <w:rFonts w:ascii="Times New Roman" w:hAnsi="Times New Roman" w:cs="Times New Roman"/>
                <w:b/>
                <w:bCs/>
                <w:lang w:val="lt-LT" w:bidi="lt-LT"/>
              </w:rPr>
              <w:t xml:space="preserve">t. y. techninės specifikacijos </w:t>
            </w:r>
            <w:r w:rsidRPr="00D04506">
              <w:rPr>
                <w:rFonts w:ascii="Times New Roman" w:hAnsi="Times New Roman" w:cs="Times New Roman"/>
                <w:b/>
                <w:bCs/>
                <w:u w:val="single"/>
                <w:lang w:val="lt-LT" w:bidi="lt-LT"/>
              </w:rPr>
              <w:t> lentelės 3 punkte</w:t>
            </w:r>
            <w:r w:rsidRPr="00D04506">
              <w:rPr>
                <w:rFonts w:ascii="Times New Roman" w:hAnsi="Times New Roman" w:cs="Times New Roman"/>
                <w:u w:val="single"/>
                <w:lang w:val="lt-LT" w:bidi="lt-LT"/>
              </w:rPr>
              <w:t xml:space="preserve"> </w:t>
            </w:r>
            <w:r w:rsidRPr="00D04506">
              <w:rPr>
                <w:rFonts w:ascii="Times New Roman" w:hAnsi="Times New Roman" w:cs="Times New Roman"/>
                <w:b/>
                <w:bCs/>
                <w:lang w:val="lt-LT" w:bidi="lt-LT"/>
              </w:rPr>
              <w:t>nurodytą reikalavimą</w:t>
            </w:r>
            <w:r w:rsidRPr="00D04506">
              <w:rPr>
                <w:rFonts w:ascii="Times New Roman" w:hAnsi="Times New Roman" w:cs="Times New Roman"/>
                <w:lang w:val="lt-LT"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w:t>
            </w:r>
            <w:r w:rsidRPr="00D04506">
              <w:rPr>
                <w:rFonts w:ascii="Times New Roman" w:hAnsi="Times New Roman" w:cs="Times New Roman"/>
                <w:b/>
                <w:bCs/>
                <w:lang w:val="lt-LT" w:bidi="lt-LT"/>
              </w:rPr>
              <w:t xml:space="preserve">nes </w:t>
            </w:r>
            <w:r w:rsidR="00591834" w:rsidRPr="00D04506">
              <w:rPr>
                <w:rFonts w:ascii="Times New Roman" w:hAnsi="Times New Roman" w:cs="Times New Roman"/>
                <w:b/>
                <w:bCs/>
                <w:lang w:val="lt-LT" w:bidi="lt-LT"/>
              </w:rPr>
              <w:t xml:space="preserve">norima įsigyti  </w:t>
            </w:r>
            <w:proofErr w:type="spellStart"/>
            <w:r w:rsidR="00591834" w:rsidRPr="00D04506">
              <w:rPr>
                <w:rFonts w:ascii="Times New Roman" w:eastAsiaTheme="minorEastAsia" w:hAnsi="Times New Roman" w:cs="Times New Roman"/>
                <w:lang w:val="lt"/>
              </w:rPr>
              <w:t>daugiakomponentė</w:t>
            </w:r>
            <w:proofErr w:type="spellEnd"/>
            <w:r w:rsidR="00591834" w:rsidRPr="00D04506">
              <w:rPr>
                <w:rFonts w:ascii="Times New Roman" w:eastAsiaTheme="minorEastAsia" w:hAnsi="Times New Roman" w:cs="Times New Roman"/>
                <w:lang w:val="lt"/>
              </w:rPr>
              <w:t xml:space="preserve"> baltymų analizės sistema</w:t>
            </w:r>
            <w:r w:rsidR="00591834" w:rsidRPr="00D04506">
              <w:rPr>
                <w:rFonts w:ascii="Times New Roman" w:hAnsi="Times New Roman" w:cs="Times New Roman"/>
                <w:b/>
                <w:bCs/>
                <w:lang w:val="lt-LT" w:bidi="lt-LT"/>
              </w:rPr>
              <w:t xml:space="preserve"> </w:t>
            </w:r>
            <w:r w:rsidR="00083BBE" w:rsidRPr="00D04506">
              <w:rPr>
                <w:rFonts w:ascii="Times New Roman" w:eastAsiaTheme="minorEastAsia" w:hAnsi="Times New Roman" w:cs="Times New Roman"/>
                <w:lang w:val="lt-LT"/>
              </w:rPr>
              <w:t xml:space="preserve">vienu metu  </w:t>
            </w:r>
            <w:r w:rsidR="00591834" w:rsidRPr="00D04506">
              <w:rPr>
                <w:rFonts w:ascii="Times New Roman" w:eastAsiaTheme="minorEastAsia" w:hAnsi="Times New Roman" w:cs="Times New Roman"/>
                <w:lang w:val="lt-LT"/>
              </w:rPr>
              <w:t xml:space="preserve">įgalina </w:t>
            </w:r>
            <w:r w:rsidR="00083BBE" w:rsidRPr="00D04506">
              <w:rPr>
                <w:rFonts w:ascii="Times New Roman" w:eastAsiaTheme="minorEastAsia" w:hAnsi="Times New Roman" w:cs="Times New Roman"/>
                <w:lang w:val="lt-LT"/>
              </w:rPr>
              <w:t xml:space="preserve">atlikti  ne mažiau kaip 500 skirtingų analičių </w:t>
            </w:r>
            <w:r w:rsidR="00083BBE" w:rsidRPr="00D04506">
              <w:rPr>
                <w:rFonts w:ascii="Times New Roman" w:hAnsi="Times New Roman" w:cs="Times New Roman"/>
                <w:b/>
                <w:bCs/>
                <w:lang w:val="lt-LT" w:bidi="lt-LT"/>
              </w:rPr>
              <w:t>ištyrimą</w:t>
            </w:r>
            <w:r w:rsidR="00083BBE" w:rsidRPr="00D04506">
              <w:rPr>
                <w:rFonts w:ascii="Times New Roman" w:eastAsiaTheme="minorEastAsia" w:hAnsi="Times New Roman" w:cs="Times New Roman"/>
                <w:lang w:val="lt-LT"/>
              </w:rPr>
              <w:t xml:space="preserve"> viename mėginyje</w:t>
            </w:r>
            <w:r w:rsidRPr="00D04506">
              <w:rPr>
                <w:rFonts w:ascii="Times New Roman" w:hAnsi="Times New Roman" w:cs="Times New Roman"/>
                <w:b/>
                <w:bCs/>
                <w:lang w:val="lt-LT" w:bidi="lt-LT"/>
              </w:rPr>
              <w:t xml:space="preserve">, </w:t>
            </w:r>
            <w:r w:rsidR="00AB5470" w:rsidRPr="00D04506">
              <w:rPr>
                <w:rFonts w:ascii="Times New Roman" w:hAnsi="Times New Roman" w:cs="Times New Roman"/>
                <w:b/>
                <w:bCs/>
                <w:lang w:val="lt-LT" w:bidi="lt-LT"/>
              </w:rPr>
              <w:t>toks reikalaujamas</w:t>
            </w:r>
            <w:r w:rsidRPr="00D04506">
              <w:rPr>
                <w:rFonts w:ascii="Times New Roman" w:hAnsi="Times New Roman" w:cs="Times New Roman"/>
                <w:b/>
                <w:bCs/>
                <w:lang w:val="lt-LT" w:bidi="lt-LT"/>
              </w:rPr>
              <w:t xml:space="preserve"> metodas užtikrina</w:t>
            </w:r>
            <w:r w:rsidR="00A44AB1" w:rsidRPr="00D04506">
              <w:rPr>
                <w:rFonts w:ascii="Times New Roman" w:hAnsi="Times New Roman" w:cs="Times New Roman"/>
                <w:b/>
                <w:bCs/>
                <w:lang w:val="lt-LT" w:bidi="lt-LT"/>
              </w:rPr>
              <w:t xml:space="preserve"> </w:t>
            </w:r>
            <w:r w:rsidRPr="00D04506">
              <w:rPr>
                <w:rFonts w:ascii="Times New Roman" w:hAnsi="Times New Roman" w:cs="Times New Roman"/>
                <w:b/>
                <w:bCs/>
                <w:lang w:val="lt-LT" w:bidi="lt-LT"/>
              </w:rPr>
              <w:t>energijos ištek</w:t>
            </w:r>
            <w:r w:rsidR="00A44AB1" w:rsidRPr="00D04506">
              <w:rPr>
                <w:rFonts w:ascii="Times New Roman" w:hAnsi="Times New Roman" w:cs="Times New Roman"/>
                <w:b/>
                <w:bCs/>
                <w:lang w:val="lt-LT" w:bidi="lt-LT"/>
              </w:rPr>
              <w:t>l</w:t>
            </w:r>
            <w:r w:rsidRPr="00D04506">
              <w:rPr>
                <w:rFonts w:ascii="Times New Roman" w:hAnsi="Times New Roman" w:cs="Times New Roman"/>
                <w:b/>
                <w:bCs/>
                <w:lang w:val="lt-LT" w:bidi="lt-LT"/>
              </w:rPr>
              <w:t xml:space="preserve">ių, laboratorinių resursų taupymą kai vieno eksperimento metu gaunamas didelis duomenų kiekis. </w:t>
            </w:r>
          </w:p>
        </w:tc>
        <w:tc>
          <w:tcPr>
            <w:tcW w:w="3675" w:type="dxa"/>
          </w:tcPr>
          <w:p w14:paraId="1D87F173" w14:textId="4CE4085A" w:rsidR="002E2616" w:rsidRPr="00D04506" w:rsidRDefault="002E2616" w:rsidP="002E2616">
            <w:pPr>
              <w:spacing w:line="240" w:lineRule="atLeast"/>
              <w:jc w:val="both"/>
              <w:rPr>
                <w:rFonts w:ascii="Times New Roman" w:eastAsia="Calibri" w:hAnsi="Times New Roman" w:cs="Times New Roman"/>
                <w:kern w:val="0"/>
                <w:lang w:val="lt-LT" w:eastAsia="lt-LT"/>
                <w14:ligatures w14:val="none"/>
              </w:rPr>
            </w:pPr>
            <w:r w:rsidRPr="00D04506">
              <w:rPr>
                <w:rFonts w:ascii="Times New Roman" w:eastAsia="Calibri" w:hAnsi="Times New Roman" w:cs="Times New Roman"/>
                <w:kern w:val="0"/>
                <w:lang w:val="lt-LT" w:eastAsia="lt-LT"/>
                <w14:ligatures w14:val="none"/>
              </w:rPr>
              <w:t xml:space="preserve">Papildomi pagrindžiantys dokumentai nereikalaujami, Tiekėjas šį reikalavimą patvirtina teikdamas pasiūlymą, o perkančioji organizacija parametrų atitiktį patikrins Tiekėjo </w:t>
            </w:r>
            <w:r w:rsidRPr="00D04506">
              <w:rPr>
                <w:rFonts w:ascii="Times New Roman" w:eastAsia="Calibri" w:hAnsi="Times New Roman" w:cs="Times New Roman"/>
                <w:b/>
                <w:bCs/>
                <w:kern w:val="0"/>
                <w:lang w:val="lt-LT" w:eastAsia="lt-LT"/>
                <w14:ligatures w14:val="none"/>
              </w:rPr>
              <w:t>kartu su pasiūlymu pateiktuose pagrindžiančiuose dokumentuose</w:t>
            </w:r>
            <w:r w:rsidR="007208DA" w:rsidRPr="00D04506">
              <w:rPr>
                <w:rFonts w:ascii="Times New Roman" w:eastAsia="Calibri" w:hAnsi="Times New Roman" w:cs="Times New Roman"/>
                <w:b/>
                <w:bCs/>
                <w:kern w:val="0"/>
                <w:lang w:val="lt-LT" w:eastAsia="lt-LT"/>
                <w14:ligatures w14:val="none"/>
              </w:rPr>
              <w:t>, nurodytuose 3 punkte</w:t>
            </w:r>
            <w:r w:rsidRPr="00D04506">
              <w:rPr>
                <w:rFonts w:ascii="Times New Roman" w:eastAsia="Calibri" w:hAnsi="Times New Roman" w:cs="Times New Roman"/>
                <w:b/>
                <w:bCs/>
                <w:kern w:val="0"/>
                <w:lang w:val="lt-LT" w:eastAsia="lt-LT"/>
                <w14:ligatures w14:val="none"/>
              </w:rPr>
              <w:t>.</w:t>
            </w:r>
            <w:r w:rsidRPr="00D04506">
              <w:rPr>
                <w:rFonts w:ascii="Times New Roman" w:eastAsia="Calibri" w:hAnsi="Times New Roman" w:cs="Times New Roman"/>
                <w:kern w:val="0"/>
                <w:lang w:val="lt-LT" w:eastAsia="lt-LT"/>
                <w14:ligatures w14:val="none"/>
              </w:rPr>
              <w:t xml:space="preserve"> </w:t>
            </w:r>
          </w:p>
          <w:p w14:paraId="03469043" w14:textId="77777777" w:rsidR="002E2616" w:rsidRPr="00D04506" w:rsidRDefault="002E2616" w:rsidP="002E2616">
            <w:pPr>
              <w:spacing w:line="240" w:lineRule="atLeast"/>
              <w:rPr>
                <w:rFonts w:ascii="Times New Roman" w:eastAsia="Calibri" w:hAnsi="Times New Roman" w:cs="Times New Roman"/>
                <w:kern w:val="0"/>
                <w:lang w:val="lt-LT" w:eastAsia="lt-LT"/>
                <w14:ligatures w14:val="none"/>
              </w:rPr>
            </w:pPr>
          </w:p>
          <w:p w14:paraId="451918C1" w14:textId="77777777" w:rsidR="002E2616" w:rsidRPr="00D04506" w:rsidRDefault="002E2616" w:rsidP="002E2616">
            <w:pPr>
              <w:spacing w:line="240" w:lineRule="atLeast"/>
              <w:jc w:val="center"/>
              <w:rPr>
                <w:rFonts w:ascii="Times New Roman" w:eastAsia="Calibri" w:hAnsi="Times New Roman" w:cs="Times New Roman"/>
                <w:b/>
                <w:bCs/>
                <w:kern w:val="0"/>
                <w:lang w:val="lt-LT" w:eastAsia="lt-LT"/>
                <w14:ligatures w14:val="none"/>
              </w:rPr>
            </w:pPr>
            <w:r w:rsidRPr="00D04506">
              <w:rPr>
                <w:rFonts w:ascii="Times New Roman" w:eastAsia="Calibri" w:hAnsi="Times New Roman" w:cs="Times New Roman"/>
                <w:b/>
                <w:bCs/>
                <w:kern w:val="0"/>
                <w:highlight w:val="yellow"/>
                <w:lang w:val="lt-LT" w:eastAsia="lt-LT"/>
                <w14:ligatures w14:val="none"/>
              </w:rPr>
              <w:t>TAIP/NE</w:t>
            </w:r>
          </w:p>
          <w:p w14:paraId="6ED789B7" w14:textId="77777777" w:rsidR="002E2616" w:rsidRPr="00D04506" w:rsidRDefault="002E2616" w:rsidP="002E2616">
            <w:pPr>
              <w:spacing w:line="240" w:lineRule="atLeast"/>
              <w:jc w:val="center"/>
              <w:rPr>
                <w:rFonts w:ascii="Times New Roman" w:eastAsia="Calibri" w:hAnsi="Times New Roman" w:cs="Times New Roman"/>
                <w:kern w:val="0"/>
                <w:lang w:val="lt-LT" w:eastAsia="lt-LT"/>
                <w14:ligatures w14:val="none"/>
              </w:rPr>
            </w:pPr>
            <w:r w:rsidRPr="00D04506">
              <w:rPr>
                <w:rFonts w:ascii="Times New Roman" w:eastAsia="Calibri" w:hAnsi="Times New Roman" w:cs="Times New Roman"/>
                <w:kern w:val="0"/>
                <w:lang w:val="lt-LT" w:eastAsia="lt-LT"/>
                <w14:ligatures w14:val="none"/>
              </w:rPr>
              <w:t>(tinkamą pažymėti)</w:t>
            </w:r>
          </w:p>
          <w:p w14:paraId="3CD4D845" w14:textId="77777777" w:rsidR="007F0722" w:rsidRPr="00D04506" w:rsidRDefault="007F0722" w:rsidP="00D36290">
            <w:pPr>
              <w:rPr>
                <w:rFonts w:ascii="Times New Roman" w:hAnsi="Times New Roman" w:cs="Times New Roman"/>
                <w:lang w:val="lt-LT"/>
              </w:rPr>
            </w:pPr>
          </w:p>
        </w:tc>
      </w:tr>
      <w:tr w:rsidR="007F0722" w:rsidRPr="00334756" w14:paraId="118BE7E3" w14:textId="77777777" w:rsidTr="00334756">
        <w:tc>
          <w:tcPr>
            <w:tcW w:w="387" w:type="dxa"/>
          </w:tcPr>
          <w:p w14:paraId="6EC546D1" w14:textId="77777777" w:rsidR="007F0722" w:rsidRPr="00D04506" w:rsidRDefault="007F0722" w:rsidP="00D36290">
            <w:pPr>
              <w:jc w:val="center"/>
              <w:rPr>
                <w:rFonts w:ascii="Times New Roman" w:hAnsi="Times New Roman" w:cs="Times New Roman"/>
                <w:lang w:val="lt-LT"/>
              </w:rPr>
            </w:pPr>
            <w:r w:rsidRPr="00D04506">
              <w:rPr>
                <w:rFonts w:ascii="Times New Roman" w:hAnsi="Times New Roman" w:cs="Times New Roman"/>
                <w:lang w:val="lt-LT"/>
              </w:rPr>
              <w:t>2.</w:t>
            </w:r>
          </w:p>
        </w:tc>
        <w:tc>
          <w:tcPr>
            <w:tcW w:w="6570" w:type="dxa"/>
          </w:tcPr>
          <w:p w14:paraId="213ABD95" w14:textId="1CA88ACC" w:rsidR="007F0722" w:rsidRPr="00D04506" w:rsidRDefault="007F0722" w:rsidP="007E0C25">
            <w:pPr>
              <w:spacing w:after="160"/>
              <w:jc w:val="both"/>
              <w:rPr>
                <w:rFonts w:ascii="Times New Roman" w:hAnsi="Times New Roman" w:cs="Times New Roman"/>
                <w:b/>
                <w:bCs/>
                <w:lang w:val="lt-LT" w:bidi="lt-LT"/>
              </w:rPr>
            </w:pPr>
            <w:r w:rsidRPr="00D04506">
              <w:rPr>
                <w:rFonts w:ascii="Times New Roman" w:hAnsi="Times New Roman" w:cs="Times New Roman"/>
                <w:b/>
                <w:bCs/>
                <w:lang w:val="lt-LT" w:bidi="lt-LT"/>
              </w:rPr>
              <w:t xml:space="preserve">Turi būti </w:t>
            </w:r>
            <w:r w:rsidRPr="00D04506">
              <w:rPr>
                <w:rFonts w:ascii="Times New Roman" w:eastAsiaTheme="minorEastAsia" w:hAnsi="Times New Roman" w:cs="Times New Roman"/>
                <w:lang w:val="lt-LT"/>
              </w:rPr>
              <w:t>kaitinimo blokai ne mažiau kaip 96 ir ne mažiau kaip 384  šulinėlių plokštelėms</w:t>
            </w:r>
            <w:r w:rsidRPr="00D04506">
              <w:rPr>
                <w:rFonts w:ascii="Times New Roman" w:hAnsi="Times New Roman" w:cs="Times New Roman"/>
                <w:b/>
                <w:bCs/>
                <w:lang w:val="lt-LT" w:bidi="lt-LT"/>
              </w:rPr>
              <w:t xml:space="preserve"> t. y. techninės specifikacijos </w:t>
            </w:r>
            <w:r w:rsidRPr="00D04506">
              <w:rPr>
                <w:rFonts w:ascii="Times New Roman" w:hAnsi="Times New Roman" w:cs="Times New Roman"/>
                <w:b/>
                <w:bCs/>
                <w:u w:val="single"/>
                <w:lang w:val="lt-LT" w:bidi="lt-LT"/>
              </w:rPr>
              <w:t> lentelės 2 punkte</w:t>
            </w:r>
            <w:r w:rsidRPr="00D04506">
              <w:rPr>
                <w:rFonts w:ascii="Times New Roman" w:hAnsi="Times New Roman" w:cs="Times New Roman"/>
                <w:u w:val="single"/>
                <w:lang w:val="lt-LT" w:bidi="lt-LT"/>
              </w:rPr>
              <w:t xml:space="preserve"> </w:t>
            </w:r>
            <w:r w:rsidRPr="00D04506">
              <w:rPr>
                <w:rFonts w:ascii="Times New Roman" w:hAnsi="Times New Roman" w:cs="Times New Roman"/>
                <w:b/>
                <w:bCs/>
                <w:lang w:val="lt-LT" w:bidi="lt-LT"/>
              </w:rPr>
              <w:t>nurodytą reikalavimą</w:t>
            </w:r>
            <w:r w:rsidRPr="00D04506">
              <w:rPr>
                <w:rFonts w:ascii="Times New Roman" w:hAnsi="Times New Roman" w:cs="Times New Roman"/>
                <w:lang w:val="lt-LT"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w:t>
            </w:r>
            <w:r w:rsidRPr="00D04506">
              <w:rPr>
                <w:rFonts w:ascii="Times New Roman" w:hAnsi="Times New Roman" w:cs="Times New Roman"/>
                <w:lang w:val="lt-LT" w:bidi="lt-LT"/>
              </w:rPr>
              <w:lastRenderedPageBreak/>
              <w:t xml:space="preserve">žaliuosius pirkimus, tvarkos aprašą“ (toliau – Tvarkos aprašas) 4.4.4.2. punkte nurodytu aplinkosauginiu principu, </w:t>
            </w:r>
            <w:r w:rsidR="00083BBE" w:rsidRPr="00D04506">
              <w:rPr>
                <w:rFonts w:ascii="Times New Roman" w:hAnsi="Times New Roman" w:cs="Times New Roman"/>
                <w:lang w:val="lt-LT" w:bidi="lt-LT"/>
              </w:rPr>
              <w:t xml:space="preserve">nes </w:t>
            </w:r>
            <w:r w:rsidR="00083BBE" w:rsidRPr="00D04506">
              <w:rPr>
                <w:rFonts w:ascii="Times New Roman" w:hAnsi="Times New Roman" w:cs="Times New Roman"/>
                <w:b/>
                <w:bCs/>
                <w:lang w:val="lt-LT" w:bidi="lt-LT"/>
              </w:rPr>
              <w:t xml:space="preserve">norima įsigyti </w:t>
            </w:r>
            <w:proofErr w:type="spellStart"/>
            <w:r w:rsidR="00083BBE" w:rsidRPr="00D04506">
              <w:rPr>
                <w:rFonts w:ascii="Times New Roman" w:eastAsiaTheme="minorEastAsia" w:hAnsi="Times New Roman" w:cs="Times New Roman"/>
                <w:lang w:val="lt"/>
              </w:rPr>
              <w:t>daugiakomponentė</w:t>
            </w:r>
            <w:proofErr w:type="spellEnd"/>
            <w:r w:rsidR="00083BBE" w:rsidRPr="00D04506">
              <w:rPr>
                <w:rFonts w:ascii="Times New Roman" w:eastAsiaTheme="minorEastAsia" w:hAnsi="Times New Roman" w:cs="Times New Roman"/>
                <w:lang w:val="lt"/>
              </w:rPr>
              <w:t xml:space="preserve"> baltymų analizės sistema</w:t>
            </w:r>
            <w:r w:rsidR="00083BBE" w:rsidRPr="00D04506">
              <w:rPr>
                <w:rFonts w:ascii="Times New Roman" w:hAnsi="Times New Roman" w:cs="Times New Roman"/>
                <w:b/>
                <w:bCs/>
                <w:lang w:val="lt-LT" w:bidi="lt-LT"/>
              </w:rPr>
              <w:t xml:space="preserve"> įgalina naudoti </w:t>
            </w:r>
            <w:r w:rsidR="00083BBE" w:rsidRPr="00D04506">
              <w:rPr>
                <w:rFonts w:ascii="Times New Roman" w:eastAsiaTheme="minorEastAsia" w:hAnsi="Times New Roman" w:cs="Times New Roman"/>
                <w:lang w:val="lt-LT"/>
              </w:rPr>
              <w:t xml:space="preserve">blokus skirtus ne mažiau kaip 96 ir ne mažiau kaip 384  šulinėlių plokštelėms, </w:t>
            </w:r>
            <w:r w:rsidRPr="00D04506">
              <w:rPr>
                <w:rFonts w:ascii="Times New Roman" w:hAnsi="Times New Roman" w:cs="Times New Roman"/>
                <w:b/>
                <w:bCs/>
                <w:lang w:val="lt-LT" w:bidi="lt-LT"/>
              </w:rPr>
              <w:t>o tai užtikrina energijos ištek</w:t>
            </w:r>
            <w:r w:rsidR="002F37D7" w:rsidRPr="00D04506">
              <w:rPr>
                <w:rFonts w:ascii="Times New Roman" w:hAnsi="Times New Roman" w:cs="Times New Roman"/>
                <w:b/>
                <w:bCs/>
                <w:lang w:val="lt-LT" w:bidi="lt-LT"/>
              </w:rPr>
              <w:t>l</w:t>
            </w:r>
            <w:r w:rsidRPr="00D04506">
              <w:rPr>
                <w:rFonts w:ascii="Times New Roman" w:hAnsi="Times New Roman" w:cs="Times New Roman"/>
                <w:b/>
                <w:bCs/>
                <w:lang w:val="lt-LT" w:bidi="lt-LT"/>
              </w:rPr>
              <w:t xml:space="preserve">ių, laboratorinių resursų taupymą kai vieno eksperimento metu </w:t>
            </w:r>
            <w:r w:rsidR="00AE17E7" w:rsidRPr="00D04506">
              <w:rPr>
                <w:rFonts w:ascii="Times New Roman" w:hAnsi="Times New Roman" w:cs="Times New Roman"/>
                <w:b/>
                <w:bCs/>
                <w:lang w:val="lt-LT" w:bidi="lt-LT"/>
              </w:rPr>
              <w:t xml:space="preserve">galima atlikti nemažiau kaip </w:t>
            </w:r>
            <w:r w:rsidR="00AE17E7" w:rsidRPr="00D04506">
              <w:rPr>
                <w:rFonts w:ascii="Times New Roman" w:eastAsiaTheme="minorEastAsia" w:hAnsi="Times New Roman" w:cs="Times New Roman"/>
                <w:lang w:val="lt-LT"/>
              </w:rPr>
              <w:t xml:space="preserve">96 ir ne mažiau kaip 384 reakcijas. </w:t>
            </w:r>
          </w:p>
        </w:tc>
        <w:tc>
          <w:tcPr>
            <w:tcW w:w="3675" w:type="dxa"/>
          </w:tcPr>
          <w:p w14:paraId="6CCD3FC8" w14:textId="1649E067" w:rsidR="002E2616" w:rsidRPr="00D04506" w:rsidRDefault="002E2616" w:rsidP="002E2616">
            <w:pPr>
              <w:spacing w:line="240" w:lineRule="atLeast"/>
              <w:jc w:val="both"/>
              <w:rPr>
                <w:rFonts w:ascii="Times New Roman" w:eastAsia="Calibri" w:hAnsi="Times New Roman" w:cs="Times New Roman"/>
                <w:kern w:val="0"/>
                <w:lang w:val="lt-LT" w:eastAsia="lt-LT"/>
                <w14:ligatures w14:val="none"/>
              </w:rPr>
            </w:pPr>
            <w:r w:rsidRPr="00D04506">
              <w:rPr>
                <w:rFonts w:ascii="Times New Roman" w:eastAsia="Calibri" w:hAnsi="Times New Roman" w:cs="Times New Roman"/>
                <w:kern w:val="0"/>
                <w:lang w:val="lt-LT" w:eastAsia="lt-LT"/>
                <w14:ligatures w14:val="none"/>
              </w:rPr>
              <w:lastRenderedPageBreak/>
              <w:t xml:space="preserve">Papildomi pagrindžiantys dokumentai nereikalaujami, Tiekėjas šį reikalavimą patvirtina teikdamas pasiūlymą, o perkančioji organizacija parametrų atitiktį patikrins Tiekėjo </w:t>
            </w:r>
            <w:r w:rsidRPr="00D04506">
              <w:rPr>
                <w:rFonts w:ascii="Times New Roman" w:eastAsia="Calibri" w:hAnsi="Times New Roman" w:cs="Times New Roman"/>
                <w:b/>
                <w:bCs/>
                <w:kern w:val="0"/>
                <w:lang w:val="lt-LT" w:eastAsia="lt-LT"/>
                <w14:ligatures w14:val="none"/>
              </w:rPr>
              <w:t xml:space="preserve">kartu su pasiūlymu pateiktuose pagrindžiančiuose </w:t>
            </w:r>
            <w:r w:rsidRPr="00D04506">
              <w:rPr>
                <w:rFonts w:ascii="Times New Roman" w:eastAsia="Calibri" w:hAnsi="Times New Roman" w:cs="Times New Roman"/>
                <w:b/>
                <w:bCs/>
                <w:kern w:val="0"/>
                <w:lang w:val="lt-LT" w:eastAsia="lt-LT"/>
                <w14:ligatures w14:val="none"/>
              </w:rPr>
              <w:lastRenderedPageBreak/>
              <w:t>dokumentuose</w:t>
            </w:r>
            <w:r w:rsidR="007208DA" w:rsidRPr="00D04506">
              <w:rPr>
                <w:rFonts w:ascii="Times New Roman" w:eastAsia="Calibri" w:hAnsi="Times New Roman" w:cs="Times New Roman"/>
                <w:b/>
                <w:bCs/>
                <w:kern w:val="0"/>
                <w:lang w:val="lt-LT" w:eastAsia="lt-LT"/>
                <w14:ligatures w14:val="none"/>
              </w:rPr>
              <w:t xml:space="preserve">, nurodytuose </w:t>
            </w:r>
            <w:r w:rsidR="00971A66" w:rsidRPr="00D04506">
              <w:rPr>
                <w:rFonts w:ascii="Times New Roman" w:eastAsia="Calibri" w:hAnsi="Times New Roman" w:cs="Times New Roman"/>
                <w:b/>
                <w:bCs/>
                <w:kern w:val="0"/>
                <w:lang w:val="lt-LT" w:eastAsia="lt-LT"/>
                <w14:ligatures w14:val="none"/>
              </w:rPr>
              <w:t>2 punkte.</w:t>
            </w:r>
            <w:r w:rsidRPr="00D04506">
              <w:rPr>
                <w:rFonts w:ascii="Times New Roman" w:eastAsia="Calibri" w:hAnsi="Times New Roman" w:cs="Times New Roman"/>
                <w:kern w:val="0"/>
                <w:lang w:val="lt-LT" w:eastAsia="lt-LT"/>
                <w14:ligatures w14:val="none"/>
              </w:rPr>
              <w:t xml:space="preserve"> </w:t>
            </w:r>
          </w:p>
          <w:p w14:paraId="1914DB7D" w14:textId="77777777" w:rsidR="002E2616" w:rsidRPr="00D04506" w:rsidRDefault="002E2616" w:rsidP="002E2616">
            <w:pPr>
              <w:spacing w:line="240" w:lineRule="atLeast"/>
              <w:rPr>
                <w:rFonts w:ascii="Times New Roman" w:eastAsia="Calibri" w:hAnsi="Times New Roman" w:cs="Times New Roman"/>
                <w:kern w:val="0"/>
                <w:lang w:val="lt-LT" w:eastAsia="lt-LT"/>
                <w14:ligatures w14:val="none"/>
              </w:rPr>
            </w:pPr>
          </w:p>
          <w:p w14:paraId="5034F964" w14:textId="77777777" w:rsidR="002E2616" w:rsidRPr="00D04506" w:rsidRDefault="002E2616" w:rsidP="002E2616">
            <w:pPr>
              <w:spacing w:line="240" w:lineRule="atLeast"/>
              <w:jc w:val="center"/>
              <w:rPr>
                <w:rFonts w:ascii="Times New Roman" w:eastAsia="Calibri" w:hAnsi="Times New Roman" w:cs="Times New Roman"/>
                <w:b/>
                <w:bCs/>
                <w:kern w:val="0"/>
                <w:lang w:val="lt-LT" w:eastAsia="lt-LT"/>
                <w14:ligatures w14:val="none"/>
              </w:rPr>
            </w:pPr>
            <w:r w:rsidRPr="00D04506">
              <w:rPr>
                <w:rFonts w:ascii="Times New Roman" w:eastAsia="Calibri" w:hAnsi="Times New Roman" w:cs="Times New Roman"/>
                <w:b/>
                <w:bCs/>
                <w:kern w:val="0"/>
                <w:highlight w:val="yellow"/>
                <w:lang w:val="lt-LT" w:eastAsia="lt-LT"/>
                <w14:ligatures w14:val="none"/>
              </w:rPr>
              <w:t>TAIP/NE</w:t>
            </w:r>
          </w:p>
          <w:p w14:paraId="1B5046E6" w14:textId="77777777" w:rsidR="002E2616" w:rsidRPr="00D04506" w:rsidRDefault="002E2616" w:rsidP="002E2616">
            <w:pPr>
              <w:spacing w:line="240" w:lineRule="atLeast"/>
              <w:jc w:val="center"/>
              <w:rPr>
                <w:rFonts w:ascii="Times New Roman" w:eastAsia="Calibri" w:hAnsi="Times New Roman" w:cs="Times New Roman"/>
                <w:kern w:val="0"/>
                <w:lang w:val="lt-LT" w:eastAsia="lt-LT"/>
                <w14:ligatures w14:val="none"/>
              </w:rPr>
            </w:pPr>
            <w:r w:rsidRPr="00D04506">
              <w:rPr>
                <w:rFonts w:ascii="Times New Roman" w:eastAsia="Calibri" w:hAnsi="Times New Roman" w:cs="Times New Roman"/>
                <w:kern w:val="0"/>
                <w:lang w:val="lt-LT" w:eastAsia="lt-LT"/>
                <w14:ligatures w14:val="none"/>
              </w:rPr>
              <w:t>(tinkamą pažymėti)</w:t>
            </w:r>
          </w:p>
          <w:p w14:paraId="33745920" w14:textId="77777777" w:rsidR="007F0722" w:rsidRPr="00D04506" w:rsidRDefault="007F0722" w:rsidP="00D36290">
            <w:pPr>
              <w:rPr>
                <w:rFonts w:ascii="Times New Roman" w:hAnsi="Times New Roman" w:cs="Times New Roman"/>
                <w:lang w:val="lt-LT"/>
              </w:rPr>
            </w:pPr>
          </w:p>
        </w:tc>
      </w:tr>
    </w:tbl>
    <w:p w14:paraId="0DAA54FE" w14:textId="411E4700" w:rsidR="00083BBE" w:rsidRPr="00083BBE" w:rsidRDefault="00083BBE" w:rsidP="00083BBE">
      <w:pPr>
        <w:rPr>
          <w:rFonts w:ascii="Times New Roman" w:eastAsiaTheme="minorEastAsia" w:hAnsi="Times New Roman" w:cs="Times New Roman"/>
        </w:rPr>
      </w:pPr>
    </w:p>
    <w:sectPr w:rsidR="00083BBE" w:rsidRPr="00083BBE">
      <w:headerReference w:type="default" r:id="rId8"/>
      <w:foot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CECD" w14:textId="77777777" w:rsidR="00CA0E10" w:rsidRDefault="00CA0E10">
      <w:pPr>
        <w:spacing w:after="0" w:line="240" w:lineRule="auto"/>
      </w:pPr>
      <w:r>
        <w:separator/>
      </w:r>
    </w:p>
  </w:endnote>
  <w:endnote w:type="continuationSeparator" w:id="0">
    <w:p w14:paraId="375D8C72" w14:textId="77777777" w:rsidR="00CA0E10" w:rsidRDefault="00CA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6FA6E1" w14:paraId="121D9A65" w14:textId="77777777" w:rsidTr="496FA6E1">
      <w:trPr>
        <w:trHeight w:val="300"/>
      </w:trPr>
      <w:tc>
        <w:tcPr>
          <w:tcW w:w="3320" w:type="dxa"/>
        </w:tcPr>
        <w:p w14:paraId="019C9DEA" w14:textId="3D3B717C" w:rsidR="496FA6E1" w:rsidRPr="00927BF5" w:rsidRDefault="496FA6E1" w:rsidP="496FA6E1">
          <w:pPr>
            <w:pStyle w:val="Header"/>
            <w:ind w:left="-115"/>
            <w:rPr>
              <w:rFonts w:eastAsia="Yu Gothic"/>
            </w:rPr>
          </w:pPr>
        </w:p>
      </w:tc>
      <w:tc>
        <w:tcPr>
          <w:tcW w:w="3320" w:type="dxa"/>
        </w:tcPr>
        <w:p w14:paraId="560E5C1A" w14:textId="7D4F6D6A" w:rsidR="496FA6E1" w:rsidRPr="00927BF5" w:rsidRDefault="496FA6E1" w:rsidP="496FA6E1">
          <w:pPr>
            <w:pStyle w:val="Header"/>
            <w:jc w:val="center"/>
            <w:rPr>
              <w:rFonts w:eastAsia="Yu Gothic"/>
            </w:rPr>
          </w:pPr>
        </w:p>
      </w:tc>
      <w:tc>
        <w:tcPr>
          <w:tcW w:w="3320" w:type="dxa"/>
        </w:tcPr>
        <w:p w14:paraId="3DEB1BA3" w14:textId="18ACBF9E" w:rsidR="496FA6E1" w:rsidRPr="00927BF5" w:rsidRDefault="496FA6E1" w:rsidP="496FA6E1">
          <w:pPr>
            <w:pStyle w:val="Header"/>
            <w:ind w:right="-115"/>
            <w:jc w:val="right"/>
            <w:rPr>
              <w:rFonts w:eastAsia="Yu Gothic"/>
            </w:rPr>
          </w:pPr>
        </w:p>
      </w:tc>
    </w:tr>
  </w:tbl>
  <w:p w14:paraId="1D4D003E" w14:textId="7E9C8235" w:rsidR="496FA6E1" w:rsidRPr="00927BF5" w:rsidRDefault="496FA6E1" w:rsidP="496FA6E1">
    <w:pPr>
      <w:pStyle w:val="Footer"/>
      <w:rPr>
        <w:rFonts w:eastAsia="Yu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102B" w14:textId="77777777" w:rsidR="00CA0E10" w:rsidRDefault="00CA0E10">
      <w:pPr>
        <w:spacing w:after="0" w:line="240" w:lineRule="auto"/>
      </w:pPr>
      <w:r>
        <w:separator/>
      </w:r>
    </w:p>
  </w:footnote>
  <w:footnote w:type="continuationSeparator" w:id="0">
    <w:p w14:paraId="1EC4FDA3" w14:textId="77777777" w:rsidR="00CA0E10" w:rsidRDefault="00CA0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6FA6E1" w14:paraId="3B508D03" w14:textId="77777777" w:rsidTr="496FA6E1">
      <w:trPr>
        <w:trHeight w:val="300"/>
      </w:trPr>
      <w:tc>
        <w:tcPr>
          <w:tcW w:w="3320" w:type="dxa"/>
        </w:tcPr>
        <w:p w14:paraId="5FD477E8" w14:textId="25C8EA79" w:rsidR="496FA6E1" w:rsidRPr="00927BF5" w:rsidRDefault="496FA6E1" w:rsidP="496FA6E1">
          <w:pPr>
            <w:pStyle w:val="Header"/>
            <w:ind w:left="-115"/>
            <w:rPr>
              <w:rFonts w:eastAsia="Yu Gothic"/>
            </w:rPr>
          </w:pPr>
        </w:p>
      </w:tc>
      <w:tc>
        <w:tcPr>
          <w:tcW w:w="3320" w:type="dxa"/>
        </w:tcPr>
        <w:p w14:paraId="662C61CF" w14:textId="71F65DCB" w:rsidR="496FA6E1" w:rsidRPr="00927BF5" w:rsidRDefault="496FA6E1" w:rsidP="496FA6E1">
          <w:pPr>
            <w:pStyle w:val="Header"/>
            <w:jc w:val="center"/>
            <w:rPr>
              <w:rFonts w:eastAsia="Yu Gothic"/>
            </w:rPr>
          </w:pPr>
        </w:p>
      </w:tc>
      <w:tc>
        <w:tcPr>
          <w:tcW w:w="3320" w:type="dxa"/>
        </w:tcPr>
        <w:p w14:paraId="73FAA09B" w14:textId="5CA26A90" w:rsidR="496FA6E1" w:rsidRPr="00927BF5" w:rsidRDefault="496FA6E1" w:rsidP="496FA6E1">
          <w:pPr>
            <w:pStyle w:val="Header"/>
            <w:ind w:right="-115"/>
            <w:jc w:val="right"/>
            <w:rPr>
              <w:rFonts w:eastAsia="Yu Gothic"/>
            </w:rPr>
          </w:pPr>
        </w:p>
      </w:tc>
    </w:tr>
  </w:tbl>
  <w:p w14:paraId="3865033D" w14:textId="511F85AA" w:rsidR="496FA6E1" w:rsidRPr="00927BF5" w:rsidRDefault="496FA6E1" w:rsidP="496FA6E1">
    <w:pPr>
      <w:pStyle w:val="Header"/>
      <w:rPr>
        <w:rFonts w:eastAsia="Yu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B1"/>
    <w:rsid w:val="00014EF4"/>
    <w:rsid w:val="000213B5"/>
    <w:rsid w:val="000420A7"/>
    <w:rsid w:val="000443B1"/>
    <w:rsid w:val="0006199E"/>
    <w:rsid w:val="00075EA7"/>
    <w:rsid w:val="00082B4A"/>
    <w:rsid w:val="00083BBE"/>
    <w:rsid w:val="00092415"/>
    <w:rsid w:val="000A4862"/>
    <w:rsid w:val="000B5800"/>
    <w:rsid w:val="000B63C5"/>
    <w:rsid w:val="000C64D0"/>
    <w:rsid w:val="000E7E85"/>
    <w:rsid w:val="000F22B1"/>
    <w:rsid w:val="00114E75"/>
    <w:rsid w:val="00122C69"/>
    <w:rsid w:val="00146D73"/>
    <w:rsid w:val="00153A01"/>
    <w:rsid w:val="00154F3A"/>
    <w:rsid w:val="00162422"/>
    <w:rsid w:val="00193E8A"/>
    <w:rsid w:val="00195B22"/>
    <w:rsid w:val="001B7A01"/>
    <w:rsid w:val="001D2E4F"/>
    <w:rsid w:val="001D65BC"/>
    <w:rsid w:val="001E629D"/>
    <w:rsid w:val="001F29B1"/>
    <w:rsid w:val="00212053"/>
    <w:rsid w:val="0021458E"/>
    <w:rsid w:val="002200D8"/>
    <w:rsid w:val="002A3063"/>
    <w:rsid w:val="002B7A1E"/>
    <w:rsid w:val="002D04C2"/>
    <w:rsid w:val="002D27CD"/>
    <w:rsid w:val="002D4B3F"/>
    <w:rsid w:val="002E2616"/>
    <w:rsid w:val="002E7A6A"/>
    <w:rsid w:val="002F37D7"/>
    <w:rsid w:val="002F4088"/>
    <w:rsid w:val="002F709F"/>
    <w:rsid w:val="003037E6"/>
    <w:rsid w:val="00334756"/>
    <w:rsid w:val="00340F2D"/>
    <w:rsid w:val="00343C7D"/>
    <w:rsid w:val="00354354"/>
    <w:rsid w:val="003571C7"/>
    <w:rsid w:val="00374AA1"/>
    <w:rsid w:val="00380568"/>
    <w:rsid w:val="003B7AAE"/>
    <w:rsid w:val="003F281D"/>
    <w:rsid w:val="00402349"/>
    <w:rsid w:val="00415739"/>
    <w:rsid w:val="00415F7C"/>
    <w:rsid w:val="00417026"/>
    <w:rsid w:val="0047030E"/>
    <w:rsid w:val="00474453"/>
    <w:rsid w:val="00483A0C"/>
    <w:rsid w:val="004C1562"/>
    <w:rsid w:val="004F12F1"/>
    <w:rsid w:val="00514E99"/>
    <w:rsid w:val="005533C8"/>
    <w:rsid w:val="00574E60"/>
    <w:rsid w:val="00591834"/>
    <w:rsid w:val="005A311F"/>
    <w:rsid w:val="005C4B4B"/>
    <w:rsid w:val="0060583C"/>
    <w:rsid w:val="006556F5"/>
    <w:rsid w:val="00696DAB"/>
    <w:rsid w:val="006D6F87"/>
    <w:rsid w:val="007160C5"/>
    <w:rsid w:val="007208DA"/>
    <w:rsid w:val="00721518"/>
    <w:rsid w:val="0072481C"/>
    <w:rsid w:val="00730138"/>
    <w:rsid w:val="0074715D"/>
    <w:rsid w:val="00777B8E"/>
    <w:rsid w:val="007A2920"/>
    <w:rsid w:val="007B5933"/>
    <w:rsid w:val="007B6A79"/>
    <w:rsid w:val="007B737E"/>
    <w:rsid w:val="007C300F"/>
    <w:rsid w:val="007E0C25"/>
    <w:rsid w:val="007E14B0"/>
    <w:rsid w:val="007E46B8"/>
    <w:rsid w:val="007F0722"/>
    <w:rsid w:val="0080541F"/>
    <w:rsid w:val="00822B1B"/>
    <w:rsid w:val="00850366"/>
    <w:rsid w:val="00887D85"/>
    <w:rsid w:val="0089610B"/>
    <w:rsid w:val="008B4CCF"/>
    <w:rsid w:val="009124BE"/>
    <w:rsid w:val="00927BF5"/>
    <w:rsid w:val="009420FF"/>
    <w:rsid w:val="009539CB"/>
    <w:rsid w:val="00954F58"/>
    <w:rsid w:val="009574E9"/>
    <w:rsid w:val="00971A66"/>
    <w:rsid w:val="00982385"/>
    <w:rsid w:val="009936AC"/>
    <w:rsid w:val="00995835"/>
    <w:rsid w:val="009C0BD3"/>
    <w:rsid w:val="00A0181F"/>
    <w:rsid w:val="00A12300"/>
    <w:rsid w:val="00A24FD8"/>
    <w:rsid w:val="00A44AB1"/>
    <w:rsid w:val="00A5733F"/>
    <w:rsid w:val="00A63A78"/>
    <w:rsid w:val="00A8094F"/>
    <w:rsid w:val="00A9434B"/>
    <w:rsid w:val="00AB5470"/>
    <w:rsid w:val="00AB5702"/>
    <w:rsid w:val="00AE17E7"/>
    <w:rsid w:val="00AF5CA5"/>
    <w:rsid w:val="00B266B7"/>
    <w:rsid w:val="00B415BC"/>
    <w:rsid w:val="00BA6BC2"/>
    <w:rsid w:val="00C0721B"/>
    <w:rsid w:val="00C20E5F"/>
    <w:rsid w:val="00C67728"/>
    <w:rsid w:val="00C95076"/>
    <w:rsid w:val="00CA0E10"/>
    <w:rsid w:val="00CA700D"/>
    <w:rsid w:val="00CB20A4"/>
    <w:rsid w:val="00CE0558"/>
    <w:rsid w:val="00D04506"/>
    <w:rsid w:val="00D14C6C"/>
    <w:rsid w:val="00D77D40"/>
    <w:rsid w:val="00D94C60"/>
    <w:rsid w:val="00D966EE"/>
    <w:rsid w:val="00DB055B"/>
    <w:rsid w:val="00DB43D9"/>
    <w:rsid w:val="00DD481E"/>
    <w:rsid w:val="00E03844"/>
    <w:rsid w:val="00E42ECB"/>
    <w:rsid w:val="00E449EE"/>
    <w:rsid w:val="00E5628F"/>
    <w:rsid w:val="00E747F4"/>
    <w:rsid w:val="00E8074B"/>
    <w:rsid w:val="00EB0B9D"/>
    <w:rsid w:val="00EB49F6"/>
    <w:rsid w:val="00F63AD0"/>
    <w:rsid w:val="00F834DF"/>
    <w:rsid w:val="00FB2086"/>
    <w:rsid w:val="00FB2BCC"/>
    <w:rsid w:val="00FB657D"/>
    <w:rsid w:val="00FC76DA"/>
    <w:rsid w:val="00FD3B77"/>
    <w:rsid w:val="496FA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DC82"/>
  <w15:chartTrackingRefBased/>
  <w15:docId w15:val="{69E174B5-4CF8-48F0-A88C-526342B8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2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2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2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2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2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2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2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2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2B1"/>
    <w:rPr>
      <w:rFonts w:eastAsiaTheme="majorEastAsia" w:cstheme="majorBidi"/>
      <w:color w:val="272727" w:themeColor="text1" w:themeTint="D8"/>
    </w:rPr>
  </w:style>
  <w:style w:type="paragraph" w:styleId="Title">
    <w:name w:val="Title"/>
    <w:basedOn w:val="Normal"/>
    <w:next w:val="Normal"/>
    <w:link w:val="TitleChar"/>
    <w:uiPriority w:val="10"/>
    <w:qFormat/>
    <w:rsid w:val="000F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2B1"/>
    <w:pPr>
      <w:spacing w:before="160"/>
      <w:jc w:val="center"/>
    </w:pPr>
    <w:rPr>
      <w:i/>
      <w:iCs/>
      <w:color w:val="404040" w:themeColor="text1" w:themeTint="BF"/>
    </w:rPr>
  </w:style>
  <w:style w:type="character" w:customStyle="1" w:styleId="QuoteChar">
    <w:name w:val="Quote Char"/>
    <w:basedOn w:val="DefaultParagraphFont"/>
    <w:link w:val="Quote"/>
    <w:uiPriority w:val="29"/>
    <w:rsid w:val="000F22B1"/>
    <w:rPr>
      <w:i/>
      <w:iCs/>
      <w:color w:val="404040" w:themeColor="text1" w:themeTint="BF"/>
    </w:rPr>
  </w:style>
  <w:style w:type="paragraph" w:styleId="ListParagraph">
    <w:name w:val="List Paragraph"/>
    <w:basedOn w:val="Normal"/>
    <w:uiPriority w:val="34"/>
    <w:qFormat/>
    <w:rsid w:val="000F22B1"/>
    <w:pPr>
      <w:ind w:left="720"/>
      <w:contextualSpacing/>
    </w:pPr>
  </w:style>
  <w:style w:type="character" w:styleId="IntenseEmphasis">
    <w:name w:val="Intense Emphasis"/>
    <w:basedOn w:val="DefaultParagraphFont"/>
    <w:uiPriority w:val="21"/>
    <w:qFormat/>
    <w:rsid w:val="000F22B1"/>
    <w:rPr>
      <w:i/>
      <w:iCs/>
      <w:color w:val="2F5496" w:themeColor="accent1" w:themeShade="BF"/>
    </w:rPr>
  </w:style>
  <w:style w:type="paragraph" w:styleId="IntenseQuote">
    <w:name w:val="Intense Quote"/>
    <w:basedOn w:val="Normal"/>
    <w:next w:val="Normal"/>
    <w:link w:val="IntenseQuoteChar"/>
    <w:uiPriority w:val="30"/>
    <w:qFormat/>
    <w:rsid w:val="000F2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2B1"/>
    <w:rPr>
      <w:i/>
      <w:iCs/>
      <w:color w:val="2F5496" w:themeColor="accent1" w:themeShade="BF"/>
    </w:rPr>
  </w:style>
  <w:style w:type="character" w:styleId="IntenseReference">
    <w:name w:val="Intense Reference"/>
    <w:basedOn w:val="DefaultParagraphFont"/>
    <w:uiPriority w:val="32"/>
    <w:qFormat/>
    <w:rsid w:val="000F22B1"/>
    <w:rPr>
      <w:b/>
      <w:bCs/>
      <w:smallCaps/>
      <w:color w:val="2F5496" w:themeColor="accent1" w:themeShade="BF"/>
      <w:spacing w:val="5"/>
    </w:rPr>
  </w:style>
  <w:style w:type="table" w:styleId="TableGrid">
    <w:name w:val="Table Grid"/>
    <w:basedOn w:val="TableNormal"/>
    <w:uiPriority w:val="39"/>
    <w:rsid w:val="00D94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496FA6E1"/>
    <w:pPr>
      <w:tabs>
        <w:tab w:val="center" w:pos="4680"/>
        <w:tab w:val="right" w:pos="9360"/>
      </w:tabs>
      <w:spacing w:after="0" w:line="240" w:lineRule="auto"/>
    </w:pPr>
  </w:style>
  <w:style w:type="paragraph" w:styleId="Footer">
    <w:name w:val="footer"/>
    <w:basedOn w:val="Normal"/>
    <w:uiPriority w:val="99"/>
    <w:unhideWhenUsed/>
    <w:rsid w:val="496FA6E1"/>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1D2E4F"/>
    <w:rPr>
      <w:sz w:val="16"/>
      <w:szCs w:val="16"/>
    </w:rPr>
  </w:style>
  <w:style w:type="paragraph" w:styleId="CommentText">
    <w:name w:val="annotation text"/>
    <w:basedOn w:val="Normal"/>
    <w:link w:val="CommentTextChar"/>
    <w:uiPriority w:val="99"/>
    <w:unhideWhenUsed/>
    <w:rsid w:val="001D2E4F"/>
    <w:pPr>
      <w:spacing w:line="240" w:lineRule="auto"/>
    </w:pPr>
    <w:rPr>
      <w:sz w:val="20"/>
      <w:szCs w:val="20"/>
    </w:rPr>
  </w:style>
  <w:style w:type="character" w:customStyle="1" w:styleId="CommentTextChar">
    <w:name w:val="Comment Text Char"/>
    <w:basedOn w:val="DefaultParagraphFont"/>
    <w:link w:val="CommentText"/>
    <w:uiPriority w:val="99"/>
    <w:rsid w:val="001D2E4F"/>
    <w:rPr>
      <w:sz w:val="20"/>
      <w:szCs w:val="20"/>
    </w:rPr>
  </w:style>
  <w:style w:type="paragraph" w:styleId="CommentSubject">
    <w:name w:val="annotation subject"/>
    <w:basedOn w:val="CommentText"/>
    <w:next w:val="CommentText"/>
    <w:link w:val="CommentSubjectChar"/>
    <w:uiPriority w:val="99"/>
    <w:semiHidden/>
    <w:unhideWhenUsed/>
    <w:rsid w:val="001D2E4F"/>
    <w:rPr>
      <w:b/>
      <w:bCs/>
    </w:rPr>
  </w:style>
  <w:style w:type="character" w:customStyle="1" w:styleId="CommentSubjectChar">
    <w:name w:val="Comment Subject Char"/>
    <w:basedOn w:val="CommentTextChar"/>
    <w:link w:val="CommentSubject"/>
    <w:uiPriority w:val="99"/>
    <w:semiHidden/>
    <w:rsid w:val="001D2E4F"/>
    <w:rPr>
      <w:b/>
      <w:bCs/>
      <w:sz w:val="20"/>
      <w:szCs w:val="20"/>
    </w:rPr>
  </w:style>
  <w:style w:type="paragraph" w:styleId="Revision">
    <w:name w:val="Revision"/>
    <w:hidden/>
    <w:uiPriority w:val="99"/>
    <w:semiHidden/>
    <w:rsid w:val="007B5933"/>
    <w:pPr>
      <w:spacing w:after="0" w:line="240" w:lineRule="auto"/>
    </w:pPr>
  </w:style>
  <w:style w:type="paragraph" w:customStyle="1" w:styleId="Default">
    <w:name w:val="Default"/>
    <w:rsid w:val="007F0722"/>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unhideWhenUsed/>
    <w:rsid w:val="000B5800"/>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97FC-A33D-436C-B6EC-E748D6ED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6224</Words>
  <Characters>3549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Vencevičienė</dc:creator>
  <cp:keywords/>
  <dc:description/>
  <cp:lastModifiedBy>Morta Vencevičienė</cp:lastModifiedBy>
  <cp:revision>2</cp:revision>
  <dcterms:created xsi:type="dcterms:W3CDTF">2026-07-01T05:06:00Z</dcterms:created>
  <dcterms:modified xsi:type="dcterms:W3CDTF">2026-07-01T05:06:00Z</dcterms:modified>
</cp:coreProperties>
</file>