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45E4311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w:t>
      </w:r>
      <w:r w:rsidR="004723C4">
        <w:rPr>
          <w:rFonts w:asciiTheme="majorHAnsi" w:hAnsiTheme="majorHAnsi"/>
          <w:sz w:val="22"/>
          <w:szCs w:val="22"/>
        </w:rPr>
        <w:t>0</w:t>
      </w:r>
      <w:r w:rsidRPr="00596ED1">
        <w:rPr>
          <w:rFonts w:asciiTheme="majorHAnsi" w:hAnsiTheme="majorHAnsi"/>
          <w:sz w:val="22"/>
          <w:szCs w:val="22"/>
        </w:rPr>
        <w:t xml:space="preserve"> 37) 32 63 60, (</w:t>
      </w:r>
      <w:r w:rsidR="004723C4">
        <w:rPr>
          <w:rFonts w:asciiTheme="majorHAnsi" w:hAnsiTheme="majorHAnsi"/>
          <w:sz w:val="22"/>
          <w:szCs w:val="22"/>
        </w:rPr>
        <w:t xml:space="preserve">0 </w:t>
      </w:r>
      <w:r w:rsidRPr="00596ED1">
        <w:rPr>
          <w:rFonts w:asciiTheme="majorHAnsi" w:hAnsiTheme="majorHAnsi"/>
          <w:sz w:val="22"/>
          <w:szCs w:val="22"/>
        </w:rPr>
        <w:t>37) 32 69 75,</w:t>
      </w:r>
    </w:p>
    <w:p w14:paraId="28890BEE" w14:textId="36A16EF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w:t>
      </w:r>
      <w:r w:rsidR="004723C4">
        <w:rPr>
          <w:rFonts w:asciiTheme="majorHAnsi" w:hAnsiTheme="majorHAnsi"/>
          <w:sz w:val="22"/>
          <w:szCs w:val="22"/>
        </w:rPr>
        <w:t>0</w:t>
      </w:r>
      <w:r w:rsidRPr="00596ED1">
        <w:rPr>
          <w:rFonts w:asciiTheme="majorHAnsi" w:hAnsiTheme="majorHAnsi"/>
          <w:sz w:val="22"/>
          <w:szCs w:val="22"/>
        </w:rPr>
        <w:t xml:space="preserve">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63C13BF" w14:textId="69C09F2C" w:rsidR="003E3C91" w:rsidRPr="00596ED1" w:rsidRDefault="00FF4C55" w:rsidP="00B50198">
      <w:pPr>
        <w:jc w:val="center"/>
        <w:rPr>
          <w:rFonts w:asciiTheme="majorHAnsi" w:hAnsiTheme="majorHAnsi"/>
          <w:b/>
          <w:sz w:val="22"/>
          <w:szCs w:val="22"/>
          <w:lang w:val="lt-LT"/>
        </w:rPr>
      </w:pPr>
      <w:r>
        <w:rPr>
          <w:rFonts w:asciiTheme="majorHAnsi" w:hAnsiTheme="majorHAnsi"/>
          <w:b/>
          <w:sz w:val="22"/>
          <w:szCs w:val="22"/>
          <w:lang w:val="lt-LT"/>
        </w:rPr>
        <w:t>VAISIŲ KOKTEILIAI, ŠVIEŽIOS SULTYS</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 xml:space="preserve">Deklaracija </w:t>
      </w:r>
      <w:proofErr w:type="gramStart"/>
      <w:r w:rsidR="003C6DEE" w:rsidRPr="00596ED1">
        <w:rPr>
          <w:rFonts w:asciiTheme="majorHAnsi" w:eastAsia="Calibri" w:hAnsiTheme="majorHAnsi"/>
          <w:sz w:val="22"/>
          <w:szCs w:val="22"/>
        </w:rPr>
        <w:t>dėl</w:t>
      </w:r>
      <w:proofErr w:type="gramEnd"/>
      <w:r w:rsidR="003C6DEE" w:rsidRPr="00596ED1">
        <w:rPr>
          <w:rFonts w:asciiTheme="majorHAnsi" w:eastAsia="Calibri" w:hAnsiTheme="majorHAnsi"/>
          <w:sz w:val="22"/>
          <w:szCs w:val="22"/>
        </w:rPr>
        <w:t xml:space="preserve">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proofErr w:type="gramStart"/>
      <w:r w:rsidR="003C6DEE" w:rsidRPr="00596ED1">
        <w:rPr>
          <w:rFonts w:asciiTheme="majorHAnsi" w:eastAsia="Calibri" w:hAnsiTheme="majorHAnsi"/>
          <w:sz w:val="22"/>
          <w:szCs w:val="22"/>
          <w:bdr w:val="none" w:sz="0" w:space="0" w:color="auto"/>
          <w:lang w:val="lt-LT"/>
        </w:rPr>
        <w:t>dėl</w:t>
      </w:r>
      <w:proofErr w:type="gramEnd"/>
      <w:r w:rsidR="003C6DEE" w:rsidRPr="00596ED1">
        <w:rPr>
          <w:rFonts w:asciiTheme="majorHAnsi" w:eastAsia="Calibri" w:hAnsiTheme="majorHAnsi"/>
          <w:sz w:val="22"/>
          <w:szCs w:val="22"/>
          <w:bdr w:val="none" w:sz="0" w:space="0" w:color="auto"/>
          <w:lang w:val="lt-LT"/>
        </w:rPr>
        <w:t xml:space="preserve">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7B730C1D"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FF4C55">
        <w:rPr>
          <w:rFonts w:asciiTheme="majorHAnsi" w:hAnsiTheme="majorHAnsi"/>
          <w:sz w:val="22"/>
          <w:szCs w:val="22"/>
          <w:lang w:val="lt-LT"/>
        </w:rPr>
        <w:t>vaisių kokteilius, šviežias sultis.</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w:t>
      </w:r>
      <w:proofErr w:type="gramStart"/>
      <w:r w:rsidRPr="00596ED1">
        <w:rPr>
          <w:rFonts w:asciiTheme="majorHAnsi" w:hAnsiTheme="majorHAnsi" w:cs="Times New Roman"/>
        </w:rPr>
        <w:t>dalis</w:t>
      </w:r>
      <w:proofErr w:type="gramEnd"/>
      <w:r w:rsidRPr="00596ED1">
        <w:rPr>
          <w:rFonts w:asciiTheme="majorHAnsi" w:hAnsiTheme="majorHAnsi" w:cs="Times New Roman"/>
        </w:rPr>
        <w:t xml:space="preserve">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28D1A176"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386684">
        <w:rPr>
          <w:rFonts w:asciiTheme="majorHAnsi" w:hAnsiTheme="majorHAnsi"/>
          <w:sz w:val="22"/>
          <w:szCs w:val="22"/>
        </w:rPr>
        <w:t xml:space="preserve"> </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2C2AFE31"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w:t>
      </w:r>
      <w:r w:rsidR="00AE7DA9">
        <w:rPr>
          <w:rFonts w:asciiTheme="majorHAnsi" w:hAnsiTheme="majorHAnsi"/>
          <w:sz w:val="22"/>
          <w:szCs w:val="22"/>
        </w:rPr>
        <w:t xml:space="preserve">a </w:t>
      </w:r>
      <w:r w:rsidR="00FF4C55">
        <w:rPr>
          <w:rFonts w:asciiTheme="majorHAnsi" w:hAnsiTheme="majorHAnsi"/>
          <w:sz w:val="22"/>
          <w:szCs w:val="22"/>
        </w:rPr>
        <w:t xml:space="preserve">vaisių kokteilių, šviežių sulčių pirkimas. </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31223D8C"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FF4C55">
        <w:rPr>
          <w:rFonts w:asciiTheme="majorHAnsi" w:hAnsiTheme="majorHAnsi"/>
          <w:sz w:val="22"/>
          <w:szCs w:val="22"/>
          <w:shd w:val="clear" w:color="auto" w:fill="FFFFFF"/>
        </w:rPr>
        <w:t xml:space="preserve"> 2026-06-04</w:t>
      </w:r>
      <w:r w:rsidRPr="00596ED1">
        <w:rPr>
          <w:rFonts w:asciiTheme="majorHAnsi" w:hAnsiTheme="majorHAnsi"/>
          <w:sz w:val="22"/>
          <w:szCs w:val="22"/>
          <w:shd w:val="clear" w:color="auto" w:fill="FFFFFF"/>
        </w:rPr>
        <w:t xml:space="preserve"> buvo viešai skelbta</w:t>
      </w:r>
      <w:r w:rsidR="00FF4C55">
        <w:rPr>
          <w:rFonts w:asciiTheme="majorHAnsi" w:hAnsiTheme="majorHAnsi"/>
          <w:sz w:val="22"/>
          <w:szCs w:val="22"/>
          <w:shd w:val="clear" w:color="auto" w:fill="FFFFFF"/>
        </w:rPr>
        <w:t xml:space="preserve"> </w:t>
      </w:r>
      <w:r w:rsidRPr="00596ED1">
        <w:rPr>
          <w:rFonts w:asciiTheme="majorHAnsi" w:hAnsiTheme="majorHAnsi"/>
          <w:sz w:val="22"/>
          <w:szCs w:val="22"/>
          <w:shd w:val="clear" w:color="auto" w:fill="FFFFFF"/>
        </w:rPr>
        <w:t>išankstinė rinkos konsultacija dėl</w:t>
      </w:r>
      <w:r w:rsidR="00195D3F" w:rsidRPr="00596ED1">
        <w:rPr>
          <w:rFonts w:asciiTheme="majorHAnsi" w:hAnsiTheme="majorHAnsi"/>
          <w:sz w:val="22"/>
          <w:szCs w:val="22"/>
          <w:shd w:val="clear" w:color="auto" w:fill="FFFFFF"/>
        </w:rPr>
        <w:t xml:space="preserve"> </w:t>
      </w:r>
      <w:r w:rsidR="00FF4C55">
        <w:rPr>
          <w:rFonts w:asciiTheme="majorHAnsi" w:hAnsiTheme="majorHAnsi"/>
          <w:sz w:val="22"/>
          <w:szCs w:val="22"/>
          <w:shd w:val="clear" w:color="auto" w:fill="FFFFFF"/>
        </w:rPr>
        <w:t>vaisių kokteilių, šviežių sulčių</w:t>
      </w:r>
      <w:r w:rsidR="00195D3F" w:rsidRPr="002855DA">
        <w:rPr>
          <w:rFonts w:asciiTheme="majorHAnsi" w:hAnsiTheme="majorHAnsi"/>
          <w: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FF4C55">
        <w:rPr>
          <w:rFonts w:asciiTheme="majorHAnsi" w:hAnsiTheme="majorHAnsi"/>
          <w:bCs/>
          <w:i/>
          <w:sz w:val="22"/>
          <w:szCs w:val="22"/>
          <w:lang w:val="lt-LT"/>
        </w:rPr>
        <w:t>8215460</w:t>
      </w:r>
      <w:r w:rsidR="002855DA">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656DB066" w:rsidR="0049675F" w:rsidRPr="00C7207A"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Pr="00596EF7">
        <w:rPr>
          <w:rFonts w:asciiTheme="majorHAnsi" w:hAnsiTheme="majorHAnsi"/>
          <w:b/>
          <w:lang w:eastAsia="lt-LT"/>
        </w:rPr>
        <w:t>skirstomas į</w:t>
      </w:r>
      <w:r w:rsidR="00596EF7" w:rsidRPr="00596EF7">
        <w:rPr>
          <w:rFonts w:asciiTheme="majorHAnsi" w:hAnsiTheme="majorHAnsi"/>
          <w:b/>
          <w:lang w:eastAsia="lt-LT"/>
        </w:rPr>
        <w:t xml:space="preserve"> </w:t>
      </w:r>
      <w:r w:rsidR="00AE7DA9">
        <w:rPr>
          <w:rFonts w:asciiTheme="majorHAnsi" w:hAnsiTheme="majorHAnsi"/>
          <w:b/>
          <w:lang w:eastAsia="lt-LT"/>
        </w:rPr>
        <w:t>2</w:t>
      </w:r>
      <w:r w:rsidR="00350AD3">
        <w:rPr>
          <w:rFonts w:asciiTheme="majorHAnsi" w:hAnsiTheme="majorHAnsi"/>
          <w:b/>
          <w:lang w:eastAsia="lt-LT"/>
        </w:rPr>
        <w:t xml:space="preserve"> </w:t>
      </w:r>
      <w:r w:rsidR="00AE7DA9">
        <w:rPr>
          <w:rFonts w:asciiTheme="majorHAnsi" w:hAnsiTheme="majorHAnsi"/>
          <w:b/>
          <w:lang w:eastAsia="lt-LT"/>
        </w:rPr>
        <w:t xml:space="preserve">atskiras </w:t>
      </w:r>
      <w:r w:rsidRPr="00596EF7">
        <w:rPr>
          <w:rFonts w:asciiTheme="majorHAnsi" w:hAnsiTheme="majorHAnsi"/>
          <w:b/>
          <w:lang w:eastAsia="lt-LT"/>
        </w:rPr>
        <w:t>pirkimo dali</w:t>
      </w:r>
      <w:r w:rsidR="00350AD3">
        <w:rPr>
          <w:rFonts w:asciiTheme="majorHAnsi" w:hAnsiTheme="majorHAnsi"/>
          <w:b/>
          <w:lang w:eastAsia="lt-LT"/>
        </w:rPr>
        <w:t>s</w:t>
      </w:r>
      <w:r w:rsidR="00C7207A">
        <w:rPr>
          <w:rFonts w:asciiTheme="majorHAnsi" w:hAnsiTheme="majorHAnsi"/>
          <w:b/>
          <w:lang w:eastAsia="lt-LT"/>
        </w:rPr>
        <w:t xml:space="preserve"> </w:t>
      </w:r>
      <w:r w:rsidR="00C7207A" w:rsidRPr="00C7207A">
        <w:rPr>
          <w:rFonts w:asciiTheme="majorHAnsi" w:hAnsiTheme="majorHAnsi"/>
          <w:lang w:eastAsia="lt-LT"/>
        </w:rPr>
        <w:t xml:space="preserve">(viso </w:t>
      </w:r>
      <w:r w:rsidR="00AE7DA9">
        <w:rPr>
          <w:rFonts w:asciiTheme="majorHAnsi" w:hAnsiTheme="majorHAnsi"/>
          <w:lang w:eastAsia="lt-LT"/>
        </w:rPr>
        <w:t>dvi</w:t>
      </w:r>
      <w:r w:rsidR="00C7207A" w:rsidRPr="00C7207A">
        <w:rPr>
          <w:rFonts w:asciiTheme="majorHAnsi" w:hAnsiTheme="majorHAnsi"/>
          <w:lang w:eastAsia="lt-LT"/>
        </w:rPr>
        <w:t xml:space="preserve"> pirkimo dalys):</w:t>
      </w:r>
    </w:p>
    <w:p w14:paraId="7BC6FB23" w14:textId="2280EA6F" w:rsidR="00C7207A" w:rsidRPr="005352ED" w:rsidRDefault="00C7207A" w:rsidP="00C7207A">
      <w:pPr>
        <w:tabs>
          <w:tab w:val="left" w:pos="851"/>
          <w:tab w:val="left" w:pos="993"/>
          <w:tab w:val="left" w:pos="1134"/>
          <w:tab w:val="left" w:pos="1276"/>
          <w:tab w:val="left" w:pos="1560"/>
          <w:tab w:val="left" w:pos="2127"/>
        </w:tabs>
        <w:ind w:left="710" w:firstLine="566"/>
        <w:jc w:val="both"/>
        <w:rPr>
          <w:sz w:val="22"/>
          <w:szCs w:val="22"/>
          <w:lang w:eastAsia="ar-SA"/>
        </w:rPr>
      </w:pPr>
      <w:r w:rsidRPr="005352ED">
        <w:rPr>
          <w:sz w:val="22"/>
          <w:szCs w:val="22"/>
          <w:lang w:eastAsia="ar-SA"/>
        </w:rPr>
        <w:t xml:space="preserve">1. </w:t>
      </w:r>
      <w:r w:rsidR="00FF4C55" w:rsidRPr="005352ED">
        <w:rPr>
          <w:sz w:val="22"/>
          <w:szCs w:val="22"/>
          <w:lang w:eastAsia="ar-SA"/>
        </w:rPr>
        <w:t>Vaisių kokteiliai;</w:t>
      </w:r>
    </w:p>
    <w:p w14:paraId="4ACEECEF" w14:textId="4126AD44" w:rsidR="002855DA" w:rsidRPr="005352ED" w:rsidRDefault="00C7207A" w:rsidP="00C7207A">
      <w:pPr>
        <w:tabs>
          <w:tab w:val="left" w:pos="851"/>
          <w:tab w:val="left" w:pos="993"/>
          <w:tab w:val="left" w:pos="1134"/>
          <w:tab w:val="left" w:pos="1276"/>
          <w:tab w:val="left" w:pos="1560"/>
          <w:tab w:val="left" w:pos="2127"/>
        </w:tabs>
        <w:ind w:left="710" w:firstLine="566"/>
        <w:jc w:val="both"/>
        <w:rPr>
          <w:sz w:val="22"/>
          <w:szCs w:val="22"/>
          <w:lang w:eastAsia="ar-SA"/>
        </w:rPr>
      </w:pPr>
      <w:r w:rsidRPr="005352ED">
        <w:rPr>
          <w:sz w:val="22"/>
          <w:szCs w:val="22"/>
          <w:lang w:eastAsia="ar-SA"/>
        </w:rPr>
        <w:t xml:space="preserve">2. </w:t>
      </w:r>
      <w:r w:rsidR="00FF4C55" w:rsidRPr="005352ED">
        <w:rPr>
          <w:sz w:val="22"/>
          <w:szCs w:val="22"/>
          <w:lang w:eastAsia="ar-SA"/>
        </w:rPr>
        <w:t>Šviežios sultys.</w:t>
      </w:r>
    </w:p>
    <w:p w14:paraId="6BD5F3A4" w14:textId="730CE0F4" w:rsidR="0090048C" w:rsidRPr="00B95C50" w:rsidRDefault="002C1E67" w:rsidP="005352ED">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firstLine="284"/>
        <w:jc w:val="both"/>
        <w:rPr>
          <w:b/>
          <w:sz w:val="22"/>
          <w:szCs w:val="22"/>
          <w:u w:val="single"/>
          <w:lang w:eastAsia="ar-SA"/>
        </w:rPr>
      </w:pPr>
      <w:r w:rsidRPr="002C1E67">
        <w:rPr>
          <w:rFonts w:asciiTheme="majorHAnsi" w:hAnsiTheme="majorHAnsi"/>
          <w:lang w:eastAsia="ar-SA"/>
        </w:rPr>
        <w:t xml:space="preserve">           </w:t>
      </w:r>
      <w:r w:rsidR="007E0840">
        <w:rPr>
          <w:rFonts w:asciiTheme="majorHAnsi" w:hAnsiTheme="majorHAnsi"/>
          <w:lang w:eastAsia="ar-SA"/>
        </w:rPr>
        <w:t xml:space="preserve">2.5. </w:t>
      </w:r>
      <w:r w:rsidR="008E1CCD" w:rsidRPr="00596ED1">
        <w:rPr>
          <w:rFonts w:asciiTheme="majorHAnsi" w:hAnsiTheme="majorHAnsi"/>
          <w:lang w:eastAsia="lt-LT"/>
        </w:rPr>
        <w:t xml:space="preserve">Dalyvis gali </w:t>
      </w:r>
      <w:r w:rsidR="0090048C" w:rsidRPr="000C218F">
        <w:rPr>
          <w:sz w:val="22"/>
          <w:szCs w:val="22"/>
          <w:lang w:eastAsia="lt-LT"/>
        </w:rPr>
        <w:t>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90048C" w:rsidRPr="00B95C50">
        <w:rPr>
          <w:sz w:val="22"/>
          <w:szCs w:val="22"/>
          <w:lang w:eastAsia="ar-SA"/>
        </w:rPr>
        <w:t>.</w:t>
      </w:r>
    </w:p>
    <w:p w14:paraId="28890C4F" w14:textId="04F91941" w:rsidR="008E1CCD" w:rsidRPr="00677326" w:rsidRDefault="007E0840" w:rsidP="007E0840">
      <w:pPr>
        <w:pStyle w:val="Body2"/>
        <w:tabs>
          <w:tab w:val="left" w:pos="709"/>
        </w:tabs>
        <w:spacing w:after="0"/>
        <w:ind w:firstLine="851"/>
        <w:rPr>
          <w:rFonts w:cs="Times New Roman"/>
        </w:rPr>
      </w:pPr>
      <w:r>
        <w:rPr>
          <w:rFonts w:asciiTheme="majorHAnsi" w:hAnsiTheme="majorHAnsi" w:cs="Times New Roman"/>
        </w:rPr>
        <w:t xml:space="preserve">2.6. </w:t>
      </w:r>
      <w:r w:rsidR="008E1CCD" w:rsidRPr="00596ED1">
        <w:rPr>
          <w:rFonts w:asciiTheme="majorHAnsi" w:hAnsiTheme="majorHAnsi" w:cs="Times New Roman"/>
        </w:rPr>
        <w:t xml:space="preserve">Prekių pristatymo vieta yra </w:t>
      </w:r>
      <w:r w:rsidR="008E1CCD" w:rsidRPr="00596ED1">
        <w:rPr>
          <w:rFonts w:asciiTheme="majorHAnsi" w:hAnsiTheme="majorHAnsi" w:cs="Times New Roman"/>
          <w:iCs/>
        </w:rPr>
        <w:t>Lietuvos sveikatos mokslų universiteto ligoninė Kauno klinikos</w:t>
      </w:r>
      <w:r w:rsidR="008E1CCD" w:rsidRPr="00596ED1">
        <w:rPr>
          <w:rFonts w:asciiTheme="majorHAnsi" w:hAnsiTheme="majorHAnsi" w:cs="Times New Roman"/>
          <w:shd w:val="clear" w:color="auto" w:fill="FFFFFF"/>
        </w:rPr>
        <w:t>,</w:t>
      </w:r>
      <w:r w:rsidR="008E1CCD" w:rsidRPr="00596ED1">
        <w:rPr>
          <w:rFonts w:asciiTheme="majorHAnsi" w:hAnsiTheme="majorHAnsi" w:cs="Times New Roman"/>
          <w:iCs/>
        </w:rPr>
        <w:t xml:space="preserve"> adresas Eivenių g. 2, LT-50161 </w:t>
      </w:r>
      <w:r w:rsidR="008E1CCD" w:rsidRPr="00677326">
        <w:rPr>
          <w:rFonts w:asciiTheme="majorHAnsi" w:hAnsiTheme="majorHAnsi" w:cs="Times New Roman"/>
          <w:iCs/>
        </w:rPr>
        <w:t>Kaunas</w:t>
      </w:r>
      <w:r w:rsidR="00677326" w:rsidRPr="00677326">
        <w:rPr>
          <w:rFonts w:cs="Times New Roman"/>
          <w:kern w:val="2"/>
        </w:rPr>
        <w:t>.</w:t>
      </w:r>
    </w:p>
    <w:p w14:paraId="28890C50" w14:textId="397AD476" w:rsidR="008E1CCD" w:rsidRPr="00596ED1" w:rsidRDefault="007E0840" w:rsidP="007E0840">
      <w:pPr>
        <w:pStyle w:val="Body2"/>
        <w:spacing w:after="0"/>
        <w:rPr>
          <w:rFonts w:asciiTheme="majorHAnsi" w:hAnsiTheme="majorHAnsi" w:cs="Times New Roman"/>
        </w:rPr>
      </w:pPr>
      <w:r>
        <w:rPr>
          <w:rFonts w:asciiTheme="majorHAnsi" w:hAnsiTheme="majorHAnsi" w:cs="Times New Roman"/>
        </w:rPr>
        <w:t xml:space="preserve">                  2.7. </w:t>
      </w:r>
      <w:r w:rsidR="008E1CCD"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596ED1"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rFonts w:asciiTheme="majorHAnsi" w:hAnsiTheme="majorHAnsi"/>
          <w:b/>
          <w:sz w:val="22"/>
          <w:szCs w:val="22"/>
          <w:u w:val="single"/>
          <w:lang w:eastAsia="ar-SA"/>
        </w:rPr>
      </w:pPr>
      <w:r>
        <w:rPr>
          <w:rFonts w:asciiTheme="majorHAnsi" w:hAnsiTheme="majorHAnsi"/>
          <w:sz w:val="22"/>
          <w:szCs w:val="22"/>
        </w:rPr>
        <w:t xml:space="preserve">2.8. </w:t>
      </w:r>
      <w:r w:rsidR="008E1CCD" w:rsidRPr="00596ED1">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008E1CCD" w:rsidRPr="00596ED1">
        <w:rPr>
          <w:rFonts w:asciiTheme="majorHAnsi" w:hAnsiTheme="majorHAnsi"/>
          <w:sz w:val="22"/>
          <w:szCs w:val="22"/>
        </w:rPr>
        <w:t>dėl</w:t>
      </w:r>
      <w:proofErr w:type="gramEnd"/>
      <w:r w:rsidR="008E1CCD" w:rsidRPr="00596ED1">
        <w:rPr>
          <w:rFonts w:asciiTheme="majorHAnsi" w:hAnsiTheme="majorHAnsi"/>
          <w:sz w:val="22"/>
          <w:szCs w:val="22"/>
        </w:rPr>
        <w:t xml:space="preserve"> kurių pirkimas tampa nebetikslingas ar jį įvykdžius būtų įsigytas perkančiosios organizacijos poreikių neatitinkantis pirkimo objektas.</w:t>
      </w:r>
    </w:p>
    <w:p w14:paraId="28890C52" w14:textId="48C8665C" w:rsidR="008E1CCD" w:rsidRPr="00596ED1"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rFonts w:asciiTheme="majorHAnsi" w:hAnsiTheme="majorHAnsi"/>
          <w:b/>
          <w:sz w:val="22"/>
          <w:szCs w:val="22"/>
          <w:u w:val="single"/>
          <w:lang w:eastAsia="ar-SA"/>
        </w:rPr>
      </w:pPr>
      <w:r>
        <w:rPr>
          <w:rFonts w:asciiTheme="majorHAnsi" w:hAnsiTheme="majorHAnsi"/>
          <w:sz w:val="22"/>
          <w:szCs w:val="22"/>
          <w:lang w:eastAsia="lt-LT"/>
        </w:rPr>
        <w:t xml:space="preserve">  </w:t>
      </w:r>
      <w:r w:rsidR="007E0840">
        <w:rPr>
          <w:rFonts w:asciiTheme="majorHAnsi" w:hAnsiTheme="majorHAnsi"/>
          <w:sz w:val="22"/>
          <w:szCs w:val="22"/>
          <w:lang w:eastAsia="lt-LT"/>
        </w:rPr>
        <w:t xml:space="preserve">2.9. </w:t>
      </w:r>
      <w:r w:rsidR="008E1CCD"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EF7994">
        <w:rPr>
          <w:rFonts w:asciiTheme="majorHAnsi" w:hAnsiTheme="majorHAnsi"/>
          <w:b/>
          <w:sz w:val="22"/>
        </w:rPr>
        <w:t>3. </w:t>
      </w:r>
      <w:bookmarkStart w:id="0" w:name="_Toc488306763"/>
      <w:r w:rsidRPr="00EF7994">
        <w:rPr>
          <w:rFonts w:asciiTheme="majorHAnsi" w:hAnsiTheme="majorHAnsi"/>
          <w:b/>
          <w:sz w:val="22"/>
        </w:rPr>
        <w:t>TIEKĖJŲ PAŠALINIMO PAGRINDAI</w:t>
      </w:r>
      <w:r w:rsidRPr="00EF7994">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3.7.1. </w:t>
      </w:r>
      <w:proofErr w:type="gramStart"/>
      <w:r w:rsidRPr="00596ED1">
        <w:rPr>
          <w:rFonts w:asciiTheme="majorHAnsi" w:hAnsiTheme="majorHAnsi"/>
          <w:color w:val="000000"/>
          <w:sz w:val="22"/>
          <w:szCs w:val="22"/>
          <w:lang w:eastAsia="lt-LT"/>
        </w:rPr>
        <w:t>priesaikos</w:t>
      </w:r>
      <w:proofErr w:type="gramEnd"/>
      <w:r w:rsidRPr="00596ED1">
        <w:rPr>
          <w:rFonts w:asciiTheme="majorHAnsi" w:hAnsiTheme="majorHAnsi"/>
          <w:color w:val="000000"/>
          <w:sz w:val="22"/>
          <w:szCs w:val="22"/>
          <w:lang w:eastAsia="lt-LT"/>
        </w:rPr>
        <w:t xml:space="preserve">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3.7.2. </w:t>
      </w:r>
      <w:proofErr w:type="gramStart"/>
      <w:r w:rsidRPr="00596ED1">
        <w:rPr>
          <w:rFonts w:asciiTheme="majorHAnsi" w:hAnsiTheme="majorHAnsi"/>
          <w:color w:val="000000"/>
          <w:sz w:val="22"/>
          <w:szCs w:val="22"/>
          <w:lang w:eastAsia="lt-LT"/>
        </w:rPr>
        <w:t>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proofErr w:type="gramEnd"/>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w:t>
            </w:r>
            <w:r w:rsidRPr="00596ED1">
              <w:rPr>
                <w:rFonts w:asciiTheme="majorHAnsi" w:hAnsiTheme="majorHAnsi"/>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596ED1">
              <w:rPr>
                <w:rFonts w:asciiTheme="majorHAnsi" w:hAnsiTheme="majorHAnsi"/>
                <w:sz w:val="22"/>
                <w:szCs w:val="22"/>
              </w:rPr>
              <w:lastRenderedPageBreak/>
              <w:t xml:space="preserve">pasirašyti tiekėjo finansinės apskaitos dokumentus (supaprastinto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proofErr w:type="gramStart"/>
            <w:r w:rsidRPr="00596ED1">
              <w:rPr>
                <w:rFonts w:asciiTheme="majorHAnsi" w:hAnsiTheme="majorHAnsi"/>
                <w:color w:val="000000"/>
                <w:sz w:val="22"/>
                <w:szCs w:val="22"/>
                <w:lang w:eastAsia="lt-LT"/>
              </w:rPr>
              <w:t>atitinkamos</w:t>
            </w:r>
            <w:proofErr w:type="gramEnd"/>
            <w:r w:rsidRPr="00596ED1">
              <w:rPr>
                <w:rFonts w:asciiTheme="majorHAnsi" w:hAnsiTheme="majorHAnsi"/>
                <w:color w:val="000000"/>
                <w:sz w:val="22"/>
                <w:szCs w:val="22"/>
                <w:lang w:eastAsia="lt-LT"/>
              </w:rPr>
              <w:t xml:space="preserve">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lastRenderedPageBreak/>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arba</w:t>
            </w:r>
            <w:proofErr w:type="gramEnd"/>
            <w:r w:rsidRPr="00596ED1">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 xml:space="preserve">Nurodyti dokumentai turi </w:t>
            </w:r>
            <w:proofErr w:type="gramStart"/>
            <w:r w:rsidRPr="00596ED1">
              <w:rPr>
                <w:rFonts w:asciiTheme="majorHAnsi" w:hAnsiTheme="majorHAnsi"/>
                <w:bCs/>
                <w:color w:val="000000"/>
                <w:sz w:val="22"/>
                <w:szCs w:val="22"/>
                <w:lang w:eastAsia="lt-LT"/>
              </w:rPr>
              <w:t>būti  išduoti</w:t>
            </w:r>
            <w:proofErr w:type="gramEnd"/>
            <w:r w:rsidRPr="00596ED1">
              <w:rPr>
                <w:rFonts w:asciiTheme="majorHAnsi" w:hAnsiTheme="majorHAnsi"/>
                <w:bCs/>
                <w:color w:val="000000"/>
                <w:sz w:val="22"/>
                <w:szCs w:val="22"/>
                <w:lang w:eastAsia="lt-LT"/>
              </w:rPr>
              <w:t xml:space="preserve">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96ED1">
              <w:rPr>
                <w:rFonts w:asciiTheme="majorHAnsi" w:hAnsiTheme="majorHAnsi"/>
                <w:bCs/>
                <w:color w:val="000000"/>
                <w:sz w:val="22"/>
                <w:szCs w:val="22"/>
                <w:lang w:eastAsia="lt-LT"/>
              </w:rPr>
              <w:t>“ nustatyta</w:t>
            </w:r>
            <w:proofErr w:type="gramEnd"/>
            <w:r w:rsidRPr="00596ED1">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ED1">
              <w:rPr>
                <w:rFonts w:asciiTheme="majorHAnsi" w:hAnsiTheme="majorHAnsi"/>
                <w:bCs/>
                <w:color w:val="000000"/>
                <w:sz w:val="22"/>
                <w:szCs w:val="22"/>
                <w:lang w:eastAsia="lt-LT"/>
              </w:rPr>
              <w:lastRenderedPageBreak/>
              <w:t>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w:t>
            </w:r>
            <w:r w:rsidRPr="00596ED1">
              <w:rPr>
                <w:rFonts w:asciiTheme="majorHAnsi" w:hAnsiTheme="majorHAnsi"/>
                <w:sz w:val="22"/>
                <w:szCs w:val="22"/>
                <w:lang w:eastAsia="lt-LT"/>
              </w:rPr>
              <w:lastRenderedPageBreak/>
              <w:t xml:space="preserve">įrodyti bet kokiomis teisėtomis priemonėmis, arba tiekėjas dėl pateiktos melagingos informacijos negali pateikti patvirtinančių 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w:t>
            </w:r>
            <w:r w:rsidRPr="00596ED1">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28890CD1" w14:textId="77777777" w:rsidR="00201F4E" w:rsidRPr="00596ED1" w:rsidRDefault="00ED39D2"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ED39D2"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ED39D2"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w:t>
            </w:r>
            <w:r w:rsidRPr="00596ED1">
              <w:rPr>
                <w:rFonts w:asciiTheme="majorHAnsi" w:hAnsiTheme="majorHAnsi"/>
                <w:sz w:val="22"/>
                <w:szCs w:val="22"/>
                <w:lang w:eastAsia="lt-LT"/>
              </w:rPr>
              <w:lastRenderedPageBreak/>
              <w:t>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w:t>
            </w:r>
            <w:r w:rsidRPr="00596ED1">
              <w:rPr>
                <w:rFonts w:asciiTheme="majorHAnsi" w:hAnsiTheme="majorHAnsi"/>
                <w:color w:val="000000"/>
                <w:sz w:val="22"/>
                <w:szCs w:val="22"/>
                <w:lang w:eastAsia="lt-LT"/>
              </w:rPr>
              <w:lastRenderedPageBreak/>
              <w:t xml:space="preserve">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paskelbtą informaciją, taip pat į šiame informaciniame pranešime pateiktą informaciją:</w:t>
            </w:r>
          </w:p>
          <w:p w14:paraId="28890CF8" w14:textId="77777777" w:rsidR="00201F4E" w:rsidRPr="00596ED1" w:rsidRDefault="00ED39D2"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ED39D2"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Pastabos: </w:t>
      </w:r>
    </w:p>
    <w:p w14:paraId="3A9F20C9" w14:textId="120A2126"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r w:rsidR="00677326">
        <w:rPr>
          <w:rFonts w:asciiTheme="majorHAnsi" w:hAnsiTheme="majorHAnsi"/>
          <w:b/>
          <w:color w:val="000000"/>
          <w:sz w:val="22"/>
          <w:szCs w:val="22"/>
          <w:lang w:val="lt-LT" w:eastAsia="lt-LT"/>
        </w:rPr>
        <w:t>.</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596ED1">
        <w:rPr>
          <w:rFonts w:asciiTheme="majorHAnsi" w:hAnsiTheme="majorHAnsi"/>
          <w:color w:val="000000"/>
          <w:sz w:val="22"/>
          <w:szCs w:val="22"/>
          <w:lang w:eastAsia="lt-LT"/>
        </w:rPr>
        <w:t>dal</w:t>
      </w:r>
      <w:r w:rsidR="00D51EF3">
        <w:rPr>
          <w:rFonts w:asciiTheme="majorHAnsi" w:hAnsiTheme="majorHAnsi"/>
          <w:color w:val="000000"/>
          <w:sz w:val="22"/>
          <w:szCs w:val="22"/>
          <w:lang w:eastAsia="lt-LT"/>
        </w:rPr>
        <w:t>į</w:t>
      </w:r>
      <w:proofErr w:type="gramEnd"/>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 xml:space="preserve">Jeigu tiekėjo kvalifikacija </w:t>
      </w:r>
      <w:proofErr w:type="gramStart"/>
      <w:r w:rsidRPr="00596ED1">
        <w:rPr>
          <w:rFonts w:asciiTheme="majorHAnsi" w:hAnsiTheme="majorHAnsi"/>
          <w:color w:val="000000"/>
          <w:sz w:val="22"/>
          <w:szCs w:val="22"/>
          <w:lang w:eastAsia="lt-LT"/>
        </w:rPr>
        <w:t>dėl</w:t>
      </w:r>
      <w:proofErr w:type="gramEnd"/>
      <w:r w:rsidRPr="00596ED1">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1EEB517B" w14:textId="38465003"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sz w:val="22"/>
          <w:szCs w:val="22"/>
          <w:bdr w:val="none" w:sz="0" w:space="0" w:color="auto"/>
          <w:lang w:val="lt-LT" w:eastAsia="lt-LT"/>
        </w:rPr>
        <w:t>3.14.</w:t>
      </w:r>
      <w:r w:rsidRPr="00FA0883">
        <w:rPr>
          <w:rFonts w:ascii="Cambria" w:eastAsia="Times New Roman" w:hAnsi="Cambria"/>
          <w:b/>
          <w:bCs/>
          <w:color w:val="000000"/>
          <w:sz w:val="22"/>
          <w:szCs w:val="22"/>
          <w:bdr w:val="none" w:sz="0" w:space="0" w:color="auto"/>
          <w:lang w:val="lt-LT" w:eastAsia="lt-LT"/>
        </w:rPr>
        <w:t> </w:t>
      </w:r>
      <w:r w:rsidRPr="00FA0883">
        <w:rPr>
          <w:rFonts w:ascii="Cambria" w:eastAsia="Times New Roman" w:hAnsi="Cambria"/>
          <w:color w:val="00000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Pr>
          <w:rFonts w:ascii="Cambria" w:eastAsia="Times New Roman" w:hAnsi="Cambria"/>
          <w:color w:val="000000"/>
          <w:bdr w:val="none" w:sz="0" w:space="0" w:color="auto"/>
          <w:lang w:val="lt-LT" w:eastAsia="lt-LT"/>
        </w:rPr>
        <w:t>7</w:t>
      </w:r>
      <w:r w:rsidRPr="00FA0883">
        <w:rPr>
          <w:rFonts w:ascii="Cambria" w:eastAsia="Times New Roman" w:hAnsi="Cambria"/>
          <w:color w:val="00000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lt-LT" w:eastAsia="lt-LT"/>
        </w:rPr>
      </w:pPr>
      <w:r w:rsidRPr="00FA0883">
        <w:rPr>
          <w:rFonts w:ascii="Cambria" w:eastAsia="Times New Roman" w:hAnsi="Cambria"/>
          <w:b/>
          <w:bCs/>
          <w:i/>
          <w:iCs/>
          <w:color w:val="00000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 xml:space="preserve">ūrose dalyvauja ūkio subjektų grupė, ji pateikia jungtinės veiklos sutartį arba tinkamai patvirtintą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lastRenderedPageBreak/>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 xml:space="preserve">ėjas neatsižvelgia į </w:t>
      </w:r>
      <w:proofErr w:type="gramStart"/>
      <w:r w:rsidRPr="00596ED1">
        <w:rPr>
          <w:rFonts w:asciiTheme="majorHAnsi" w:hAnsiTheme="majorHAnsi" w:cs="Times New Roman"/>
        </w:rPr>
        <w:t>tai</w:t>
      </w:r>
      <w:proofErr w:type="gramEnd"/>
      <w:r w:rsidRPr="00596ED1">
        <w:rPr>
          <w:rFonts w:asciiTheme="majorHAnsi" w:hAnsiTheme="majorHAnsi" w:cs="Times New Roman"/>
        </w:rPr>
        <w:t>,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 xml:space="preserve">ūlymą,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96ED1">
        <w:rPr>
          <w:rFonts w:asciiTheme="majorHAnsi" w:hAnsiTheme="majorHAnsi" w:cs="Times New Roman"/>
        </w:rPr>
        <w:t>pvz.,</w:t>
      </w:r>
      <w:proofErr w:type="gramEnd"/>
      <w:r w:rsidRPr="00596ED1">
        <w:rPr>
          <w:rFonts w:asciiTheme="majorHAnsi" w:hAnsiTheme="majorHAnsi" w:cs="Times New Roman"/>
        </w:rPr>
        <w:t xml:space="preserve">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w:t>
      </w:r>
      <w:proofErr w:type="gramStart"/>
      <w:r w:rsidRPr="00596ED1">
        <w:rPr>
          <w:rFonts w:asciiTheme="majorHAnsi" w:hAnsiTheme="majorHAnsi" w:cs="Times New Roman"/>
          <w:lang w:val="nl-NL"/>
        </w:rPr>
        <w:t>pvz.,</w:t>
      </w:r>
      <w:proofErr w:type="gramEnd"/>
      <w:r w:rsidRPr="00596ED1">
        <w:rPr>
          <w:rFonts w:asciiTheme="majorHAnsi" w:hAnsiTheme="majorHAnsi" w:cs="Times New Roman"/>
          <w:lang w:val="nl-NL"/>
        </w:rPr>
        <w:t xml:space="preserve"> pdf, jpg, doc</w:t>
      </w:r>
      <w:r w:rsidRPr="00596ED1">
        <w:rPr>
          <w:rFonts w:asciiTheme="majorHAnsi" w:hAnsiTheme="majorHAnsi" w:cs="Times New Roman"/>
        </w:rPr>
        <w:t>x ir kt.).</w:t>
      </w:r>
    </w:p>
    <w:p w14:paraId="28890D35" w14:textId="10BC7560"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9E738E">
        <w:rPr>
          <w:rFonts w:asciiTheme="majorHAnsi" w:hAnsiTheme="majorHAnsi" w:cs="Times New Roman"/>
          <w:b/>
          <w:iCs/>
          <w:color w:val="auto"/>
        </w:rPr>
        <w:t>202</w:t>
      </w:r>
      <w:r w:rsidR="00F74DB9" w:rsidRPr="009E738E">
        <w:rPr>
          <w:rFonts w:asciiTheme="majorHAnsi" w:hAnsiTheme="majorHAnsi" w:cs="Times New Roman"/>
          <w:b/>
          <w:iCs/>
          <w:color w:val="auto"/>
        </w:rPr>
        <w:t>6</w:t>
      </w:r>
      <w:r w:rsidR="00D250B4" w:rsidRPr="009E738E">
        <w:rPr>
          <w:rFonts w:asciiTheme="majorHAnsi" w:hAnsiTheme="majorHAnsi" w:cs="Times New Roman"/>
          <w:b/>
          <w:iCs/>
          <w:color w:val="auto"/>
        </w:rPr>
        <w:t xml:space="preserve"> m.</w:t>
      </w:r>
      <w:r w:rsidR="00957128" w:rsidRPr="009E738E">
        <w:rPr>
          <w:rFonts w:asciiTheme="majorHAnsi" w:hAnsiTheme="majorHAnsi" w:cs="Times New Roman"/>
          <w:b/>
          <w:iCs/>
          <w:color w:val="auto"/>
        </w:rPr>
        <w:t xml:space="preserve"> </w:t>
      </w:r>
      <w:r w:rsidR="0004218D" w:rsidRPr="009E738E">
        <w:rPr>
          <w:rFonts w:asciiTheme="majorHAnsi" w:hAnsiTheme="majorHAnsi" w:cs="Times New Roman"/>
          <w:b/>
          <w:iCs/>
          <w:color w:val="auto"/>
        </w:rPr>
        <w:t>rugpjūčio</w:t>
      </w:r>
      <w:r w:rsidR="00957128" w:rsidRPr="009E738E">
        <w:rPr>
          <w:rFonts w:asciiTheme="majorHAnsi" w:hAnsiTheme="majorHAnsi" w:cs="Times New Roman"/>
          <w:b/>
          <w:iCs/>
          <w:color w:val="auto"/>
        </w:rPr>
        <w:t xml:space="preserve"> m</w:t>
      </w:r>
      <w:r w:rsidR="00B47463" w:rsidRPr="009E738E">
        <w:rPr>
          <w:rFonts w:asciiTheme="majorHAnsi" w:hAnsiTheme="majorHAnsi" w:cs="Times New Roman"/>
          <w:b/>
          <w:iCs/>
          <w:color w:val="auto"/>
        </w:rPr>
        <w:t>ėn.</w:t>
      </w:r>
      <w:r w:rsidR="00F74DB9" w:rsidRPr="009E738E">
        <w:rPr>
          <w:rFonts w:asciiTheme="majorHAnsi" w:hAnsiTheme="majorHAnsi" w:cs="Times New Roman"/>
          <w:b/>
          <w:iCs/>
          <w:color w:val="auto"/>
        </w:rPr>
        <w:t xml:space="preserve"> </w:t>
      </w:r>
      <w:r w:rsidR="009E738E" w:rsidRPr="009E738E">
        <w:rPr>
          <w:rFonts w:asciiTheme="majorHAnsi" w:hAnsiTheme="majorHAnsi" w:cs="Times New Roman"/>
          <w:b/>
          <w:iCs/>
          <w:color w:val="auto"/>
        </w:rPr>
        <w:t>7</w:t>
      </w:r>
      <w:r w:rsidR="00150391" w:rsidRPr="009E738E">
        <w:rPr>
          <w:rFonts w:asciiTheme="majorHAnsi" w:hAnsiTheme="majorHAnsi" w:cs="Times New Roman"/>
          <w:b/>
          <w:iCs/>
          <w:color w:val="auto"/>
        </w:rPr>
        <w:t xml:space="preserve"> </w:t>
      </w:r>
      <w:r w:rsidR="007A109C" w:rsidRPr="009E738E">
        <w:rPr>
          <w:rFonts w:asciiTheme="majorHAnsi" w:hAnsiTheme="majorHAnsi" w:cs="Times New Roman"/>
          <w:b/>
          <w:iCs/>
          <w:color w:val="auto"/>
        </w:rPr>
        <w:t xml:space="preserve">d. </w:t>
      </w:r>
      <w:r w:rsidR="00495353" w:rsidRPr="009E738E">
        <w:rPr>
          <w:rFonts w:asciiTheme="majorHAnsi" w:hAnsiTheme="majorHAnsi" w:cs="Times New Roman"/>
          <w:b/>
          <w:iCs/>
          <w:color w:val="auto"/>
        </w:rPr>
        <w:t>09</w:t>
      </w:r>
      <w:r w:rsidR="00C029CC" w:rsidRPr="009E738E">
        <w:rPr>
          <w:rFonts w:asciiTheme="majorHAnsi" w:hAnsiTheme="majorHAnsi" w:cs="Times New Roman"/>
          <w:b/>
          <w:iCs/>
          <w:color w:val="auto"/>
        </w:rPr>
        <w:t>:</w:t>
      </w:r>
      <w:r w:rsidR="003950B6" w:rsidRPr="009E738E">
        <w:rPr>
          <w:rFonts w:asciiTheme="majorHAnsi" w:hAnsiTheme="majorHAnsi" w:cs="Times New Roman"/>
          <w:b/>
          <w:iCs/>
          <w:color w:val="auto"/>
        </w:rPr>
        <w:t>00</w:t>
      </w:r>
      <w:r w:rsidR="007A109C" w:rsidRPr="009E738E">
        <w:rPr>
          <w:rFonts w:asciiTheme="majorHAnsi" w:hAnsiTheme="majorHAnsi" w:cs="Times New Roman"/>
          <w:b/>
          <w:iCs/>
          <w:color w:val="auto"/>
        </w:rPr>
        <w:t xml:space="preserve"> val</w:t>
      </w:r>
      <w:r w:rsidR="007A109C" w:rsidRPr="009E738E">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 xml:space="preserve">ėjas sutinka su šiais pirkimo dokumentais ir patvirtina, kad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40433779"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5.8. Pasiūlyme turi būti nurodytas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9E738E">
        <w:rPr>
          <w:rFonts w:asciiTheme="majorHAnsi" w:hAnsiTheme="majorHAnsi" w:cs="Times New Roman"/>
          <w:b/>
          <w:color w:val="auto"/>
          <w:lang w:val="lt-LT"/>
        </w:rPr>
        <w:t>202</w:t>
      </w:r>
      <w:r w:rsidR="00150391" w:rsidRPr="009E738E">
        <w:rPr>
          <w:rFonts w:asciiTheme="majorHAnsi" w:hAnsiTheme="majorHAnsi" w:cs="Times New Roman"/>
          <w:b/>
          <w:color w:val="auto"/>
          <w:lang w:val="lt-LT"/>
        </w:rPr>
        <w:t>6-</w:t>
      </w:r>
      <w:r w:rsidR="0004218D" w:rsidRPr="009E738E">
        <w:rPr>
          <w:rFonts w:asciiTheme="majorHAnsi" w:hAnsiTheme="majorHAnsi" w:cs="Times New Roman"/>
          <w:b/>
          <w:color w:val="auto"/>
          <w:lang w:val="lt-LT"/>
        </w:rPr>
        <w:t>11-0</w:t>
      </w:r>
      <w:r w:rsidR="009E738E" w:rsidRPr="009E738E">
        <w:rPr>
          <w:rFonts w:asciiTheme="majorHAnsi" w:hAnsiTheme="majorHAnsi" w:cs="Times New Roman"/>
          <w:b/>
          <w:color w:val="auto"/>
          <w:lang w:val="lt-LT"/>
        </w:rPr>
        <w:t>7</w:t>
      </w:r>
      <w:r w:rsidR="007A109C" w:rsidRPr="009E738E">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lastRenderedPageBreak/>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w:t>
      </w:r>
      <w:proofErr w:type="gramStart"/>
      <w:r w:rsidRPr="00596ED1">
        <w:rPr>
          <w:rFonts w:asciiTheme="majorHAnsi" w:hAnsiTheme="majorHAnsi" w:cs="Times New Roman"/>
        </w:rPr>
        <w:t>ko</w:t>
      </w:r>
      <w:proofErr w:type="gramEnd"/>
      <w:r w:rsidRPr="00596ED1">
        <w:rPr>
          <w:rFonts w:asciiTheme="majorHAnsi" w:hAnsiTheme="majorHAnsi" w:cs="Times New Roman"/>
        </w:rPr>
        <w:t xml:space="preserve">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2ED61D2E"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Tiekėjas privalo pateikti gamintojo kokybės pažymėjimą arba lygiavertį dokumentą originalia kalba (jei importuojama) kartu su lietuvišku vertimu</w:t>
      </w:r>
      <w:r w:rsidR="006E6632">
        <w:rPr>
          <w:rFonts w:asciiTheme="majorHAnsi" w:hAnsiTheme="majorHAnsi"/>
          <w:b/>
          <w:sz w:val="22"/>
          <w:szCs w:val="22"/>
        </w:rPr>
        <w:t xml:space="preserve"> </w:t>
      </w:r>
      <w:r w:rsidR="00236E14">
        <w:rPr>
          <w:rFonts w:asciiTheme="majorHAnsi" w:hAnsiTheme="majorHAnsi"/>
          <w:b/>
          <w:sz w:val="22"/>
          <w:szCs w:val="22"/>
        </w:rPr>
        <w:t>–</w:t>
      </w:r>
      <w:r w:rsidR="0061598C" w:rsidRPr="00596ED1">
        <w:rPr>
          <w:rFonts w:asciiTheme="majorHAnsi" w:hAnsiTheme="majorHAnsi"/>
          <w:b/>
          <w:sz w:val="22"/>
          <w:szCs w:val="22"/>
        </w:rPr>
        <w:t xml:space="preserve"> pirmai siuntai bei tuo atveju kai pareiškiamos pretenzijos </w:t>
      </w:r>
      <w:proofErr w:type="gramStart"/>
      <w:r w:rsidR="0061598C" w:rsidRPr="00596ED1">
        <w:rPr>
          <w:rFonts w:asciiTheme="majorHAnsi" w:hAnsiTheme="majorHAnsi"/>
          <w:b/>
          <w:sz w:val="22"/>
          <w:szCs w:val="22"/>
        </w:rPr>
        <w:t>dėl</w:t>
      </w:r>
      <w:proofErr w:type="gramEnd"/>
      <w:r w:rsidR="0061598C" w:rsidRPr="00596ED1">
        <w:rPr>
          <w:rFonts w:asciiTheme="majorHAnsi" w:hAnsiTheme="majorHAnsi"/>
          <w:b/>
          <w:sz w:val="22"/>
          <w:szCs w:val="22"/>
        </w:rPr>
        <w:t xml:space="preserve"> produkcijos kokybės</w:t>
      </w:r>
      <w:r w:rsidR="00EE4057">
        <w:rPr>
          <w:rFonts w:asciiTheme="majorHAnsi" w:hAnsiTheme="majorHAnsi"/>
          <w:b/>
          <w:sz w:val="22"/>
          <w:szCs w:val="22"/>
        </w:rPr>
        <w:t>.</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EF7994" w:rsidRDefault="006F55A5" w:rsidP="007A109C">
      <w:pPr>
        <w:pStyle w:val="Body2"/>
        <w:spacing w:after="0"/>
        <w:ind w:firstLine="709"/>
        <w:rPr>
          <w:rFonts w:asciiTheme="majorHAnsi" w:hAnsiTheme="majorHAnsi" w:cs="Times New Roman"/>
          <w:color w:val="auto"/>
          <w:lang w:val="lt-LT"/>
        </w:rPr>
      </w:pPr>
      <w:r w:rsidRPr="00EF7994">
        <w:rPr>
          <w:rFonts w:asciiTheme="majorHAnsi" w:hAnsiTheme="majorHAnsi" w:cs="Times New Roman"/>
          <w:color w:val="auto"/>
          <w:lang w:val="lt-LT"/>
        </w:rPr>
        <w:t xml:space="preserve">5.11.8. </w:t>
      </w:r>
      <w:r w:rsidRPr="00EF7994">
        <w:rPr>
          <w:rFonts w:asciiTheme="majorHAnsi" w:eastAsia="Calibri" w:hAnsiTheme="majorHAnsi" w:cs="Times New Roman"/>
          <w:color w:val="auto"/>
        </w:rPr>
        <w:t>Deklaracija</w:t>
      </w:r>
      <w:r w:rsidR="00B736A7" w:rsidRPr="00EF7994">
        <w:rPr>
          <w:rFonts w:asciiTheme="majorHAnsi" w:eastAsia="Calibri" w:hAnsiTheme="majorHAnsi" w:cs="Times New Roman"/>
          <w:color w:val="auto"/>
        </w:rPr>
        <w:t xml:space="preserve"> </w:t>
      </w:r>
      <w:proofErr w:type="gramStart"/>
      <w:r w:rsidR="00B736A7" w:rsidRPr="00EF7994">
        <w:rPr>
          <w:rFonts w:asciiTheme="majorHAnsi" w:eastAsia="Calibri" w:hAnsiTheme="majorHAnsi" w:cs="Times New Roman"/>
          <w:color w:val="auto"/>
        </w:rPr>
        <w:t>dėl</w:t>
      </w:r>
      <w:proofErr w:type="gramEnd"/>
      <w:r w:rsidR="00B736A7" w:rsidRPr="00EF7994">
        <w:rPr>
          <w:rFonts w:asciiTheme="majorHAnsi" w:eastAsia="Calibri" w:hAnsiTheme="majorHAnsi" w:cs="Times New Roman"/>
          <w:color w:val="auto"/>
        </w:rPr>
        <w:t xml:space="preserve"> tiekėjo atsakingų asmenų (6</w:t>
      </w:r>
      <w:r w:rsidRPr="00EF7994">
        <w:rPr>
          <w:rFonts w:asciiTheme="majorHAnsi" w:eastAsia="Calibri" w:hAnsiTheme="majorHAnsi" w:cs="Times New Roman"/>
          <w:color w:val="auto"/>
        </w:rPr>
        <w:t xml:space="preserve"> priedas)</w:t>
      </w:r>
      <w:r w:rsidRPr="00EF7994">
        <w:rPr>
          <w:rFonts w:asciiTheme="majorHAnsi" w:hAnsiTheme="majorHAnsi" w:cs="Times New Roman"/>
          <w:color w:val="auto"/>
          <w:lang w:val="lt-LT"/>
        </w:rPr>
        <w:t>;</w:t>
      </w:r>
    </w:p>
    <w:p w14:paraId="3612FE6C" w14:textId="4058BDF6" w:rsidR="00EF7994" w:rsidRPr="00EF7994" w:rsidRDefault="00EF7994" w:rsidP="00EF7994">
      <w:pPr>
        <w:pStyle w:val="xmsonormal"/>
        <w:shd w:val="clear" w:color="auto" w:fill="FFFFFF"/>
        <w:spacing w:before="0" w:beforeAutospacing="0" w:after="0" w:afterAutospacing="0"/>
        <w:ind w:firstLine="567"/>
        <w:jc w:val="both"/>
        <w:rPr>
          <w:color w:val="000000"/>
        </w:rPr>
      </w:pPr>
      <w:r w:rsidRPr="00EF7994">
        <w:rPr>
          <w:rFonts w:asciiTheme="majorHAnsi" w:hAnsiTheme="majorHAnsi"/>
          <w:lang w:val="it-IT"/>
        </w:rPr>
        <w:t xml:space="preserve">   </w:t>
      </w:r>
      <w:r w:rsidR="006F55A5" w:rsidRPr="00EF7994">
        <w:rPr>
          <w:rFonts w:asciiTheme="majorHAnsi" w:hAnsiTheme="majorHAnsi"/>
          <w:lang w:val="it-IT"/>
        </w:rPr>
        <w:t>5.11.9.</w:t>
      </w:r>
      <w:r w:rsidR="006F55A5" w:rsidRPr="00EF7994">
        <w:rPr>
          <w:rFonts w:asciiTheme="majorHAnsi" w:hAnsiTheme="majorHAnsi"/>
        </w:rPr>
        <w:t xml:space="preserve">  </w:t>
      </w:r>
      <w:r w:rsidRPr="00EF7994">
        <w:rPr>
          <w:rFonts w:ascii="Cambria" w:hAnsi="Cambria"/>
          <w:bCs/>
          <w:color w:val="000000"/>
          <w:sz w:val="22"/>
          <w:szCs w:val="22"/>
          <w:bdr w:val="none" w:sz="0" w:space="0" w:color="auto" w:frame="1"/>
        </w:rPr>
        <w:t>Tiekėjo deklaracija dėl Tarybos reglamente (ES) 2022/576 nustatytų sąlygų nebuvimo</w:t>
      </w:r>
    </w:p>
    <w:p w14:paraId="76E6CBE0" w14:textId="11B74EDA" w:rsidR="006F55A5" w:rsidRPr="00596ED1" w:rsidRDefault="00EF7994" w:rsidP="00EF7994">
      <w:pPr>
        <w:pStyle w:val="Body2"/>
        <w:rPr>
          <w:rFonts w:asciiTheme="majorHAnsi" w:hAnsiTheme="majorHAnsi" w:cs="Times New Roman"/>
          <w:color w:val="auto"/>
          <w:lang w:val="lt-LT"/>
        </w:rPr>
      </w:pPr>
      <w:r w:rsidRPr="00EF7994">
        <w:rPr>
          <w:rFonts w:asciiTheme="majorHAnsi" w:eastAsia="Calibri" w:hAnsiTheme="majorHAnsi" w:cs="Times New Roman"/>
          <w:color w:val="auto"/>
        </w:rPr>
        <w:t xml:space="preserve"> </w:t>
      </w:r>
      <w:r w:rsidR="00B736A7" w:rsidRPr="00EF7994">
        <w:rPr>
          <w:rFonts w:asciiTheme="majorHAnsi" w:eastAsia="Calibri" w:hAnsiTheme="majorHAnsi" w:cs="Times New Roman"/>
          <w:color w:val="auto"/>
        </w:rPr>
        <w:t>(7</w:t>
      </w:r>
      <w:r w:rsidR="008E289A" w:rsidRPr="00EF7994">
        <w:rPr>
          <w:rFonts w:asciiTheme="majorHAnsi" w:eastAsia="Calibri" w:hAnsiTheme="majorHAnsi" w:cs="Times New Roman"/>
          <w:color w:val="auto"/>
        </w:rPr>
        <w:t xml:space="preserve"> </w:t>
      </w:r>
      <w:r w:rsidR="006F55A5" w:rsidRPr="00EF7994">
        <w:rPr>
          <w:rFonts w:asciiTheme="majorHAnsi" w:eastAsia="Calibri" w:hAnsiTheme="majorHAnsi" w:cs="Times New Roman"/>
          <w:color w:val="auto"/>
        </w:rPr>
        <w:t>priedas)</w:t>
      </w:r>
      <w:r w:rsidR="006F55A5" w:rsidRPr="00EF7994">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proofErr w:type="gramStart"/>
      <w:r w:rsidRPr="00596ED1">
        <w:rPr>
          <w:rFonts w:asciiTheme="majorHAnsi" w:hAnsiTheme="majorHAnsi"/>
          <w:color w:val="000000"/>
          <w:sz w:val="22"/>
          <w:szCs w:val="22"/>
        </w:rPr>
        <w:t>jeigu</w:t>
      </w:r>
      <w:proofErr w:type="gramEnd"/>
      <w:r w:rsidRPr="00596ED1">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proofErr w:type="gramStart"/>
      <w:r w:rsidRPr="00596ED1">
        <w:rPr>
          <w:rFonts w:asciiTheme="majorHAnsi" w:hAnsiTheme="majorHAnsi"/>
          <w:color w:val="000000"/>
          <w:sz w:val="22"/>
          <w:szCs w:val="22"/>
        </w:rPr>
        <w:t>pateiktos</w:t>
      </w:r>
      <w:proofErr w:type="gramEnd"/>
      <w:r w:rsidRPr="00596ED1">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proofErr w:type="gramStart"/>
      <w:r w:rsidRPr="00596ED1">
        <w:rPr>
          <w:rFonts w:asciiTheme="majorHAnsi" w:hAnsiTheme="majorHAnsi"/>
          <w:color w:val="000000"/>
          <w:sz w:val="22"/>
          <w:szCs w:val="22"/>
        </w:rPr>
        <w:t>informacija</w:t>
      </w:r>
      <w:proofErr w:type="gramEnd"/>
      <w:r w:rsidRPr="00596ED1">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w:t>
      </w:r>
      <w:r w:rsidRPr="00596ED1">
        <w:rPr>
          <w:rFonts w:asciiTheme="majorHAnsi" w:hAnsiTheme="majorHAnsi" w:cs="Times New Roman"/>
          <w:lang w:val="lt-LT"/>
        </w:rPr>
        <w:lastRenderedPageBreak/>
        <w:t>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w:t>
      </w:r>
      <w:r w:rsidRPr="00596ED1">
        <w:rPr>
          <w:rFonts w:asciiTheme="majorHAnsi" w:hAnsiTheme="majorHAnsi"/>
          <w:color w:val="000000"/>
          <w:sz w:val="22"/>
          <w:szCs w:val="22"/>
          <w:lang w:val="lt-LT" w:eastAsia="en-GB"/>
        </w:rPr>
        <w:lastRenderedPageBreak/>
        <w:t>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6166089B" w14:textId="1C6B52F4" w:rsidR="00644AB8" w:rsidRPr="00596ED1" w:rsidRDefault="005C65C4" w:rsidP="00644AB8">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644AB8" w:rsidRPr="00596ED1">
        <w:rPr>
          <w:rFonts w:asciiTheme="majorHAnsi" w:hAnsiTheme="majorHAnsi" w:cs="Times New Roman"/>
          <w:color w:val="auto"/>
          <w:lang w:val="lt-LT"/>
        </w:rPr>
        <w:t>Siūlomų prekių pavyzdžiai nereikalaujami</w:t>
      </w:r>
      <w:r w:rsidR="00644AB8">
        <w:rPr>
          <w:rFonts w:asciiTheme="majorHAnsi" w:hAnsiTheme="majorHAnsi" w:cs="Times New Roman"/>
          <w:color w:val="auto"/>
          <w:lang w:val="lt-LT"/>
        </w:rPr>
        <w:t>.</w:t>
      </w:r>
    </w:p>
    <w:p w14:paraId="22651F37" w14:textId="77777777" w:rsidR="00644AB8" w:rsidRPr="00596ED1" w:rsidRDefault="00644AB8" w:rsidP="00644AB8">
      <w:pPr>
        <w:pStyle w:val="Body2"/>
        <w:spacing w:after="0"/>
        <w:rPr>
          <w:rFonts w:asciiTheme="majorHAnsi" w:hAnsiTheme="majorHAnsi" w:cs="Times New Roman"/>
          <w:color w:val="auto"/>
        </w:rPr>
      </w:pPr>
    </w:p>
    <w:p w14:paraId="74A04907" w14:textId="1909F02F" w:rsidR="00AB4A42" w:rsidRPr="00596ED1" w:rsidRDefault="00AB4A42" w:rsidP="00644AB8">
      <w:pPr>
        <w:pStyle w:val="Body2"/>
        <w:spacing w:after="0"/>
        <w:ind w:firstLine="709"/>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 xml:space="preserve">KINIMAS IR </w:t>
      </w:r>
      <w:r w:rsidRPr="00443A9B">
        <w:rPr>
          <w:rFonts w:asciiTheme="majorHAnsi" w:hAnsiTheme="majorHAnsi" w:cs="Times New Roman"/>
          <w:color w:val="auto"/>
          <w:lang w:val="de-DE"/>
        </w:rPr>
        <w:t>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proofErr w:type="gramStart"/>
      <w:r w:rsidRPr="00596ED1">
        <w:rPr>
          <w:rFonts w:asciiTheme="majorHAnsi" w:hAnsiTheme="majorHAnsi" w:cs="Times New Roman"/>
          <w:lang w:val="pt-PT"/>
        </w:rPr>
        <w:t>dalis</w:t>
      </w:r>
      <w:proofErr w:type="gramEnd"/>
      <w:r w:rsidRPr="00596ED1">
        <w:rPr>
          <w:rFonts w:asciiTheme="majorHAnsi" w:hAnsiTheme="majorHAnsi" w:cs="Times New Roman"/>
          <w:lang w:val="pt-PT"/>
        </w:rPr>
        <w:t>.</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lastRenderedPageBreak/>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 xml:space="preserve">kinimai, </w:t>
      </w:r>
      <w:proofErr w:type="gramStart"/>
      <w:r w:rsidR="00B50198" w:rsidRPr="00596ED1">
        <w:rPr>
          <w:rFonts w:asciiTheme="majorHAnsi" w:hAnsiTheme="majorHAnsi" w:cs="Times New Roman"/>
          <w:lang w:val="pt-PT"/>
        </w:rPr>
        <w:t>prane</w:t>
      </w:r>
      <w:r w:rsidR="00B50198" w:rsidRPr="00596ED1">
        <w:rPr>
          <w:rFonts w:asciiTheme="majorHAnsi" w:hAnsiTheme="majorHAnsi" w:cs="Times New Roman"/>
        </w:rPr>
        <w:t>šimai</w:t>
      </w:r>
      <w:proofErr w:type="gramEnd"/>
      <w:r w:rsidR="00B50198" w:rsidRPr="00596ED1">
        <w:rPr>
          <w:rFonts w:asciiTheme="majorHAnsi" w:hAnsiTheme="majorHAnsi" w:cs="Times New Roman"/>
        </w:rPr>
        <w:t xml:space="preserve">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 xml:space="preserve">ų su tiekėjais </w:t>
      </w:r>
      <w:proofErr w:type="gramStart"/>
      <w:r w:rsidR="00B50198" w:rsidRPr="00596ED1">
        <w:rPr>
          <w:rFonts w:asciiTheme="majorHAnsi" w:hAnsiTheme="majorHAnsi" w:cs="Times New Roman"/>
        </w:rPr>
        <w:t>dėl</w:t>
      </w:r>
      <w:proofErr w:type="gramEnd"/>
      <w:r w:rsidR="00B50198" w:rsidRPr="00596ED1">
        <w:rPr>
          <w:rFonts w:asciiTheme="majorHAnsi" w:hAnsiTheme="majorHAnsi" w:cs="Times New Roman"/>
        </w:rPr>
        <w:t xml:space="preserve">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733D798E"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9E738E">
        <w:rPr>
          <w:rFonts w:asciiTheme="majorHAnsi" w:hAnsiTheme="majorHAnsi"/>
          <w:b/>
          <w:bCs/>
          <w:sz w:val="22"/>
          <w:szCs w:val="22"/>
        </w:rPr>
        <w:t>202</w:t>
      </w:r>
      <w:r w:rsidR="00AE7DA9" w:rsidRPr="009E738E">
        <w:rPr>
          <w:rFonts w:asciiTheme="majorHAnsi" w:hAnsiTheme="majorHAnsi"/>
          <w:b/>
          <w:bCs/>
          <w:sz w:val="22"/>
          <w:szCs w:val="22"/>
        </w:rPr>
        <w:t>6</w:t>
      </w:r>
      <w:r w:rsidR="00544566" w:rsidRPr="009E738E">
        <w:rPr>
          <w:rFonts w:asciiTheme="majorHAnsi" w:hAnsiTheme="majorHAnsi"/>
          <w:b/>
          <w:bCs/>
          <w:sz w:val="22"/>
          <w:szCs w:val="22"/>
        </w:rPr>
        <w:t xml:space="preserve"> m.</w:t>
      </w:r>
      <w:r w:rsidR="00A44B31" w:rsidRPr="009E738E">
        <w:rPr>
          <w:rFonts w:asciiTheme="majorHAnsi" w:hAnsiTheme="majorHAnsi"/>
          <w:b/>
          <w:bCs/>
          <w:sz w:val="22"/>
          <w:szCs w:val="22"/>
        </w:rPr>
        <w:t xml:space="preserve"> </w:t>
      </w:r>
      <w:r w:rsidR="0004218D" w:rsidRPr="009E738E">
        <w:rPr>
          <w:rFonts w:asciiTheme="majorHAnsi" w:hAnsiTheme="majorHAnsi"/>
          <w:b/>
          <w:bCs/>
          <w:sz w:val="22"/>
          <w:szCs w:val="22"/>
        </w:rPr>
        <w:t>rugpjūčio</w:t>
      </w:r>
      <w:r w:rsidR="009414F6" w:rsidRPr="009E738E">
        <w:rPr>
          <w:rFonts w:asciiTheme="majorHAnsi" w:hAnsiTheme="majorHAnsi"/>
          <w:b/>
          <w:bCs/>
          <w:sz w:val="22"/>
          <w:szCs w:val="22"/>
        </w:rPr>
        <w:t xml:space="preserve"> mėn. </w:t>
      </w:r>
      <w:r w:rsidR="009E738E" w:rsidRPr="009E738E">
        <w:rPr>
          <w:rFonts w:asciiTheme="majorHAnsi" w:hAnsiTheme="majorHAnsi"/>
          <w:b/>
          <w:bCs/>
          <w:sz w:val="22"/>
          <w:szCs w:val="22"/>
        </w:rPr>
        <w:t>7</w:t>
      </w:r>
      <w:r w:rsidR="00C1068C" w:rsidRPr="009E738E">
        <w:rPr>
          <w:rFonts w:asciiTheme="majorHAnsi" w:hAnsiTheme="majorHAnsi"/>
          <w:b/>
          <w:bCs/>
          <w:sz w:val="22"/>
          <w:szCs w:val="22"/>
        </w:rPr>
        <w:t xml:space="preserve"> d.</w:t>
      </w:r>
      <w:r w:rsidR="00DE1BBE" w:rsidRPr="009E738E">
        <w:rPr>
          <w:rFonts w:asciiTheme="majorHAnsi" w:hAnsiTheme="majorHAnsi"/>
          <w:b/>
          <w:bCs/>
          <w:sz w:val="22"/>
          <w:szCs w:val="22"/>
        </w:rPr>
        <w:t xml:space="preserve"> </w:t>
      </w:r>
      <w:r w:rsidR="00495353" w:rsidRPr="009E738E">
        <w:rPr>
          <w:rFonts w:asciiTheme="majorHAnsi" w:hAnsiTheme="majorHAnsi"/>
          <w:b/>
          <w:bCs/>
          <w:sz w:val="22"/>
          <w:szCs w:val="22"/>
        </w:rPr>
        <w:t>09</w:t>
      </w:r>
      <w:r w:rsidR="00A44B31" w:rsidRPr="009E738E">
        <w:rPr>
          <w:rFonts w:asciiTheme="majorHAnsi" w:hAnsiTheme="majorHAnsi"/>
          <w:b/>
          <w:bCs/>
          <w:sz w:val="22"/>
          <w:szCs w:val="22"/>
        </w:rPr>
        <w:t>:00</w:t>
      </w:r>
      <w:r w:rsidR="00DE1BBE" w:rsidRPr="009E738E">
        <w:rPr>
          <w:rFonts w:asciiTheme="majorHAnsi" w:hAnsiTheme="majorHAnsi"/>
          <w:b/>
          <w:bCs/>
          <w:sz w:val="22"/>
          <w:szCs w:val="22"/>
        </w:rPr>
        <w:t xml:space="preserve"> val.</w:t>
      </w:r>
      <w:r w:rsidR="00544566" w:rsidRPr="00495353">
        <w:rPr>
          <w:rFonts w:asciiTheme="majorHAnsi" w:hAnsiTheme="majorHAnsi"/>
          <w:color w:val="000000"/>
          <w:sz w:val="22"/>
          <w:szCs w:val="22"/>
        </w:rPr>
        <w:t> </w:t>
      </w:r>
      <w:r w:rsidR="00544566" w:rsidRPr="00495353">
        <w:rPr>
          <w:rFonts w:asciiTheme="majorHAnsi" w:hAnsiTheme="majorHAnsi"/>
          <w:color w:val="000000"/>
          <w:sz w:val="22"/>
          <w:szCs w:val="22"/>
          <w:u w:val="single"/>
        </w:rPr>
        <w:t>Jei pasiūlymas teikiamas šifruotas, slaptažodis turi būti pateiktas </w:t>
      </w:r>
      <w:r w:rsidR="00544566" w:rsidRPr="009E738E">
        <w:rPr>
          <w:rFonts w:asciiTheme="majorHAnsi" w:hAnsiTheme="majorHAnsi"/>
          <w:b/>
          <w:bCs/>
          <w:sz w:val="22"/>
          <w:szCs w:val="22"/>
          <w:u w:val="single"/>
        </w:rPr>
        <w:t>202</w:t>
      </w:r>
      <w:r w:rsidR="00AE7DA9" w:rsidRPr="009E738E">
        <w:rPr>
          <w:rFonts w:asciiTheme="majorHAnsi" w:hAnsiTheme="majorHAnsi"/>
          <w:b/>
          <w:bCs/>
          <w:sz w:val="22"/>
          <w:szCs w:val="22"/>
          <w:u w:val="single"/>
        </w:rPr>
        <w:t>6</w:t>
      </w:r>
      <w:r w:rsidR="00544566" w:rsidRPr="009E738E">
        <w:rPr>
          <w:rFonts w:asciiTheme="majorHAnsi" w:hAnsiTheme="majorHAnsi"/>
          <w:b/>
          <w:bCs/>
          <w:sz w:val="22"/>
          <w:szCs w:val="22"/>
          <w:u w:val="single"/>
        </w:rPr>
        <w:t xml:space="preserve"> m. </w:t>
      </w:r>
      <w:r w:rsidR="0004218D" w:rsidRPr="009E738E">
        <w:rPr>
          <w:rFonts w:asciiTheme="majorHAnsi" w:hAnsiTheme="majorHAnsi"/>
          <w:b/>
          <w:bCs/>
          <w:sz w:val="22"/>
          <w:szCs w:val="22"/>
          <w:u w:val="single"/>
        </w:rPr>
        <w:t>rugpjūčio</w:t>
      </w:r>
      <w:r w:rsidR="00BA5F18" w:rsidRPr="009E738E">
        <w:rPr>
          <w:rFonts w:asciiTheme="majorHAnsi" w:hAnsiTheme="majorHAnsi"/>
          <w:b/>
          <w:bCs/>
          <w:sz w:val="22"/>
          <w:szCs w:val="22"/>
          <w:u w:val="single"/>
        </w:rPr>
        <w:t xml:space="preserve"> </w:t>
      </w:r>
      <w:r w:rsidR="00C1068C" w:rsidRPr="009E738E">
        <w:rPr>
          <w:rFonts w:asciiTheme="majorHAnsi" w:hAnsiTheme="majorHAnsi"/>
          <w:b/>
          <w:bCs/>
          <w:sz w:val="22"/>
          <w:szCs w:val="22"/>
          <w:u w:val="single"/>
        </w:rPr>
        <w:t xml:space="preserve">mėn. </w:t>
      </w:r>
      <w:r w:rsidR="009E738E" w:rsidRPr="009E738E">
        <w:rPr>
          <w:rFonts w:asciiTheme="majorHAnsi" w:hAnsiTheme="majorHAnsi"/>
          <w:b/>
          <w:bCs/>
          <w:sz w:val="22"/>
          <w:szCs w:val="22"/>
          <w:u w:val="single"/>
        </w:rPr>
        <w:t>7</w:t>
      </w:r>
      <w:r w:rsidR="00495353" w:rsidRPr="00495353">
        <w:rPr>
          <w:rFonts w:asciiTheme="majorHAnsi" w:hAnsiTheme="majorHAnsi"/>
          <w:b/>
          <w:bCs/>
          <w:sz w:val="22"/>
          <w:szCs w:val="22"/>
          <w:u w:val="single"/>
        </w:rPr>
        <w:t xml:space="preserve"> </w:t>
      </w:r>
      <w:r w:rsidR="00C1068C" w:rsidRPr="009E738E">
        <w:rPr>
          <w:rFonts w:asciiTheme="majorHAnsi" w:hAnsiTheme="majorHAnsi"/>
          <w:b/>
          <w:bCs/>
          <w:sz w:val="22"/>
          <w:szCs w:val="22"/>
          <w:u w:val="single"/>
        </w:rPr>
        <w:t>d.</w:t>
      </w:r>
      <w:r w:rsidR="00544566" w:rsidRPr="009E738E">
        <w:rPr>
          <w:rFonts w:asciiTheme="majorHAnsi" w:hAnsiTheme="majorHAnsi"/>
          <w:sz w:val="22"/>
          <w:szCs w:val="22"/>
          <w:u w:val="single"/>
        </w:rPr>
        <w:t> intervale </w:t>
      </w:r>
      <w:r w:rsidR="00495353" w:rsidRPr="009E738E">
        <w:rPr>
          <w:rFonts w:asciiTheme="majorHAnsi" w:hAnsiTheme="majorHAnsi"/>
          <w:b/>
          <w:sz w:val="22"/>
          <w:szCs w:val="22"/>
          <w:u w:val="single"/>
        </w:rPr>
        <w:t>09</w:t>
      </w:r>
      <w:r w:rsidR="00A44B31" w:rsidRPr="009E738E">
        <w:rPr>
          <w:rFonts w:asciiTheme="majorHAnsi" w:hAnsiTheme="majorHAnsi"/>
          <w:b/>
          <w:sz w:val="22"/>
          <w:szCs w:val="22"/>
          <w:u w:val="single"/>
        </w:rPr>
        <w:t xml:space="preserve">:00 – </w:t>
      </w:r>
      <w:r w:rsidR="00495353" w:rsidRPr="009E738E">
        <w:rPr>
          <w:rFonts w:asciiTheme="majorHAnsi" w:hAnsiTheme="majorHAnsi"/>
          <w:b/>
          <w:sz w:val="22"/>
          <w:szCs w:val="22"/>
          <w:u w:val="single"/>
        </w:rPr>
        <w:t>09</w:t>
      </w:r>
      <w:r w:rsidR="00A44B31" w:rsidRPr="009E738E">
        <w:rPr>
          <w:rFonts w:asciiTheme="majorHAnsi" w:hAnsiTheme="majorHAnsi"/>
          <w:b/>
          <w:sz w:val="22"/>
          <w:szCs w:val="22"/>
          <w:u w:val="single"/>
        </w:rPr>
        <w:t>:30</w:t>
      </w:r>
      <w:r w:rsidR="00544566" w:rsidRPr="009E738E">
        <w:rPr>
          <w:rFonts w:asciiTheme="majorHAnsi" w:hAnsiTheme="majorHAnsi"/>
          <w:b/>
          <w:bCs/>
          <w:sz w:val="22"/>
          <w:szCs w:val="22"/>
          <w:u w:val="single"/>
        </w:rPr>
        <w:t xml:space="preserve"> val.</w:t>
      </w:r>
      <w:r w:rsidR="00544566" w:rsidRPr="009E738E">
        <w:rPr>
          <w:rFonts w:asciiTheme="majorHAnsi" w:hAnsiTheme="majorHAnsi"/>
          <w:sz w:val="22"/>
          <w:szCs w:val="22"/>
          <w:u w:val="single"/>
        </w:rPr>
        <w:t> </w:t>
      </w:r>
      <w:r w:rsidR="00544566" w:rsidRPr="009E738E">
        <w:rPr>
          <w:rFonts w:asciiTheme="majorHAnsi" w:hAnsiTheme="majorHAnsi"/>
          <w:color w:val="000000"/>
          <w:sz w:val="22"/>
          <w:szCs w:val="22"/>
          <w:u w:val="single"/>
        </w:rPr>
        <w:t>(</w:t>
      </w:r>
      <w:r w:rsidR="00544566" w:rsidRPr="00495353">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w:t>
      </w:r>
      <w:bookmarkStart w:id="2" w:name="_GoBack"/>
      <w:bookmarkEnd w:id="2"/>
      <w:r w:rsidRPr="00596ED1">
        <w:rPr>
          <w:rStyle w:val="xww-defaultparagraphfont1"/>
          <w:rFonts w:asciiTheme="majorHAnsi" w:hAnsiTheme="majorHAnsi"/>
          <w:color w:val="000000"/>
          <w:spacing w:val="-4"/>
          <w:sz w:val="22"/>
          <w:szCs w:val="22"/>
        </w:rPr>
        <w:t>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w:t>
      </w:r>
      <w:proofErr w:type="gramStart"/>
      <w:r w:rsidRPr="00596ED1">
        <w:rPr>
          <w:rFonts w:asciiTheme="majorHAnsi" w:hAnsiTheme="majorHAnsi" w:cs="Times New Roman"/>
        </w:rPr>
        <w:t>nagrinėja</w:t>
      </w:r>
      <w:proofErr w:type="gramEnd"/>
      <w:r w:rsidRPr="00596ED1">
        <w:rPr>
          <w:rFonts w:asciiTheme="majorHAnsi" w:hAnsiTheme="majorHAnsi" w:cs="Times New Roman"/>
        </w:rPr>
        <w:t xml:space="preserve">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w:t>
      </w:r>
      <w:proofErr w:type="gramStart"/>
      <w:r w:rsidRPr="00596ED1">
        <w:rPr>
          <w:rFonts w:asciiTheme="majorHAnsi" w:hAnsiTheme="majorHAnsi" w:cs="Times New Roman"/>
        </w:rPr>
        <w:t>į</w:t>
      </w:r>
      <w:r w:rsidRPr="00596ED1">
        <w:rPr>
          <w:rFonts w:asciiTheme="majorHAnsi" w:hAnsiTheme="majorHAnsi" w:cs="Times New Roman"/>
          <w:lang w:val="it-IT"/>
        </w:rPr>
        <w:t>vertin</w:t>
      </w:r>
      <w:r w:rsidRPr="00596ED1">
        <w:rPr>
          <w:rFonts w:asciiTheme="majorHAnsi" w:hAnsiTheme="majorHAnsi" w:cs="Times New Roman"/>
        </w:rPr>
        <w:t>a</w:t>
      </w:r>
      <w:proofErr w:type="gramEnd"/>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w:t>
      </w:r>
      <w:proofErr w:type="gramStart"/>
      <w:r w:rsidRPr="00596ED1">
        <w:rPr>
          <w:rFonts w:asciiTheme="majorHAnsi" w:hAnsiTheme="majorHAnsi" w:cs="Times New Roman"/>
        </w:rPr>
        <w:t>tikrina</w:t>
      </w:r>
      <w:proofErr w:type="gramEnd"/>
      <w:r w:rsidRPr="00596ED1">
        <w:rPr>
          <w:rFonts w:asciiTheme="majorHAnsi" w:hAnsiTheme="majorHAnsi" w:cs="Times New Roman"/>
        </w:rPr>
        <w:t xml:space="preserve">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596ED1">
        <w:rPr>
          <w:rFonts w:asciiTheme="majorHAnsi" w:hAnsiTheme="majorHAnsi"/>
          <w:color w:val="000000"/>
          <w:sz w:val="22"/>
          <w:szCs w:val="22"/>
          <w:lang w:eastAsia="lt-LT"/>
        </w:rPr>
        <w:lastRenderedPageBreak/>
        <w:t>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11.4. Iškilus klausimams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 xml:space="preserve">naudas, jeigu </w:t>
      </w:r>
      <w:proofErr w:type="gramStart"/>
      <w:r w:rsidRPr="00596ED1">
        <w:rPr>
          <w:rFonts w:asciiTheme="majorHAnsi" w:hAnsiTheme="majorHAnsi" w:cs="Times New Roman"/>
          <w:lang w:val="pt-PT"/>
        </w:rPr>
        <w:t>jos</w:t>
      </w:r>
      <w:proofErr w:type="gramEnd"/>
      <w:r w:rsidRPr="00596ED1">
        <w:rPr>
          <w:rFonts w:asciiTheme="majorHAnsi" w:hAnsiTheme="majorHAnsi" w:cs="Times New Roman"/>
          <w:lang w:val="pt-PT"/>
        </w:rPr>
        <w:t xml:space="preserve">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 xml:space="preserve">ūlymo, jeigu patikrinusi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13.1.1. </w:t>
      </w:r>
      <w:proofErr w:type="gramStart"/>
      <w:r w:rsidRPr="00596ED1">
        <w:rPr>
          <w:rFonts w:asciiTheme="majorHAnsi" w:hAnsiTheme="majorHAnsi" w:cs="Times New Roman"/>
        </w:rPr>
        <w:t>tiekė</w:t>
      </w:r>
      <w:r w:rsidRPr="00596ED1">
        <w:rPr>
          <w:rFonts w:asciiTheme="majorHAnsi" w:hAnsiTheme="majorHAnsi" w:cs="Times New Roman"/>
          <w:lang w:val="es-ES_tradnl"/>
        </w:rPr>
        <w:t>jas</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13.1.2.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13.1.3.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proofErr w:type="gramStart"/>
      <w:r w:rsidRPr="00596ED1">
        <w:rPr>
          <w:rFonts w:asciiTheme="majorHAnsi" w:hAnsiTheme="majorHAnsi" w:cs="Times New Roman"/>
        </w:rPr>
        <w:t>neišsamių</w:t>
      </w:r>
      <w:proofErr w:type="gramEnd"/>
      <w:r w:rsidRPr="00596ED1">
        <w:rPr>
          <w:rFonts w:asciiTheme="majorHAnsi" w:hAnsiTheme="majorHAnsi" w:cs="Times New Roman"/>
        </w:rPr>
        <w:t xml:space="preserve">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pasiūlymas</w:t>
      </w:r>
      <w:proofErr w:type="gramEnd"/>
      <w:r w:rsidR="00B50198" w:rsidRPr="00596ED1">
        <w:rPr>
          <w:rFonts w:asciiTheme="majorHAnsi" w:hAnsiTheme="majorHAnsi" w:cs="Times New Roman"/>
        </w:rPr>
        <w:t xml:space="preserve">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pasiūlyta</w:t>
      </w:r>
      <w:proofErr w:type="gramEnd"/>
      <w:r w:rsidR="00B50198" w:rsidRPr="00596ED1">
        <w:rPr>
          <w:rFonts w:asciiTheme="majorHAnsi" w:hAnsiTheme="majorHAnsi" w:cs="Times New Roman"/>
        </w:rPr>
        <w:t xml:space="preserve">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dalyvis</w:t>
      </w:r>
      <w:proofErr w:type="gramEnd"/>
      <w:r w:rsidR="00FA6318" w:rsidRPr="00596ED1">
        <w:rPr>
          <w:rFonts w:asciiTheme="majorHAnsi" w:hAnsiTheme="majorHAnsi" w:cs="Times New Roman"/>
        </w:rPr>
        <w:t xml:space="preserve">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 xml:space="preserve">ūlymo. Šiuo atveju </w:t>
      </w:r>
      <w:proofErr w:type="gramStart"/>
      <w:r w:rsidR="00FA6318" w:rsidRPr="00596ED1">
        <w:rPr>
          <w:rFonts w:asciiTheme="majorHAnsi" w:hAnsiTheme="majorHAnsi" w:cs="Times New Roman"/>
        </w:rPr>
        <w:t>jo</w:t>
      </w:r>
      <w:proofErr w:type="gramEnd"/>
      <w:r w:rsidR="00FA6318" w:rsidRPr="00596ED1">
        <w:rPr>
          <w:rFonts w:asciiTheme="majorHAnsi" w:hAnsiTheme="majorHAnsi" w:cs="Times New Roman"/>
        </w:rPr>
        <w:t xml:space="preserve">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proofErr w:type="gramStart"/>
      <w:r w:rsidRPr="00596ED1">
        <w:rPr>
          <w:rFonts w:asciiTheme="majorHAnsi" w:hAnsiTheme="majorHAnsi" w:cs="Times New Roman"/>
        </w:rPr>
        <w:t>pateiktame</w:t>
      </w:r>
      <w:proofErr w:type="gramEnd"/>
      <w:r w:rsidRPr="00596ED1">
        <w:rPr>
          <w:rFonts w:asciiTheme="majorHAnsi" w:hAnsiTheme="majorHAnsi" w:cs="Times New Roman"/>
        </w:rPr>
        <w:t xml:space="preserv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jei</w:t>
      </w:r>
      <w:proofErr w:type="gramEnd"/>
      <w:r w:rsidR="00FA6318" w:rsidRPr="00596ED1">
        <w:rPr>
          <w:rFonts w:asciiTheme="majorHAnsi" w:hAnsiTheme="majorHAnsi" w:cs="Times New Roman"/>
        </w:rPr>
        <w:t xml:space="preserve">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xml:space="preserve">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w:t>
      </w:r>
      <w:r w:rsidR="00FA6318" w:rsidRPr="00596ED1">
        <w:rPr>
          <w:rFonts w:asciiTheme="majorHAnsi" w:hAnsiTheme="majorHAnsi" w:cs="Times New Roman"/>
        </w:rPr>
        <w:lastRenderedPageBreak/>
        <w:t xml:space="preserve">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it-IT"/>
        </w:rPr>
        <w:t>l</w:t>
      </w:r>
      <w:proofErr w:type="gramEnd"/>
      <w:r w:rsidRPr="00596ED1">
        <w:rPr>
          <w:rFonts w:asciiTheme="majorHAnsi" w:hAnsiTheme="majorHAnsi" w:cs="Times New Roman"/>
          <w:lang w:val="it-IT"/>
        </w:rPr>
        <w:t xml:space="preserve">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ė nenustatoma ir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 xml:space="preserve">ti tik </w:t>
      </w:r>
      <w:proofErr w:type="gramStart"/>
      <w:r w:rsidRPr="00596ED1">
        <w:rPr>
          <w:rFonts w:asciiTheme="majorHAnsi" w:hAnsiTheme="majorHAnsi" w:cs="Times New Roman"/>
          <w:lang w:val="nl-NL"/>
        </w:rPr>
        <w:t>tas</w:t>
      </w:r>
      <w:proofErr w:type="gramEnd"/>
      <w:r w:rsidRPr="00596ED1">
        <w:rPr>
          <w:rFonts w:asciiTheme="majorHAnsi" w:hAnsiTheme="majorHAnsi" w:cs="Times New Roman"/>
          <w:lang w:val="nl-NL"/>
        </w:rPr>
        <w:t xml:space="preserve">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 xml:space="preserve">ų pakartotinai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84475C"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00230277">
        <w:rPr>
          <w:rFonts w:asciiTheme="majorHAnsi" w:hAnsiTheme="majorHAnsi" w:cs="Times New Roman"/>
          <w:lang w:val="fr-FR"/>
        </w:rPr>
        <w:t xml:space="preserve"> </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 xml:space="preserve">škinį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 xml:space="preserve">čiajai organizacija i nepagrįstai nutraukus pirkimo sutartį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16.10.2. Motyvuotą teismo nutartį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16.11. Jeigu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3043E2" w:rsidRDefault="00B50198" w:rsidP="00B50198">
      <w:pPr>
        <w:ind w:left="6480" w:firstLine="720"/>
        <w:rPr>
          <w:bCs/>
          <w:sz w:val="22"/>
          <w:szCs w:val="22"/>
        </w:rPr>
      </w:pPr>
      <w:r w:rsidRPr="003043E2">
        <w:rPr>
          <w:bCs/>
          <w:sz w:val="22"/>
          <w:szCs w:val="22"/>
        </w:rPr>
        <w:lastRenderedPageBreak/>
        <w:t>Atviro konkurso sąlygų</w:t>
      </w:r>
    </w:p>
    <w:p w14:paraId="28890DC6" w14:textId="56B240D4" w:rsidR="00B50198" w:rsidRPr="003043E2" w:rsidRDefault="00B50198" w:rsidP="00B50198">
      <w:pPr>
        <w:tabs>
          <w:tab w:val="left" w:pos="7085"/>
        </w:tabs>
        <w:rPr>
          <w:bCs/>
          <w:sz w:val="22"/>
          <w:szCs w:val="22"/>
        </w:rPr>
      </w:pPr>
      <w:r w:rsidRPr="003043E2">
        <w:rPr>
          <w:bCs/>
          <w:sz w:val="22"/>
          <w:szCs w:val="22"/>
        </w:rPr>
        <w:t xml:space="preserve">                                                                                                                                      </w:t>
      </w:r>
      <w:r w:rsidR="002B0468" w:rsidRPr="003043E2">
        <w:rPr>
          <w:bCs/>
          <w:sz w:val="22"/>
          <w:szCs w:val="22"/>
        </w:rPr>
        <w:t xml:space="preserve">                   </w:t>
      </w:r>
      <w:r w:rsidRPr="003043E2">
        <w:rPr>
          <w:bCs/>
          <w:sz w:val="22"/>
          <w:szCs w:val="22"/>
        </w:rPr>
        <w:t xml:space="preserve"> 1 priedas</w:t>
      </w:r>
    </w:p>
    <w:p w14:paraId="28890DC8" w14:textId="77777777" w:rsidR="00B50198" w:rsidRPr="003043E2" w:rsidRDefault="00B50198" w:rsidP="00B50198">
      <w:pPr>
        <w:ind w:right="-178"/>
        <w:jc w:val="center"/>
        <w:rPr>
          <w:sz w:val="22"/>
          <w:szCs w:val="22"/>
        </w:rPr>
      </w:pPr>
      <w:r w:rsidRPr="003043E2">
        <w:rPr>
          <w:sz w:val="22"/>
          <w:szCs w:val="22"/>
        </w:rPr>
        <w:t>Herbas arba prekių ženklas</w:t>
      </w:r>
    </w:p>
    <w:p w14:paraId="28890DC9" w14:textId="77777777" w:rsidR="00B50198" w:rsidRPr="003043E2" w:rsidRDefault="00B50198" w:rsidP="00B50198">
      <w:pPr>
        <w:ind w:right="-178"/>
        <w:jc w:val="center"/>
        <w:rPr>
          <w:sz w:val="22"/>
          <w:szCs w:val="22"/>
        </w:rPr>
      </w:pPr>
    </w:p>
    <w:p w14:paraId="28890DCA" w14:textId="77777777" w:rsidR="00B50198" w:rsidRPr="003043E2" w:rsidRDefault="00B50198" w:rsidP="00B50198">
      <w:pPr>
        <w:ind w:right="-178"/>
        <w:jc w:val="center"/>
        <w:rPr>
          <w:sz w:val="22"/>
          <w:szCs w:val="22"/>
        </w:rPr>
      </w:pPr>
      <w:r w:rsidRPr="003043E2">
        <w:rPr>
          <w:sz w:val="22"/>
          <w:szCs w:val="22"/>
        </w:rPr>
        <w:t>(Tiekėjo pavadinimas)</w:t>
      </w:r>
    </w:p>
    <w:p w14:paraId="28890DCB" w14:textId="77777777" w:rsidR="00B50198" w:rsidRPr="003043E2" w:rsidRDefault="00B50198" w:rsidP="00B50198">
      <w:pPr>
        <w:ind w:right="-178"/>
        <w:jc w:val="center"/>
        <w:rPr>
          <w:sz w:val="22"/>
          <w:szCs w:val="22"/>
        </w:rPr>
      </w:pPr>
    </w:p>
    <w:p w14:paraId="28890DCC" w14:textId="77777777" w:rsidR="00B50198" w:rsidRPr="003043E2" w:rsidRDefault="00B50198" w:rsidP="00B50198">
      <w:pPr>
        <w:ind w:right="-178"/>
        <w:jc w:val="center"/>
        <w:rPr>
          <w:sz w:val="22"/>
          <w:szCs w:val="22"/>
        </w:rPr>
      </w:pPr>
      <w:r w:rsidRPr="003043E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3043E2" w:rsidRDefault="00B50198" w:rsidP="00B50198">
      <w:pPr>
        <w:ind w:right="-178"/>
        <w:jc w:val="center"/>
        <w:rPr>
          <w:sz w:val="22"/>
          <w:szCs w:val="22"/>
        </w:rPr>
      </w:pPr>
      <w:r w:rsidRPr="003043E2">
        <w:rPr>
          <w:sz w:val="22"/>
          <w:szCs w:val="22"/>
        </w:rPr>
        <w:t>_________________________________________________________________________________________</w:t>
      </w:r>
    </w:p>
    <w:p w14:paraId="28890DCF" w14:textId="33D81CCF" w:rsidR="00B50198" w:rsidRPr="003043E2" w:rsidRDefault="003A333D" w:rsidP="003A333D">
      <w:pPr>
        <w:jc w:val="both"/>
        <w:rPr>
          <w:sz w:val="22"/>
          <w:szCs w:val="22"/>
        </w:rPr>
      </w:pPr>
      <w:r w:rsidRPr="003043E2">
        <w:rPr>
          <w:sz w:val="22"/>
          <w:szCs w:val="22"/>
        </w:rPr>
        <w:t>___</w:t>
      </w:r>
      <w:proofErr w:type="gramStart"/>
      <w:r w:rsidRPr="003043E2">
        <w:rPr>
          <w:sz w:val="22"/>
          <w:szCs w:val="22"/>
        </w:rPr>
        <w:t>_</w:t>
      </w:r>
      <w:r w:rsidR="00B50198" w:rsidRPr="003043E2">
        <w:rPr>
          <w:sz w:val="22"/>
          <w:szCs w:val="22"/>
        </w:rPr>
        <w:t>(</w:t>
      </w:r>
      <w:proofErr w:type="gramEnd"/>
      <w:r w:rsidR="00B50198" w:rsidRPr="003043E2">
        <w:rPr>
          <w:sz w:val="22"/>
          <w:szCs w:val="22"/>
        </w:rPr>
        <w:t>Adresatas (perkančioji organizacija))</w:t>
      </w:r>
    </w:p>
    <w:p w14:paraId="28890DD0" w14:textId="77777777" w:rsidR="00B50198" w:rsidRPr="003043E2" w:rsidRDefault="00B50198" w:rsidP="00B50198">
      <w:pPr>
        <w:jc w:val="center"/>
        <w:rPr>
          <w:b/>
          <w:sz w:val="22"/>
          <w:szCs w:val="22"/>
        </w:rPr>
      </w:pPr>
    </w:p>
    <w:p w14:paraId="28890DD1" w14:textId="77777777" w:rsidR="00B50198" w:rsidRPr="003043E2" w:rsidRDefault="00B50198" w:rsidP="00B50198">
      <w:pPr>
        <w:jc w:val="center"/>
        <w:rPr>
          <w:b/>
          <w:sz w:val="22"/>
          <w:szCs w:val="22"/>
        </w:rPr>
      </w:pPr>
      <w:r w:rsidRPr="003043E2">
        <w:rPr>
          <w:b/>
          <w:sz w:val="22"/>
          <w:szCs w:val="22"/>
        </w:rPr>
        <w:t>PASIŪLYMAS</w:t>
      </w:r>
    </w:p>
    <w:p w14:paraId="28890DD2" w14:textId="77777777" w:rsidR="00B50198" w:rsidRPr="003043E2" w:rsidRDefault="00B50198" w:rsidP="00B50198">
      <w:pPr>
        <w:jc w:val="center"/>
        <w:rPr>
          <w:b/>
          <w:sz w:val="22"/>
          <w:szCs w:val="22"/>
        </w:rPr>
      </w:pPr>
    </w:p>
    <w:p w14:paraId="28890DD3" w14:textId="0DB28B8B" w:rsidR="008E6295" w:rsidRPr="003043E2" w:rsidRDefault="00562C78" w:rsidP="00EC0668">
      <w:pPr>
        <w:jc w:val="center"/>
        <w:rPr>
          <w:b/>
          <w:bCs/>
          <w:sz w:val="22"/>
          <w:szCs w:val="22"/>
          <w:lang w:val="lt-LT"/>
        </w:rPr>
      </w:pPr>
      <w:r>
        <w:rPr>
          <w:b/>
          <w:bCs/>
          <w:sz w:val="22"/>
          <w:szCs w:val="22"/>
        </w:rPr>
        <w:t>VAISIŲ KOKTEILIŲ, ŠVIEŽIŲ SULČIŲ</w:t>
      </w:r>
      <w:r w:rsidR="00B54D86" w:rsidRPr="0015157A">
        <w:rPr>
          <w:b/>
          <w:bCs/>
          <w:sz w:val="22"/>
          <w:szCs w:val="22"/>
        </w:rPr>
        <w:t xml:space="preserve"> </w:t>
      </w:r>
      <w:r w:rsidR="006B7415" w:rsidRPr="0015157A">
        <w:rPr>
          <w:b/>
          <w:bCs/>
          <w:sz w:val="22"/>
          <w:szCs w:val="22"/>
        </w:rPr>
        <w:t>P</w:t>
      </w:r>
      <w:r w:rsidR="00665EC6" w:rsidRPr="0015157A">
        <w:rPr>
          <w:b/>
          <w:bCs/>
          <w:sz w:val="22"/>
          <w:szCs w:val="22"/>
          <w:lang w:val="lt-LT"/>
        </w:rPr>
        <w:t>IRKIMO</w:t>
      </w:r>
    </w:p>
    <w:p w14:paraId="28890DD4" w14:textId="77777777" w:rsidR="00B50198" w:rsidRPr="003043E2" w:rsidRDefault="00B50198" w:rsidP="00B50198">
      <w:pPr>
        <w:shd w:val="clear" w:color="auto" w:fill="FFFFFF"/>
        <w:jc w:val="center"/>
        <w:rPr>
          <w:sz w:val="22"/>
          <w:szCs w:val="22"/>
        </w:rPr>
      </w:pPr>
    </w:p>
    <w:p w14:paraId="28890DD5" w14:textId="77777777" w:rsidR="00B50198" w:rsidRPr="003043E2" w:rsidRDefault="00B50198" w:rsidP="00B50198">
      <w:pPr>
        <w:shd w:val="clear" w:color="auto" w:fill="FFFFFF"/>
        <w:jc w:val="center"/>
        <w:rPr>
          <w:b/>
          <w:bCs/>
          <w:sz w:val="22"/>
          <w:szCs w:val="22"/>
        </w:rPr>
      </w:pPr>
      <w:r w:rsidRPr="003043E2">
        <w:rPr>
          <w:sz w:val="22"/>
          <w:szCs w:val="22"/>
        </w:rPr>
        <w:t>____________</w:t>
      </w:r>
      <w:r w:rsidRPr="003043E2">
        <w:rPr>
          <w:b/>
          <w:bCs/>
          <w:sz w:val="22"/>
          <w:szCs w:val="22"/>
        </w:rPr>
        <w:t xml:space="preserve"> </w:t>
      </w:r>
      <w:r w:rsidRPr="003043E2">
        <w:rPr>
          <w:sz w:val="22"/>
          <w:szCs w:val="22"/>
        </w:rPr>
        <w:t>Nr.______</w:t>
      </w:r>
    </w:p>
    <w:p w14:paraId="28890DD6" w14:textId="77777777" w:rsidR="00B50198" w:rsidRPr="003043E2" w:rsidRDefault="00B50198" w:rsidP="00B50198">
      <w:pPr>
        <w:shd w:val="clear" w:color="auto" w:fill="FFFFFF"/>
        <w:jc w:val="center"/>
        <w:rPr>
          <w:bCs/>
          <w:sz w:val="22"/>
          <w:szCs w:val="22"/>
        </w:rPr>
      </w:pPr>
      <w:r w:rsidRPr="003043E2">
        <w:rPr>
          <w:bCs/>
          <w:sz w:val="22"/>
          <w:szCs w:val="22"/>
        </w:rPr>
        <w:t>(Data)</w:t>
      </w:r>
    </w:p>
    <w:p w14:paraId="28890DD7" w14:textId="77777777" w:rsidR="00B50198" w:rsidRPr="003043E2" w:rsidRDefault="00B50198" w:rsidP="00B50198">
      <w:pPr>
        <w:shd w:val="clear" w:color="auto" w:fill="FFFFFF"/>
        <w:jc w:val="center"/>
        <w:rPr>
          <w:bCs/>
          <w:sz w:val="22"/>
          <w:szCs w:val="22"/>
        </w:rPr>
      </w:pPr>
      <w:r w:rsidRPr="003043E2">
        <w:rPr>
          <w:bCs/>
          <w:sz w:val="22"/>
          <w:szCs w:val="22"/>
        </w:rPr>
        <w:t>_____________</w:t>
      </w:r>
    </w:p>
    <w:p w14:paraId="28890DD8" w14:textId="77777777" w:rsidR="00B50198" w:rsidRPr="003043E2" w:rsidRDefault="00B50198" w:rsidP="00B50198">
      <w:pPr>
        <w:shd w:val="clear" w:color="auto" w:fill="FFFFFF"/>
        <w:jc w:val="center"/>
        <w:rPr>
          <w:bCs/>
          <w:sz w:val="22"/>
          <w:szCs w:val="22"/>
        </w:rPr>
      </w:pPr>
      <w:r w:rsidRPr="003043E2">
        <w:rPr>
          <w:bCs/>
          <w:sz w:val="22"/>
          <w:szCs w:val="22"/>
        </w:rPr>
        <w:t>(Sudarymo vieta)</w:t>
      </w:r>
    </w:p>
    <w:p w14:paraId="28890DD9" w14:textId="1EFFD803" w:rsidR="00B50198" w:rsidRPr="003043E2" w:rsidRDefault="003A333D" w:rsidP="00B50198">
      <w:pPr>
        <w:jc w:val="right"/>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00B50198" w:rsidRPr="003043E2">
        <w:rPr>
          <w:sz w:val="22"/>
          <w:szCs w:val="22"/>
        </w:rPr>
        <w:t>1 lentelė</w:t>
      </w:r>
    </w:p>
    <w:p w14:paraId="28890DDA" w14:textId="77777777" w:rsidR="00B50198" w:rsidRPr="003043E2" w:rsidRDefault="00B50198" w:rsidP="00B50198">
      <w:pPr>
        <w:jc w:val="center"/>
        <w:rPr>
          <w:b/>
          <w:sz w:val="22"/>
          <w:szCs w:val="22"/>
        </w:rPr>
      </w:pPr>
      <w:r w:rsidRPr="003043E2">
        <w:rPr>
          <w:b/>
          <w:sz w:val="22"/>
          <w:szCs w:val="22"/>
        </w:rPr>
        <w:t>TIEKĖJO REKVIZITAI</w:t>
      </w:r>
    </w:p>
    <w:p w14:paraId="28890DDB" w14:textId="77777777" w:rsidR="00B50198" w:rsidRPr="003043E2"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3043E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3043E2" w:rsidRDefault="00B50198" w:rsidP="00681F0E">
            <w:pPr>
              <w:jc w:val="both"/>
              <w:rPr>
                <w:i/>
                <w:sz w:val="22"/>
                <w:szCs w:val="22"/>
              </w:rPr>
            </w:pPr>
            <w:r w:rsidRPr="003043E2">
              <w:rPr>
                <w:sz w:val="22"/>
                <w:szCs w:val="22"/>
              </w:rPr>
              <w:t xml:space="preserve">Tiekėjo pavadinimas </w:t>
            </w:r>
            <w:r w:rsidRPr="003043E2">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3043E2" w:rsidRDefault="00B50198" w:rsidP="00681F0E">
            <w:pPr>
              <w:jc w:val="both"/>
              <w:rPr>
                <w:sz w:val="22"/>
                <w:szCs w:val="22"/>
              </w:rPr>
            </w:pPr>
          </w:p>
          <w:p w14:paraId="28890DDE" w14:textId="77777777" w:rsidR="00B50198" w:rsidRPr="003043E2" w:rsidRDefault="00B50198" w:rsidP="00681F0E">
            <w:pPr>
              <w:jc w:val="both"/>
              <w:rPr>
                <w:sz w:val="22"/>
                <w:szCs w:val="22"/>
              </w:rPr>
            </w:pPr>
          </w:p>
        </w:tc>
      </w:tr>
      <w:tr w:rsidR="00B50198" w:rsidRPr="003043E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3043E2" w:rsidRDefault="00B50198" w:rsidP="00681F0E">
            <w:pPr>
              <w:jc w:val="both"/>
              <w:rPr>
                <w:sz w:val="22"/>
                <w:szCs w:val="22"/>
              </w:rPr>
            </w:pPr>
            <w:r w:rsidRPr="003043E2">
              <w:rPr>
                <w:sz w:val="22"/>
                <w:szCs w:val="22"/>
              </w:rPr>
              <w:t>Tiekėjo adresas</w:t>
            </w:r>
            <w:r w:rsidRPr="003043E2">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3043E2" w:rsidRDefault="00B50198" w:rsidP="00681F0E">
            <w:pPr>
              <w:jc w:val="both"/>
              <w:rPr>
                <w:sz w:val="22"/>
                <w:szCs w:val="22"/>
              </w:rPr>
            </w:pPr>
          </w:p>
        </w:tc>
      </w:tr>
      <w:tr w:rsidR="00B50198" w:rsidRPr="003043E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3043E2" w:rsidRDefault="00B50198" w:rsidP="00681F0E">
            <w:pPr>
              <w:jc w:val="both"/>
              <w:rPr>
                <w:sz w:val="22"/>
                <w:szCs w:val="22"/>
              </w:rPr>
            </w:pPr>
            <w:r w:rsidRPr="003043E2">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3043E2" w:rsidRDefault="00B50198" w:rsidP="00681F0E">
            <w:pPr>
              <w:jc w:val="both"/>
              <w:rPr>
                <w:sz w:val="22"/>
                <w:szCs w:val="22"/>
              </w:rPr>
            </w:pPr>
          </w:p>
        </w:tc>
      </w:tr>
      <w:tr w:rsidR="00B50198" w:rsidRPr="003043E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3043E2" w:rsidRDefault="00B50198" w:rsidP="00681F0E">
            <w:pPr>
              <w:jc w:val="both"/>
              <w:rPr>
                <w:sz w:val="22"/>
                <w:szCs w:val="22"/>
              </w:rPr>
            </w:pPr>
            <w:r w:rsidRPr="003043E2">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3043E2" w:rsidRDefault="00B50198" w:rsidP="00681F0E">
            <w:pPr>
              <w:jc w:val="both"/>
              <w:rPr>
                <w:sz w:val="22"/>
                <w:szCs w:val="22"/>
              </w:rPr>
            </w:pPr>
          </w:p>
        </w:tc>
      </w:tr>
      <w:tr w:rsidR="00B50198" w:rsidRPr="003043E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3043E2" w:rsidRDefault="00B50198" w:rsidP="00681F0E">
            <w:pPr>
              <w:jc w:val="both"/>
              <w:rPr>
                <w:sz w:val="22"/>
                <w:szCs w:val="22"/>
              </w:rPr>
            </w:pPr>
            <w:r w:rsidRPr="003043E2">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3043E2" w:rsidRDefault="00B50198" w:rsidP="00681F0E">
            <w:pPr>
              <w:jc w:val="both"/>
              <w:rPr>
                <w:sz w:val="22"/>
                <w:szCs w:val="22"/>
              </w:rPr>
            </w:pPr>
          </w:p>
        </w:tc>
      </w:tr>
      <w:tr w:rsidR="00B50198" w:rsidRPr="003043E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3043E2" w:rsidRDefault="00B50198" w:rsidP="00681F0E">
            <w:pPr>
              <w:jc w:val="both"/>
              <w:rPr>
                <w:sz w:val="22"/>
                <w:szCs w:val="22"/>
              </w:rPr>
            </w:pPr>
            <w:r w:rsidRPr="003043E2">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3043E2" w:rsidRDefault="00B50198" w:rsidP="00681F0E">
            <w:pPr>
              <w:jc w:val="both"/>
              <w:rPr>
                <w:sz w:val="22"/>
                <w:szCs w:val="22"/>
              </w:rPr>
            </w:pPr>
          </w:p>
        </w:tc>
      </w:tr>
      <w:tr w:rsidR="00B50198" w:rsidRPr="003043E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3043E2" w:rsidRDefault="00B50198" w:rsidP="00681F0E">
            <w:pPr>
              <w:jc w:val="both"/>
              <w:rPr>
                <w:sz w:val="22"/>
                <w:szCs w:val="22"/>
              </w:rPr>
            </w:pPr>
            <w:r w:rsidRPr="003043E2">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3043E2" w:rsidRDefault="00B50198" w:rsidP="00681F0E">
            <w:pPr>
              <w:jc w:val="both"/>
              <w:rPr>
                <w:sz w:val="22"/>
                <w:szCs w:val="22"/>
              </w:rPr>
            </w:pPr>
          </w:p>
        </w:tc>
      </w:tr>
      <w:tr w:rsidR="00B50198" w:rsidRPr="003043E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3043E2" w:rsidRDefault="00B50198" w:rsidP="00681F0E">
            <w:pPr>
              <w:jc w:val="both"/>
              <w:rPr>
                <w:sz w:val="22"/>
                <w:szCs w:val="22"/>
              </w:rPr>
            </w:pPr>
            <w:r w:rsidRPr="003043E2">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3043E2" w:rsidRDefault="00B50198" w:rsidP="00681F0E">
            <w:pPr>
              <w:jc w:val="both"/>
              <w:rPr>
                <w:sz w:val="22"/>
                <w:szCs w:val="22"/>
              </w:rPr>
            </w:pPr>
          </w:p>
        </w:tc>
      </w:tr>
      <w:tr w:rsidR="00B50198" w:rsidRPr="003043E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3043E2" w:rsidRDefault="00B50198" w:rsidP="00681F0E">
            <w:pPr>
              <w:jc w:val="both"/>
              <w:rPr>
                <w:sz w:val="22"/>
                <w:szCs w:val="22"/>
              </w:rPr>
            </w:pPr>
            <w:r w:rsidRPr="003043E2">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3043E2" w:rsidRDefault="00B50198" w:rsidP="00681F0E">
            <w:pPr>
              <w:jc w:val="both"/>
              <w:rPr>
                <w:sz w:val="22"/>
                <w:szCs w:val="22"/>
              </w:rPr>
            </w:pPr>
          </w:p>
        </w:tc>
      </w:tr>
      <w:tr w:rsidR="00B50198" w:rsidRPr="003043E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3043E2" w:rsidRDefault="00B50198" w:rsidP="00681F0E">
            <w:pPr>
              <w:jc w:val="both"/>
              <w:rPr>
                <w:sz w:val="22"/>
                <w:szCs w:val="22"/>
              </w:rPr>
            </w:pPr>
            <w:r w:rsidRPr="003043E2">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3043E2" w:rsidRDefault="00B50198" w:rsidP="00681F0E">
            <w:pPr>
              <w:jc w:val="both"/>
              <w:rPr>
                <w:sz w:val="22"/>
                <w:szCs w:val="22"/>
              </w:rPr>
            </w:pPr>
          </w:p>
        </w:tc>
      </w:tr>
    </w:tbl>
    <w:p w14:paraId="28890DFB" w14:textId="77777777" w:rsidR="00B50198" w:rsidRPr="003043E2" w:rsidRDefault="00B50198" w:rsidP="00B50198">
      <w:pPr>
        <w:ind w:firstLine="720"/>
        <w:jc w:val="both"/>
        <w:rPr>
          <w:sz w:val="22"/>
          <w:szCs w:val="22"/>
        </w:rPr>
      </w:pPr>
      <w:r w:rsidRPr="003043E2">
        <w:rPr>
          <w:sz w:val="22"/>
          <w:szCs w:val="22"/>
        </w:rPr>
        <w:t>Šiuo pasiūlymu pažymime, kad sutinkame su visomis pirkimo sąlygomis, nustatytomis:</w:t>
      </w:r>
    </w:p>
    <w:p w14:paraId="28890DFC"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atviro konkurso skelbime, paskelbtame Viešųjų pirkimų įstatymo nustatyta tvarka;</w:t>
      </w:r>
    </w:p>
    <w:p w14:paraId="28890DFD"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3043E2">
        <w:rPr>
          <w:sz w:val="22"/>
          <w:szCs w:val="22"/>
        </w:rPr>
        <w:t>kituose</w:t>
      </w:r>
      <w:proofErr w:type="gramEnd"/>
      <w:r w:rsidRPr="003043E2">
        <w:rPr>
          <w:sz w:val="22"/>
          <w:szCs w:val="22"/>
        </w:rPr>
        <w:t xml:space="preserve"> pirkimo dokumentuose (jų paaiškinimuose, papildymuose).</w:t>
      </w:r>
    </w:p>
    <w:p w14:paraId="393E0F2A" w14:textId="77777777" w:rsidR="003043E2" w:rsidRDefault="00D47BC4" w:rsidP="00A82F8B">
      <w:pPr>
        <w:ind w:firstLine="720"/>
        <w:jc w:val="both"/>
        <w:rPr>
          <w:sz w:val="22"/>
          <w:szCs w:val="22"/>
        </w:rPr>
      </w:pPr>
      <w:r w:rsidRPr="003043E2">
        <w:rPr>
          <w:spacing w:val="-4"/>
          <w:sz w:val="22"/>
          <w:szCs w:val="22"/>
        </w:rPr>
        <w:t>Pasirašydamas CVP IS priemonėmis pateiktą pasiūlymą saugiu elektroniniu parašu, patvirtinu, kad dokumentų skaitmeninės</w:t>
      </w:r>
      <w:r w:rsidRPr="003043E2">
        <w:rPr>
          <w:sz w:val="22"/>
          <w:szCs w:val="22"/>
        </w:rPr>
        <w:t xml:space="preserve"> kopijos ir elektroninėmis priemonėmis pateikti duomenys yra tikri.</w:t>
      </w:r>
    </w:p>
    <w:p w14:paraId="3C2D4A4E" w14:textId="77777777" w:rsidR="003043E2" w:rsidRDefault="003043E2" w:rsidP="00A82F8B">
      <w:pPr>
        <w:ind w:firstLine="720"/>
        <w:jc w:val="both"/>
        <w:rPr>
          <w:sz w:val="22"/>
          <w:szCs w:val="22"/>
        </w:rPr>
      </w:pPr>
    </w:p>
    <w:p w14:paraId="28890DFF" w14:textId="1CD89733" w:rsidR="00F12EF4" w:rsidRPr="003043E2" w:rsidRDefault="00A82F8B" w:rsidP="00A82F8B">
      <w:pPr>
        <w:ind w:firstLine="720"/>
        <w:jc w:val="both"/>
        <w:rPr>
          <w:sz w:val="22"/>
          <w:szCs w:val="22"/>
        </w:rPr>
      </w:pPr>
      <w:r w:rsidRPr="003043E2">
        <w:rPr>
          <w:sz w:val="22"/>
          <w:szCs w:val="22"/>
        </w:rPr>
        <w:tab/>
      </w:r>
      <w:r w:rsidR="00B50198" w:rsidRPr="003043E2">
        <w:rPr>
          <w:sz w:val="22"/>
          <w:szCs w:val="22"/>
        </w:rPr>
        <w:t xml:space="preserve"> </w:t>
      </w:r>
    </w:p>
    <w:p w14:paraId="28890E00" w14:textId="77777777" w:rsidR="00B50198" w:rsidRPr="003043E2" w:rsidRDefault="00B50198" w:rsidP="00F12EF4">
      <w:pPr>
        <w:contextualSpacing/>
        <w:jc w:val="right"/>
        <w:rPr>
          <w:sz w:val="22"/>
          <w:szCs w:val="22"/>
        </w:rPr>
      </w:pPr>
      <w:r w:rsidRPr="003043E2">
        <w:rPr>
          <w:sz w:val="22"/>
          <w:szCs w:val="22"/>
        </w:rPr>
        <w:t xml:space="preserve"> 2 lentelė</w:t>
      </w:r>
    </w:p>
    <w:p w14:paraId="28890E01" w14:textId="77777777" w:rsidR="003C4A59" w:rsidRPr="003043E2" w:rsidRDefault="003C4A59" w:rsidP="00B50198">
      <w:pPr>
        <w:jc w:val="center"/>
        <w:rPr>
          <w:b/>
          <w:sz w:val="22"/>
          <w:szCs w:val="22"/>
        </w:rPr>
      </w:pPr>
    </w:p>
    <w:p w14:paraId="28890E02" w14:textId="77777777" w:rsidR="00B50198" w:rsidRPr="003043E2" w:rsidRDefault="00B50198" w:rsidP="00B50198">
      <w:pPr>
        <w:jc w:val="center"/>
        <w:rPr>
          <w:b/>
          <w:sz w:val="22"/>
          <w:szCs w:val="22"/>
        </w:rPr>
      </w:pPr>
      <w:r w:rsidRPr="003043E2">
        <w:rPr>
          <w:b/>
          <w:sz w:val="22"/>
          <w:szCs w:val="22"/>
        </w:rPr>
        <w:t>SUBTIEKĖJO REKVIZITAI</w:t>
      </w:r>
    </w:p>
    <w:p w14:paraId="28890E03" w14:textId="77777777" w:rsidR="00B50198" w:rsidRPr="003043E2"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3043E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3043E2" w:rsidRDefault="00B50198" w:rsidP="00F044F9">
            <w:pPr>
              <w:jc w:val="center"/>
              <w:rPr>
                <w:b/>
                <w:sz w:val="22"/>
                <w:szCs w:val="22"/>
              </w:rPr>
            </w:pPr>
            <w:r w:rsidRPr="003043E2">
              <w:rPr>
                <w:b/>
                <w:sz w:val="22"/>
                <w:szCs w:val="22"/>
              </w:rPr>
              <w:t>Eil.</w:t>
            </w:r>
          </w:p>
          <w:p w14:paraId="28890E05" w14:textId="77777777" w:rsidR="00B50198" w:rsidRPr="003043E2" w:rsidRDefault="00B50198" w:rsidP="00F044F9">
            <w:pPr>
              <w:jc w:val="center"/>
              <w:rPr>
                <w:sz w:val="22"/>
                <w:szCs w:val="22"/>
              </w:rPr>
            </w:pPr>
            <w:r w:rsidRPr="003043E2">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3043E2" w:rsidRDefault="00B50198" w:rsidP="00F044F9">
            <w:pPr>
              <w:jc w:val="center"/>
              <w:rPr>
                <w:b/>
                <w:sz w:val="22"/>
                <w:szCs w:val="22"/>
              </w:rPr>
            </w:pPr>
            <w:r w:rsidRPr="003043E2">
              <w:rPr>
                <w:b/>
                <w:spacing w:val="-4"/>
                <w:sz w:val="22"/>
                <w:szCs w:val="22"/>
              </w:rPr>
              <w:t xml:space="preserve">Subtiekėjo (-ų) </w:t>
            </w:r>
            <w:r w:rsidRPr="003043E2">
              <w:rPr>
                <w:b/>
                <w:sz w:val="22"/>
                <w:szCs w:val="22"/>
              </w:rPr>
              <w:t>pavadinimas (-ai), adresas (-ai)</w:t>
            </w:r>
          </w:p>
        </w:tc>
      </w:tr>
      <w:tr w:rsidR="00B50198" w:rsidRPr="003043E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3043E2" w:rsidRDefault="00B50198" w:rsidP="00681F0E">
            <w:pPr>
              <w:jc w:val="both"/>
              <w:rPr>
                <w:sz w:val="22"/>
                <w:szCs w:val="22"/>
              </w:rPr>
            </w:pPr>
          </w:p>
        </w:tc>
      </w:tr>
      <w:tr w:rsidR="00B50198" w:rsidRPr="003043E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3043E2" w:rsidRDefault="00B50198" w:rsidP="00681F0E">
            <w:pPr>
              <w:jc w:val="both"/>
              <w:rPr>
                <w:sz w:val="22"/>
                <w:szCs w:val="22"/>
              </w:rPr>
            </w:pPr>
          </w:p>
        </w:tc>
      </w:tr>
    </w:tbl>
    <w:p w14:paraId="28890E0E" w14:textId="77777777" w:rsidR="00B50198" w:rsidRPr="003043E2" w:rsidRDefault="00B50198" w:rsidP="00B50198">
      <w:pPr>
        <w:pStyle w:val="Header"/>
        <w:widowControl/>
        <w:tabs>
          <w:tab w:val="clear" w:pos="4153"/>
          <w:tab w:val="clear" w:pos="8306"/>
        </w:tabs>
        <w:spacing w:after="0"/>
        <w:jc w:val="left"/>
        <w:rPr>
          <w:i/>
          <w:spacing w:val="-4"/>
          <w:sz w:val="22"/>
          <w:szCs w:val="22"/>
        </w:rPr>
      </w:pPr>
      <w:r w:rsidRPr="003043E2">
        <w:rPr>
          <w:i/>
          <w:spacing w:val="-4"/>
          <w:sz w:val="22"/>
          <w:szCs w:val="22"/>
        </w:rPr>
        <w:t>*Pastaba: pildoma, jei tiekėjas ketina pasitelkti subtiekėją (-us)</w:t>
      </w:r>
    </w:p>
    <w:p w14:paraId="28890E0F" w14:textId="77777777" w:rsidR="00B50198" w:rsidRPr="003043E2"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3043E2" w:rsidRDefault="00BC6BE1" w:rsidP="00BC6BE1">
      <w:pPr>
        <w:pStyle w:val="Header"/>
        <w:widowControl/>
        <w:tabs>
          <w:tab w:val="clear" w:pos="4153"/>
          <w:tab w:val="clear" w:pos="8306"/>
        </w:tabs>
        <w:spacing w:after="0"/>
        <w:ind w:left="7920" w:firstLine="720"/>
        <w:jc w:val="right"/>
        <w:rPr>
          <w:sz w:val="22"/>
          <w:szCs w:val="22"/>
        </w:rPr>
      </w:pPr>
      <w:r w:rsidRPr="003043E2">
        <w:rPr>
          <w:sz w:val="22"/>
          <w:szCs w:val="22"/>
        </w:rPr>
        <w:lastRenderedPageBreak/>
        <w:t>3 lentelė</w:t>
      </w:r>
    </w:p>
    <w:p w14:paraId="28890E11" w14:textId="4893D5B2" w:rsidR="00BC6BE1" w:rsidRDefault="00BC6BE1" w:rsidP="00BC6BE1">
      <w:pPr>
        <w:pStyle w:val="Header"/>
        <w:widowControl/>
        <w:tabs>
          <w:tab w:val="clear" w:pos="4153"/>
          <w:tab w:val="clear" w:pos="8306"/>
        </w:tabs>
        <w:spacing w:after="0"/>
        <w:jc w:val="center"/>
        <w:rPr>
          <w:b/>
          <w:sz w:val="22"/>
          <w:szCs w:val="22"/>
          <w:lang w:eastAsia="en-US"/>
        </w:rPr>
      </w:pPr>
      <w:r w:rsidRPr="003043E2">
        <w:rPr>
          <w:b/>
          <w:sz w:val="22"/>
          <w:szCs w:val="22"/>
          <w:lang w:eastAsia="en-US"/>
        </w:rPr>
        <w:t>PASIŪLYMO KAINA</w:t>
      </w:r>
    </w:p>
    <w:p w14:paraId="38085F6A" w14:textId="77777777" w:rsidR="00851564" w:rsidRDefault="00851564" w:rsidP="00BC6BE1">
      <w:pPr>
        <w:pStyle w:val="Header"/>
        <w:widowControl/>
        <w:tabs>
          <w:tab w:val="clear" w:pos="4153"/>
          <w:tab w:val="clear" w:pos="8306"/>
        </w:tabs>
        <w:spacing w:after="0"/>
        <w:jc w:val="center"/>
        <w:rPr>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851564" w:rsidRPr="00CF292F" w14:paraId="4CDAF6FA" w14:textId="77777777" w:rsidTr="00F06A60">
        <w:trPr>
          <w:trHeight w:val="772"/>
          <w:jc w:val="center"/>
        </w:trPr>
        <w:tc>
          <w:tcPr>
            <w:tcW w:w="846" w:type="dxa"/>
            <w:shd w:val="solid" w:color="FFFFFF" w:fill="auto"/>
            <w:vAlign w:val="center"/>
          </w:tcPr>
          <w:p w14:paraId="1B71094B" w14:textId="77777777" w:rsidR="00851564" w:rsidRPr="00CF292F" w:rsidRDefault="00851564" w:rsidP="00F06A60">
            <w:pPr>
              <w:autoSpaceDE w:val="0"/>
              <w:autoSpaceDN w:val="0"/>
              <w:adjustRightInd w:val="0"/>
              <w:jc w:val="center"/>
              <w:rPr>
                <w:b/>
                <w:sz w:val="22"/>
                <w:szCs w:val="22"/>
                <w:lang w:eastAsia="lt-LT"/>
              </w:rPr>
            </w:pPr>
            <w:r w:rsidRPr="00CF292F">
              <w:rPr>
                <w:b/>
                <w:sz w:val="22"/>
                <w:szCs w:val="22"/>
                <w:lang w:eastAsia="lt-LT"/>
              </w:rPr>
              <w:t>Pirkimo dalies</w:t>
            </w:r>
          </w:p>
          <w:p w14:paraId="5A7E3B6A" w14:textId="77777777" w:rsidR="00851564" w:rsidRPr="00CF292F" w:rsidRDefault="00851564" w:rsidP="00F06A60">
            <w:pPr>
              <w:autoSpaceDE w:val="0"/>
              <w:autoSpaceDN w:val="0"/>
              <w:adjustRightInd w:val="0"/>
              <w:jc w:val="center"/>
              <w:rPr>
                <w:rFonts w:eastAsiaTheme="minorHAnsi"/>
                <w:b/>
                <w:bCs/>
                <w:sz w:val="22"/>
                <w:szCs w:val="22"/>
              </w:rPr>
            </w:pPr>
            <w:r w:rsidRPr="00CF292F">
              <w:rPr>
                <w:b/>
                <w:sz w:val="22"/>
                <w:szCs w:val="22"/>
                <w:lang w:eastAsia="lt-LT"/>
              </w:rPr>
              <w:t xml:space="preserve">Nr. </w:t>
            </w:r>
          </w:p>
        </w:tc>
        <w:tc>
          <w:tcPr>
            <w:tcW w:w="1848" w:type="dxa"/>
            <w:shd w:val="solid" w:color="FFFFFF" w:fill="auto"/>
            <w:vAlign w:val="center"/>
          </w:tcPr>
          <w:p w14:paraId="37BA420D"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Pavadinimas</w:t>
            </w:r>
          </w:p>
        </w:tc>
        <w:tc>
          <w:tcPr>
            <w:tcW w:w="576" w:type="dxa"/>
            <w:shd w:val="solid" w:color="FFFFFF" w:fill="auto"/>
            <w:vAlign w:val="center"/>
          </w:tcPr>
          <w:p w14:paraId="7F84BFD1"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Mato vnt.</w:t>
            </w:r>
          </w:p>
        </w:tc>
        <w:tc>
          <w:tcPr>
            <w:tcW w:w="1267" w:type="dxa"/>
            <w:vAlign w:val="center"/>
          </w:tcPr>
          <w:p w14:paraId="22BF9FA0" w14:textId="77777777" w:rsidR="00851564" w:rsidRPr="00CF292F" w:rsidRDefault="00851564" w:rsidP="00F06A60">
            <w:pPr>
              <w:autoSpaceDE w:val="0"/>
              <w:autoSpaceDN w:val="0"/>
              <w:adjustRightInd w:val="0"/>
              <w:jc w:val="center"/>
              <w:rPr>
                <w:rFonts w:eastAsiaTheme="minorHAnsi"/>
                <w:b/>
                <w:bCs/>
                <w:sz w:val="22"/>
                <w:szCs w:val="22"/>
              </w:rPr>
            </w:pPr>
            <w:r w:rsidRPr="00CF292F">
              <w:rPr>
                <w:b/>
                <w:sz w:val="22"/>
                <w:szCs w:val="22"/>
                <w:lang w:eastAsia="lt-LT"/>
              </w:rPr>
              <w:t>Orientacinis kiekis</w:t>
            </w:r>
          </w:p>
        </w:tc>
        <w:tc>
          <w:tcPr>
            <w:tcW w:w="992" w:type="dxa"/>
            <w:vAlign w:val="center"/>
          </w:tcPr>
          <w:p w14:paraId="2C5B89C7"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Kaina už mato vienetą Eur</w:t>
            </w:r>
          </w:p>
          <w:p w14:paraId="4EC16A2A"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(be PVM)</w:t>
            </w:r>
          </w:p>
        </w:tc>
        <w:tc>
          <w:tcPr>
            <w:tcW w:w="851" w:type="dxa"/>
            <w:vAlign w:val="center"/>
          </w:tcPr>
          <w:p w14:paraId="6D12A30C"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PVM tarifas</w:t>
            </w:r>
          </w:p>
        </w:tc>
        <w:tc>
          <w:tcPr>
            <w:tcW w:w="1134" w:type="dxa"/>
            <w:vAlign w:val="center"/>
          </w:tcPr>
          <w:p w14:paraId="7F0602BC"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Kaina viso Eur</w:t>
            </w:r>
          </w:p>
          <w:p w14:paraId="24A3DE69"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(be PVM)</w:t>
            </w:r>
          </w:p>
        </w:tc>
        <w:tc>
          <w:tcPr>
            <w:tcW w:w="1134" w:type="dxa"/>
            <w:vAlign w:val="center"/>
          </w:tcPr>
          <w:p w14:paraId="3D981C37"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Kaina viso Eur</w:t>
            </w:r>
          </w:p>
          <w:p w14:paraId="0F7F3B0E" w14:textId="77777777" w:rsidR="00851564" w:rsidRPr="00CF292F" w:rsidRDefault="00851564" w:rsidP="00F06A60">
            <w:pPr>
              <w:autoSpaceDE w:val="0"/>
              <w:autoSpaceDN w:val="0"/>
              <w:adjustRightInd w:val="0"/>
              <w:jc w:val="center"/>
              <w:rPr>
                <w:rFonts w:eastAsiaTheme="minorHAnsi"/>
                <w:b/>
                <w:bCs/>
                <w:sz w:val="22"/>
                <w:szCs w:val="22"/>
              </w:rPr>
            </w:pPr>
            <w:r w:rsidRPr="00CF292F">
              <w:rPr>
                <w:rFonts w:eastAsiaTheme="minorHAnsi"/>
                <w:b/>
                <w:bCs/>
                <w:sz w:val="22"/>
                <w:szCs w:val="22"/>
              </w:rPr>
              <w:t>(su PVM)</w:t>
            </w:r>
          </w:p>
        </w:tc>
        <w:tc>
          <w:tcPr>
            <w:tcW w:w="1559" w:type="dxa"/>
            <w:vAlign w:val="center"/>
          </w:tcPr>
          <w:p w14:paraId="1F095018" w14:textId="77777777" w:rsidR="00851564" w:rsidRPr="00CF292F" w:rsidRDefault="00851564" w:rsidP="00F06A60">
            <w:pPr>
              <w:autoSpaceDE w:val="0"/>
              <w:autoSpaceDN w:val="0"/>
              <w:adjustRightInd w:val="0"/>
              <w:jc w:val="center"/>
              <w:rPr>
                <w:b/>
                <w:sz w:val="22"/>
                <w:szCs w:val="22"/>
                <w:lang w:eastAsia="lt-LT"/>
              </w:rPr>
            </w:pPr>
            <w:r w:rsidRPr="00CF292F">
              <w:rPr>
                <w:b/>
                <w:sz w:val="22"/>
                <w:szCs w:val="22"/>
                <w:lang w:eastAsia="lt-LT"/>
              </w:rPr>
              <w:t>Gamintojas/</w:t>
            </w:r>
          </w:p>
          <w:p w14:paraId="4352718D" w14:textId="77777777" w:rsidR="00851564" w:rsidRPr="00CF292F" w:rsidRDefault="00851564" w:rsidP="00F06A60">
            <w:pPr>
              <w:autoSpaceDE w:val="0"/>
              <w:autoSpaceDN w:val="0"/>
              <w:adjustRightInd w:val="0"/>
              <w:jc w:val="center"/>
              <w:rPr>
                <w:rFonts w:eastAsiaTheme="minorHAnsi"/>
                <w:b/>
                <w:bCs/>
                <w:sz w:val="22"/>
                <w:szCs w:val="22"/>
              </w:rPr>
            </w:pPr>
            <w:r w:rsidRPr="00CF292F">
              <w:rPr>
                <w:b/>
                <w:sz w:val="22"/>
                <w:szCs w:val="22"/>
                <w:lang w:eastAsia="lt-LT"/>
              </w:rPr>
              <w:t>produkto pavadinimas</w:t>
            </w:r>
          </w:p>
        </w:tc>
      </w:tr>
      <w:tr w:rsidR="00851564" w:rsidRPr="00CF292F" w14:paraId="0C7B1DF7" w14:textId="77777777" w:rsidTr="00F06A60">
        <w:trPr>
          <w:trHeight w:val="772"/>
          <w:jc w:val="center"/>
        </w:trPr>
        <w:tc>
          <w:tcPr>
            <w:tcW w:w="846" w:type="dxa"/>
            <w:shd w:val="solid" w:color="FFFFFF" w:fill="auto"/>
            <w:vAlign w:val="center"/>
          </w:tcPr>
          <w:p w14:paraId="0741BCF9" w14:textId="77777777" w:rsidR="00851564" w:rsidRPr="00CF292F" w:rsidRDefault="00851564" w:rsidP="00F06A60">
            <w:pPr>
              <w:autoSpaceDE w:val="0"/>
              <w:autoSpaceDN w:val="0"/>
              <w:adjustRightInd w:val="0"/>
              <w:jc w:val="center"/>
              <w:rPr>
                <w:sz w:val="22"/>
                <w:szCs w:val="22"/>
                <w:lang w:eastAsia="lt-LT"/>
              </w:rPr>
            </w:pPr>
            <w:r w:rsidRPr="00CF292F">
              <w:rPr>
                <w:sz w:val="22"/>
                <w:szCs w:val="22"/>
                <w:lang w:eastAsia="lt-LT"/>
              </w:rPr>
              <w:t>1</w:t>
            </w:r>
          </w:p>
        </w:tc>
        <w:tc>
          <w:tcPr>
            <w:tcW w:w="1848" w:type="dxa"/>
            <w:vAlign w:val="center"/>
          </w:tcPr>
          <w:p w14:paraId="7FFB625D" w14:textId="77777777" w:rsidR="00851564" w:rsidRPr="00CF292F" w:rsidRDefault="00851564" w:rsidP="00F06A60">
            <w:pPr>
              <w:autoSpaceDE w:val="0"/>
              <w:autoSpaceDN w:val="0"/>
              <w:adjustRightInd w:val="0"/>
              <w:rPr>
                <w:rFonts w:eastAsiaTheme="minorHAnsi"/>
                <w:bCs/>
                <w:sz w:val="22"/>
                <w:szCs w:val="22"/>
              </w:rPr>
            </w:pPr>
            <w:r w:rsidRPr="00CF292F">
              <w:rPr>
                <w:rFonts w:eastAsiaTheme="minorHAnsi"/>
                <w:bCs/>
                <w:sz w:val="22"/>
                <w:szCs w:val="22"/>
              </w:rPr>
              <w:t>Vaisių kokteiliai</w:t>
            </w:r>
          </w:p>
        </w:tc>
        <w:tc>
          <w:tcPr>
            <w:tcW w:w="576" w:type="dxa"/>
            <w:vAlign w:val="center"/>
          </w:tcPr>
          <w:p w14:paraId="69F975AE" w14:textId="77777777" w:rsidR="00851564" w:rsidRPr="00CF292F" w:rsidRDefault="00851564" w:rsidP="00F06A60">
            <w:pPr>
              <w:autoSpaceDE w:val="0"/>
              <w:autoSpaceDN w:val="0"/>
              <w:adjustRightInd w:val="0"/>
              <w:jc w:val="center"/>
              <w:rPr>
                <w:rFonts w:eastAsiaTheme="minorHAnsi"/>
                <w:bCs/>
                <w:sz w:val="22"/>
                <w:szCs w:val="22"/>
              </w:rPr>
            </w:pPr>
            <w:r w:rsidRPr="00CF292F">
              <w:rPr>
                <w:rFonts w:eastAsiaTheme="minorHAnsi"/>
                <w:bCs/>
                <w:sz w:val="22"/>
                <w:szCs w:val="22"/>
              </w:rPr>
              <w:t>l</w:t>
            </w:r>
          </w:p>
        </w:tc>
        <w:tc>
          <w:tcPr>
            <w:tcW w:w="1267" w:type="dxa"/>
            <w:vAlign w:val="center"/>
          </w:tcPr>
          <w:p w14:paraId="222483A2" w14:textId="77777777" w:rsidR="00851564" w:rsidRPr="00CF292F" w:rsidRDefault="00851564" w:rsidP="00F06A60">
            <w:pPr>
              <w:autoSpaceDE w:val="0"/>
              <w:autoSpaceDN w:val="0"/>
              <w:adjustRightInd w:val="0"/>
              <w:jc w:val="center"/>
              <w:rPr>
                <w:sz w:val="22"/>
                <w:szCs w:val="22"/>
                <w:lang w:eastAsia="lt-LT"/>
              </w:rPr>
            </w:pPr>
            <w:r w:rsidRPr="00CF292F">
              <w:rPr>
                <w:sz w:val="22"/>
                <w:szCs w:val="22"/>
                <w:lang w:eastAsia="lt-LT"/>
              </w:rPr>
              <w:t>6723</w:t>
            </w:r>
          </w:p>
        </w:tc>
        <w:tc>
          <w:tcPr>
            <w:tcW w:w="992" w:type="dxa"/>
            <w:vAlign w:val="center"/>
          </w:tcPr>
          <w:p w14:paraId="6DDA9525" w14:textId="77777777" w:rsidR="00851564" w:rsidRPr="00CF292F" w:rsidRDefault="00851564" w:rsidP="00F06A60">
            <w:pPr>
              <w:autoSpaceDE w:val="0"/>
              <w:autoSpaceDN w:val="0"/>
              <w:adjustRightInd w:val="0"/>
              <w:jc w:val="center"/>
              <w:rPr>
                <w:rFonts w:eastAsiaTheme="minorHAnsi"/>
                <w:b/>
                <w:bCs/>
                <w:sz w:val="22"/>
                <w:szCs w:val="22"/>
              </w:rPr>
            </w:pPr>
          </w:p>
        </w:tc>
        <w:tc>
          <w:tcPr>
            <w:tcW w:w="851" w:type="dxa"/>
            <w:vAlign w:val="center"/>
          </w:tcPr>
          <w:p w14:paraId="7598AE97" w14:textId="77777777" w:rsidR="00851564" w:rsidRPr="00CF292F" w:rsidRDefault="00851564" w:rsidP="00F06A60">
            <w:pPr>
              <w:autoSpaceDE w:val="0"/>
              <w:autoSpaceDN w:val="0"/>
              <w:adjustRightInd w:val="0"/>
              <w:jc w:val="center"/>
              <w:rPr>
                <w:rFonts w:eastAsiaTheme="minorHAnsi"/>
                <w:b/>
                <w:bCs/>
                <w:sz w:val="22"/>
                <w:szCs w:val="22"/>
              </w:rPr>
            </w:pPr>
          </w:p>
        </w:tc>
        <w:tc>
          <w:tcPr>
            <w:tcW w:w="1134" w:type="dxa"/>
            <w:vAlign w:val="center"/>
          </w:tcPr>
          <w:p w14:paraId="7D6EC453" w14:textId="77777777" w:rsidR="00851564" w:rsidRPr="00CF292F" w:rsidRDefault="00851564" w:rsidP="00F06A60">
            <w:pPr>
              <w:autoSpaceDE w:val="0"/>
              <w:autoSpaceDN w:val="0"/>
              <w:adjustRightInd w:val="0"/>
              <w:jc w:val="center"/>
              <w:rPr>
                <w:rFonts w:eastAsiaTheme="minorHAnsi"/>
                <w:b/>
                <w:bCs/>
                <w:sz w:val="22"/>
                <w:szCs w:val="22"/>
              </w:rPr>
            </w:pPr>
          </w:p>
        </w:tc>
        <w:tc>
          <w:tcPr>
            <w:tcW w:w="1134" w:type="dxa"/>
            <w:vAlign w:val="center"/>
          </w:tcPr>
          <w:p w14:paraId="1D6E8C88" w14:textId="77777777" w:rsidR="00851564" w:rsidRPr="00CF292F" w:rsidRDefault="00851564" w:rsidP="00F06A60">
            <w:pPr>
              <w:autoSpaceDE w:val="0"/>
              <w:autoSpaceDN w:val="0"/>
              <w:adjustRightInd w:val="0"/>
              <w:jc w:val="center"/>
              <w:rPr>
                <w:rFonts w:eastAsiaTheme="minorHAnsi"/>
                <w:b/>
                <w:bCs/>
                <w:sz w:val="22"/>
                <w:szCs w:val="22"/>
              </w:rPr>
            </w:pPr>
          </w:p>
        </w:tc>
        <w:tc>
          <w:tcPr>
            <w:tcW w:w="1559" w:type="dxa"/>
            <w:vAlign w:val="center"/>
          </w:tcPr>
          <w:p w14:paraId="3511F1EF" w14:textId="77777777" w:rsidR="00851564" w:rsidRPr="00CF292F" w:rsidRDefault="00851564" w:rsidP="00F06A60">
            <w:pPr>
              <w:autoSpaceDE w:val="0"/>
              <w:autoSpaceDN w:val="0"/>
              <w:adjustRightInd w:val="0"/>
              <w:jc w:val="center"/>
              <w:rPr>
                <w:b/>
                <w:sz w:val="22"/>
                <w:szCs w:val="22"/>
                <w:lang w:eastAsia="lt-LT"/>
              </w:rPr>
            </w:pPr>
          </w:p>
        </w:tc>
      </w:tr>
      <w:tr w:rsidR="00851564" w:rsidRPr="00CF292F" w14:paraId="6C6DA658" w14:textId="77777777" w:rsidTr="00F06A60">
        <w:trPr>
          <w:trHeight w:val="772"/>
          <w:jc w:val="center"/>
        </w:trPr>
        <w:tc>
          <w:tcPr>
            <w:tcW w:w="846" w:type="dxa"/>
            <w:shd w:val="solid" w:color="FFFFFF" w:fill="auto"/>
            <w:vAlign w:val="center"/>
          </w:tcPr>
          <w:p w14:paraId="6A3952C9" w14:textId="77777777" w:rsidR="00851564" w:rsidRPr="00CF292F" w:rsidRDefault="00851564" w:rsidP="00F06A60">
            <w:pPr>
              <w:autoSpaceDE w:val="0"/>
              <w:autoSpaceDN w:val="0"/>
              <w:adjustRightInd w:val="0"/>
              <w:jc w:val="center"/>
              <w:rPr>
                <w:sz w:val="22"/>
                <w:szCs w:val="22"/>
                <w:lang w:eastAsia="lt-LT"/>
              </w:rPr>
            </w:pPr>
            <w:r w:rsidRPr="00CF292F">
              <w:rPr>
                <w:sz w:val="22"/>
                <w:szCs w:val="22"/>
                <w:lang w:eastAsia="lt-LT"/>
              </w:rPr>
              <w:t>2</w:t>
            </w:r>
          </w:p>
        </w:tc>
        <w:tc>
          <w:tcPr>
            <w:tcW w:w="1848" w:type="dxa"/>
            <w:vAlign w:val="center"/>
          </w:tcPr>
          <w:p w14:paraId="3429E2DB" w14:textId="77777777" w:rsidR="00851564" w:rsidRPr="00CF292F" w:rsidRDefault="00851564" w:rsidP="00F06A60">
            <w:pPr>
              <w:autoSpaceDE w:val="0"/>
              <w:autoSpaceDN w:val="0"/>
              <w:adjustRightInd w:val="0"/>
              <w:rPr>
                <w:rFonts w:eastAsiaTheme="minorHAnsi"/>
                <w:bCs/>
                <w:sz w:val="22"/>
                <w:szCs w:val="22"/>
              </w:rPr>
            </w:pPr>
            <w:r w:rsidRPr="00CF292F">
              <w:rPr>
                <w:rFonts w:eastAsiaTheme="minorHAnsi"/>
                <w:bCs/>
                <w:sz w:val="22"/>
                <w:szCs w:val="22"/>
              </w:rPr>
              <w:t>Šviežios sultys</w:t>
            </w:r>
          </w:p>
        </w:tc>
        <w:tc>
          <w:tcPr>
            <w:tcW w:w="576" w:type="dxa"/>
            <w:vAlign w:val="center"/>
          </w:tcPr>
          <w:p w14:paraId="45F0AC5F" w14:textId="77777777" w:rsidR="00851564" w:rsidRPr="00CF292F" w:rsidRDefault="00851564" w:rsidP="00F06A60">
            <w:pPr>
              <w:autoSpaceDE w:val="0"/>
              <w:autoSpaceDN w:val="0"/>
              <w:adjustRightInd w:val="0"/>
              <w:jc w:val="center"/>
              <w:rPr>
                <w:rFonts w:eastAsiaTheme="minorHAnsi"/>
                <w:bCs/>
                <w:sz w:val="22"/>
                <w:szCs w:val="22"/>
              </w:rPr>
            </w:pPr>
            <w:r w:rsidRPr="00CF292F">
              <w:rPr>
                <w:rFonts w:eastAsiaTheme="minorHAnsi"/>
                <w:bCs/>
                <w:sz w:val="22"/>
                <w:szCs w:val="22"/>
              </w:rPr>
              <w:t>l</w:t>
            </w:r>
          </w:p>
        </w:tc>
        <w:tc>
          <w:tcPr>
            <w:tcW w:w="1267" w:type="dxa"/>
            <w:vAlign w:val="center"/>
          </w:tcPr>
          <w:p w14:paraId="3D1196EC" w14:textId="77777777" w:rsidR="00851564" w:rsidRPr="00CF292F" w:rsidRDefault="00851564" w:rsidP="00F06A60">
            <w:pPr>
              <w:autoSpaceDE w:val="0"/>
              <w:autoSpaceDN w:val="0"/>
              <w:adjustRightInd w:val="0"/>
              <w:jc w:val="center"/>
              <w:rPr>
                <w:sz w:val="22"/>
                <w:szCs w:val="22"/>
                <w:lang w:eastAsia="lt-LT"/>
              </w:rPr>
            </w:pPr>
            <w:r w:rsidRPr="00CF292F">
              <w:rPr>
                <w:sz w:val="22"/>
                <w:szCs w:val="22"/>
                <w:lang w:eastAsia="lt-LT"/>
              </w:rPr>
              <w:t>6000</w:t>
            </w:r>
          </w:p>
        </w:tc>
        <w:tc>
          <w:tcPr>
            <w:tcW w:w="992" w:type="dxa"/>
            <w:vAlign w:val="center"/>
          </w:tcPr>
          <w:p w14:paraId="66D7B07A" w14:textId="77777777" w:rsidR="00851564" w:rsidRPr="00CF292F" w:rsidRDefault="00851564" w:rsidP="00F06A60">
            <w:pPr>
              <w:autoSpaceDE w:val="0"/>
              <w:autoSpaceDN w:val="0"/>
              <w:adjustRightInd w:val="0"/>
              <w:jc w:val="center"/>
              <w:rPr>
                <w:rFonts w:eastAsiaTheme="minorHAnsi"/>
                <w:b/>
                <w:bCs/>
                <w:sz w:val="22"/>
                <w:szCs w:val="22"/>
              </w:rPr>
            </w:pPr>
          </w:p>
        </w:tc>
        <w:tc>
          <w:tcPr>
            <w:tcW w:w="851" w:type="dxa"/>
            <w:vAlign w:val="center"/>
          </w:tcPr>
          <w:p w14:paraId="7B9A22DD" w14:textId="77777777" w:rsidR="00851564" w:rsidRPr="00CF292F" w:rsidRDefault="00851564" w:rsidP="00F06A60">
            <w:pPr>
              <w:autoSpaceDE w:val="0"/>
              <w:autoSpaceDN w:val="0"/>
              <w:adjustRightInd w:val="0"/>
              <w:jc w:val="center"/>
              <w:rPr>
                <w:rFonts w:eastAsiaTheme="minorHAnsi"/>
                <w:b/>
                <w:bCs/>
                <w:sz w:val="22"/>
                <w:szCs w:val="22"/>
              </w:rPr>
            </w:pPr>
          </w:p>
        </w:tc>
        <w:tc>
          <w:tcPr>
            <w:tcW w:w="1134" w:type="dxa"/>
            <w:vAlign w:val="center"/>
          </w:tcPr>
          <w:p w14:paraId="633883BA" w14:textId="77777777" w:rsidR="00851564" w:rsidRPr="00CF292F" w:rsidRDefault="00851564" w:rsidP="00F06A60">
            <w:pPr>
              <w:autoSpaceDE w:val="0"/>
              <w:autoSpaceDN w:val="0"/>
              <w:adjustRightInd w:val="0"/>
              <w:jc w:val="center"/>
              <w:rPr>
                <w:rFonts w:eastAsiaTheme="minorHAnsi"/>
                <w:b/>
                <w:bCs/>
                <w:sz w:val="22"/>
                <w:szCs w:val="22"/>
              </w:rPr>
            </w:pPr>
          </w:p>
        </w:tc>
        <w:tc>
          <w:tcPr>
            <w:tcW w:w="1134" w:type="dxa"/>
            <w:vAlign w:val="center"/>
          </w:tcPr>
          <w:p w14:paraId="0A2251C3" w14:textId="77777777" w:rsidR="00851564" w:rsidRPr="00CF292F" w:rsidRDefault="00851564" w:rsidP="00F06A60">
            <w:pPr>
              <w:autoSpaceDE w:val="0"/>
              <w:autoSpaceDN w:val="0"/>
              <w:adjustRightInd w:val="0"/>
              <w:jc w:val="center"/>
              <w:rPr>
                <w:rFonts w:eastAsiaTheme="minorHAnsi"/>
                <w:b/>
                <w:bCs/>
                <w:sz w:val="22"/>
                <w:szCs w:val="22"/>
              </w:rPr>
            </w:pPr>
          </w:p>
        </w:tc>
        <w:tc>
          <w:tcPr>
            <w:tcW w:w="1559" w:type="dxa"/>
            <w:vAlign w:val="center"/>
          </w:tcPr>
          <w:p w14:paraId="61A75B7D" w14:textId="77777777" w:rsidR="00851564" w:rsidRPr="00CF292F" w:rsidRDefault="00851564" w:rsidP="00F06A60">
            <w:pPr>
              <w:autoSpaceDE w:val="0"/>
              <w:autoSpaceDN w:val="0"/>
              <w:adjustRightInd w:val="0"/>
              <w:jc w:val="center"/>
              <w:rPr>
                <w:b/>
                <w:sz w:val="22"/>
                <w:szCs w:val="22"/>
                <w:lang w:eastAsia="lt-LT"/>
              </w:rPr>
            </w:pPr>
          </w:p>
        </w:tc>
      </w:tr>
      <w:tr w:rsidR="00851564" w:rsidRPr="00CF292F" w14:paraId="01118911" w14:textId="77777777" w:rsidTr="00F06A60">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4593794D" w14:textId="77777777" w:rsidR="00851564" w:rsidRPr="00CF292F" w:rsidRDefault="00851564" w:rsidP="00F06A60">
            <w:pPr>
              <w:jc w:val="right"/>
              <w:rPr>
                <w:b/>
                <w:sz w:val="22"/>
                <w:szCs w:val="22"/>
              </w:rPr>
            </w:pPr>
            <w:r w:rsidRPr="00CF292F">
              <w:rPr>
                <w:b/>
                <w:sz w:val="22"/>
                <w:szCs w:val="22"/>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45A15836" w14:textId="77777777" w:rsidR="00851564" w:rsidRPr="00CF292F" w:rsidRDefault="00851564" w:rsidP="00F06A60">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9C1F645" w14:textId="77777777" w:rsidR="00851564" w:rsidRPr="00CF292F" w:rsidRDefault="00851564" w:rsidP="00F06A60">
            <w:pPr>
              <w:jc w:val="center"/>
              <w:rPr>
                <w:sz w:val="22"/>
                <w:szCs w:val="22"/>
              </w:rPr>
            </w:pPr>
          </w:p>
        </w:tc>
      </w:tr>
    </w:tbl>
    <w:p w14:paraId="075B6E98" w14:textId="77777777" w:rsidR="003043E2" w:rsidRPr="003043E2" w:rsidRDefault="003043E2" w:rsidP="00A82F8B">
      <w:pPr>
        <w:pStyle w:val="Header"/>
        <w:widowControl/>
        <w:tabs>
          <w:tab w:val="clear" w:pos="4153"/>
          <w:tab w:val="clear" w:pos="8306"/>
        </w:tabs>
        <w:spacing w:after="0"/>
        <w:rPr>
          <w:b/>
          <w:color w:val="FF0000"/>
          <w:sz w:val="22"/>
          <w:szCs w:val="22"/>
          <w:u w:val="single"/>
          <w:lang w:eastAsia="en-US"/>
        </w:rPr>
      </w:pPr>
    </w:p>
    <w:p w14:paraId="28890E15" w14:textId="7EAF19CC" w:rsidR="00E84C81" w:rsidRPr="003043E2" w:rsidRDefault="00E84C81" w:rsidP="00E84C81">
      <w:pPr>
        <w:jc w:val="both"/>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t xml:space="preserve"> </w:t>
      </w:r>
      <w:r w:rsidR="00892BC9" w:rsidRPr="003043E2">
        <w:rPr>
          <w:sz w:val="22"/>
          <w:szCs w:val="22"/>
        </w:rPr>
        <w:t xml:space="preserve">        </w:t>
      </w:r>
      <w:r w:rsidRPr="003043E2">
        <w:rPr>
          <w:sz w:val="22"/>
          <w:szCs w:val="22"/>
        </w:rPr>
        <w:t xml:space="preserve"> </w:t>
      </w:r>
      <w:r w:rsidR="00C41538">
        <w:rPr>
          <w:sz w:val="22"/>
          <w:szCs w:val="22"/>
        </w:rPr>
        <w:t xml:space="preserve">    </w:t>
      </w:r>
      <w:r w:rsidRPr="003043E2">
        <w:rPr>
          <w:sz w:val="22"/>
          <w:szCs w:val="22"/>
        </w:rPr>
        <w:t xml:space="preserve">   4 lentelė</w:t>
      </w:r>
    </w:p>
    <w:p w14:paraId="28A8754C" w14:textId="77777777" w:rsidR="00410A05" w:rsidRDefault="00410A05" w:rsidP="00410A05">
      <w:pPr>
        <w:spacing w:after="120"/>
        <w:ind w:left="283"/>
        <w:jc w:val="center"/>
        <w:rPr>
          <w:b/>
          <w:sz w:val="22"/>
          <w:szCs w:val="22"/>
          <w:lang w:val="lt-LT"/>
        </w:rPr>
      </w:pPr>
      <w:r w:rsidRPr="003043E2">
        <w:rPr>
          <w:b/>
          <w:sz w:val="22"/>
          <w:szCs w:val="22"/>
          <w:lang w:val="lt-LT"/>
        </w:rPr>
        <w:t>SIŪLOMŲ PREKIŲ CHARAKTERISTIKŲ ATITIKIMAS REIKALAUJAMOMS:</w:t>
      </w:r>
    </w:p>
    <w:p w14:paraId="468E2426" w14:textId="77777777" w:rsidR="00851564" w:rsidRDefault="00851564" w:rsidP="00410A05">
      <w:pPr>
        <w:spacing w:after="120"/>
        <w:ind w:left="283"/>
        <w:jc w:val="center"/>
        <w:rPr>
          <w:b/>
          <w:sz w:val="22"/>
          <w:szCs w:val="22"/>
          <w:lang w:val="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851564" w:rsidRPr="009F6132" w14:paraId="4799F156" w14:textId="77777777" w:rsidTr="00F06A60">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6C5A71EA" w14:textId="77777777" w:rsidR="00851564" w:rsidRPr="00CF292F" w:rsidRDefault="00851564" w:rsidP="00F06A60">
            <w:pPr>
              <w:snapToGrid w:val="0"/>
              <w:jc w:val="center"/>
              <w:rPr>
                <w:rFonts w:eastAsiaTheme="minorHAnsi"/>
                <w:b/>
                <w:sz w:val="22"/>
                <w:szCs w:val="22"/>
              </w:rPr>
            </w:pPr>
            <w:r w:rsidRPr="00CF292F">
              <w:rPr>
                <w:rFonts w:eastAsiaTheme="minorHAnsi"/>
                <w:b/>
                <w:sz w:val="22"/>
                <w:szCs w:val="22"/>
              </w:rPr>
              <w:t xml:space="preserve">Pirkimo dalies </w:t>
            </w:r>
          </w:p>
          <w:p w14:paraId="64D10854" w14:textId="77777777" w:rsidR="00851564" w:rsidRPr="00CF292F" w:rsidRDefault="00851564" w:rsidP="00F06A60">
            <w:pPr>
              <w:snapToGrid w:val="0"/>
              <w:jc w:val="center"/>
              <w:rPr>
                <w:rFonts w:eastAsiaTheme="minorHAnsi"/>
                <w:b/>
                <w:sz w:val="22"/>
                <w:szCs w:val="22"/>
              </w:rPr>
            </w:pPr>
            <w:r w:rsidRPr="00CF292F">
              <w:rPr>
                <w:rFonts w:eastAsiaTheme="minorHAnsi"/>
                <w:b/>
                <w:sz w:val="22"/>
                <w:szCs w:val="22"/>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397521" w14:textId="77777777" w:rsidR="00851564" w:rsidRPr="00CF292F" w:rsidRDefault="00851564" w:rsidP="00F06A60">
            <w:pPr>
              <w:jc w:val="center"/>
              <w:rPr>
                <w:rFonts w:eastAsiaTheme="minorHAnsi"/>
                <w:b/>
                <w:sz w:val="22"/>
                <w:szCs w:val="22"/>
              </w:rPr>
            </w:pPr>
            <w:r w:rsidRPr="00CF292F">
              <w:rPr>
                <w:rFonts w:eastAsiaTheme="minorHAnsi"/>
                <w:b/>
                <w:sz w:val="22"/>
                <w:szCs w:val="22"/>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314F3B12" w14:textId="77777777" w:rsidR="00851564" w:rsidRPr="009F6132" w:rsidRDefault="00851564" w:rsidP="00F06A60">
            <w:pPr>
              <w:jc w:val="center"/>
              <w:rPr>
                <w:rFonts w:ascii="Cambria" w:eastAsiaTheme="minorHAnsi" w:hAnsi="Cambria"/>
                <w:b/>
                <w:sz w:val="20"/>
              </w:rPr>
            </w:pPr>
            <w:r w:rsidRPr="009F6132">
              <w:rPr>
                <w:rFonts w:ascii="Cambria" w:eastAsiaTheme="minorHAnsi" w:hAnsi="Cambria"/>
                <w:b/>
                <w:sz w:val="20"/>
              </w:rPr>
              <w:t>Siūloma techninė charakteristika, gamintojas</w:t>
            </w:r>
          </w:p>
        </w:tc>
      </w:tr>
      <w:tr w:rsidR="00851564" w:rsidRPr="009F6132" w14:paraId="0B93F167" w14:textId="77777777" w:rsidTr="00F06A60">
        <w:trPr>
          <w:trHeight w:val="268"/>
        </w:trPr>
        <w:tc>
          <w:tcPr>
            <w:tcW w:w="993" w:type="dxa"/>
            <w:tcBorders>
              <w:top w:val="single" w:sz="4" w:space="0" w:color="auto"/>
              <w:left w:val="single" w:sz="4" w:space="0" w:color="auto"/>
              <w:bottom w:val="single" w:sz="4" w:space="0" w:color="auto"/>
              <w:right w:val="single" w:sz="4" w:space="0" w:color="auto"/>
            </w:tcBorders>
          </w:tcPr>
          <w:p w14:paraId="77CC5B3D" w14:textId="77777777" w:rsidR="00851564" w:rsidRPr="00CF292F" w:rsidRDefault="00851564" w:rsidP="00F06A60">
            <w:pPr>
              <w:spacing w:line="264" w:lineRule="auto"/>
              <w:jc w:val="center"/>
              <w:rPr>
                <w:rFonts w:eastAsiaTheme="minorHAnsi"/>
                <w:b/>
                <w:sz w:val="22"/>
                <w:szCs w:val="22"/>
              </w:rPr>
            </w:pPr>
            <w:r w:rsidRPr="00CF292F">
              <w:rPr>
                <w:rFonts w:eastAsiaTheme="minorHAnsi"/>
                <w:b/>
                <w:sz w:val="22"/>
                <w:szCs w:val="22"/>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5D51BAF" w14:textId="77777777" w:rsidR="00851564" w:rsidRPr="00CF292F" w:rsidRDefault="00851564" w:rsidP="00F06A60">
            <w:pPr>
              <w:spacing w:line="264" w:lineRule="auto"/>
              <w:jc w:val="center"/>
              <w:rPr>
                <w:rFonts w:eastAsiaTheme="minorHAnsi"/>
                <w:b/>
                <w:color w:val="FF0000"/>
                <w:sz w:val="22"/>
                <w:szCs w:val="22"/>
              </w:rPr>
            </w:pPr>
            <w:r w:rsidRPr="00CF292F">
              <w:rPr>
                <w:rFonts w:eastAsiaTheme="minorHAnsi"/>
                <w:b/>
                <w:sz w:val="22"/>
                <w:szCs w:val="22"/>
              </w:rPr>
              <w:t>Vaisių kokteiliai</w:t>
            </w:r>
          </w:p>
        </w:tc>
      </w:tr>
      <w:tr w:rsidR="00851564" w:rsidRPr="009F6132" w14:paraId="00CE9B65" w14:textId="77777777" w:rsidTr="00F06A60">
        <w:trPr>
          <w:trHeight w:val="268"/>
        </w:trPr>
        <w:tc>
          <w:tcPr>
            <w:tcW w:w="993" w:type="dxa"/>
            <w:tcBorders>
              <w:top w:val="single" w:sz="4" w:space="0" w:color="auto"/>
              <w:left w:val="single" w:sz="4" w:space="0" w:color="auto"/>
              <w:bottom w:val="single" w:sz="4" w:space="0" w:color="auto"/>
              <w:right w:val="single" w:sz="4" w:space="0" w:color="auto"/>
            </w:tcBorders>
          </w:tcPr>
          <w:p w14:paraId="45A0B464" w14:textId="77777777" w:rsidR="00851564" w:rsidRPr="00CF292F" w:rsidRDefault="00851564" w:rsidP="00F06A60">
            <w:pPr>
              <w:spacing w:line="264" w:lineRule="auto"/>
              <w:jc w:val="center"/>
              <w:rPr>
                <w:rFonts w:eastAsiaTheme="minorHAnsi"/>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41352E1B"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t>1.1.</w:t>
            </w:r>
            <w:r w:rsidRPr="00CF292F">
              <w:rPr>
                <w:bCs/>
                <w:sz w:val="22"/>
                <w:szCs w:val="22"/>
              </w:rPr>
              <w:tab/>
              <w:t>Vaisių kokteilis (ne mažiau 4-rių rūšių) turi atitikti LR ŽŪM įsakymo Nr. 3D-712 „Vaisių sulčių ir panašių produktų techninis reglamentas“ su visais galiojančiais pakeitimais, Europos Parlamento ir Komisijos reglamento (ES) Nr. 2023/915 nustatančio didžiausias leistinas tam tikrų teršalų maisto produktuose koncentracijas bei Europos Parlamento ir Tarybos reglamento (EB) Nr. 852/2004 reikalavimus.</w:t>
            </w:r>
          </w:p>
          <w:p w14:paraId="30368A1E"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t>1.2.</w:t>
            </w:r>
            <w:r w:rsidRPr="00CF292F">
              <w:rPr>
                <w:bCs/>
                <w:sz w:val="22"/>
                <w:szCs w:val="22"/>
              </w:rPr>
              <w:tab/>
              <w:t>Vaisių kokteilis (ne mažiau 4-rių rūšių) - skirtas tiesioginiam vartojimui, turi būti nepasterizuotas, apdorotas aukštu slėgiu, tinkamas vartoti ne ilgiau kaip 35 - 45 dienas, (atidarytas tinkamas vartoti ne daugiau kaip 1 - 2 dienas).</w:t>
            </w:r>
          </w:p>
          <w:p w14:paraId="375D5F3D"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t>1.3.</w:t>
            </w:r>
            <w:r w:rsidRPr="00CF292F">
              <w:rPr>
                <w:bCs/>
                <w:sz w:val="22"/>
                <w:szCs w:val="22"/>
              </w:rPr>
              <w:tab/>
              <w:t>Sudedamosiose dalyse gali būti: šviežios trintos braškės, švieži trinti mangai, švieži trinti bananai ir kt. vaisiai ar uogos, šviežios obuolių, apelsinų, pasiflorų ir kt. sultys, antioksidantas (askorbo rūgštis). Gaminiui nenaudojami jokie genetiškai modifikuoti organizmai.</w:t>
            </w:r>
          </w:p>
          <w:p w14:paraId="141B85CC"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t>1.4.</w:t>
            </w:r>
            <w:r w:rsidRPr="00CF292F">
              <w:rPr>
                <w:bCs/>
                <w:sz w:val="22"/>
                <w:szCs w:val="22"/>
              </w:rPr>
              <w:tab/>
              <w:t>Kvapas ir skonis – šviežias, gaivus, be netipinių skonių ir kvapų.</w:t>
            </w:r>
          </w:p>
          <w:p w14:paraId="7EE8A664"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t>1.5.</w:t>
            </w:r>
            <w:r w:rsidRPr="00CF292F">
              <w:rPr>
                <w:bCs/>
                <w:sz w:val="22"/>
                <w:szCs w:val="22"/>
              </w:rPr>
              <w:tab/>
              <w:t>Pakuotė – plastiko arba lygiavertės medžiagos buteliukas su kamšteliu 0</w:t>
            </w:r>
            <w:proofErr w:type="gramStart"/>
            <w:r w:rsidRPr="00CF292F">
              <w:rPr>
                <w:bCs/>
                <w:sz w:val="22"/>
                <w:szCs w:val="22"/>
              </w:rPr>
              <w:t>,25</w:t>
            </w:r>
            <w:proofErr w:type="gramEnd"/>
            <w:r w:rsidRPr="00CF292F">
              <w:rPr>
                <w:bCs/>
                <w:sz w:val="22"/>
                <w:szCs w:val="22"/>
              </w:rPr>
              <w:t xml:space="preserve"> l (± 0,05). Antrinė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E444EE0"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lastRenderedPageBreak/>
              <w:t>1.6.</w:t>
            </w:r>
            <w:r w:rsidRPr="00CF292F">
              <w:rPr>
                <w:bCs/>
                <w:sz w:val="22"/>
                <w:szCs w:val="22"/>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5D92CDA7"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t>1.7.</w:t>
            </w:r>
            <w:r w:rsidRPr="00CF292F">
              <w:rPr>
                <w:bCs/>
                <w:sz w:val="22"/>
                <w:szCs w:val="22"/>
              </w:rPr>
              <w:tab/>
              <w:t>Ženklinamas pagal HN 119:2014 ir Europos Parlamento ir Tarybos reglamento (ES) 1169/2011 reikalavimus. Tara turi būti paženklinta etikete, kurioje lietuvių kalba turi būti nurodyta: gamintojo bei tiekėjo rekvizitai, produkto pavadinimas, sudedamosios dalys, grynasis kiekis, visos specialios laikymo arba vartojimo sąlygos, minimalus tinkamumo vartoti terminas „Tinka vartoti iki (data)”, maistinė ir energinė vertė, informacija apie gamintoją.</w:t>
            </w:r>
          </w:p>
          <w:p w14:paraId="63E8572F"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t>1.8.</w:t>
            </w:r>
            <w:r w:rsidRPr="00CF292F">
              <w:rPr>
                <w:bCs/>
                <w:sz w:val="22"/>
                <w:szCs w:val="22"/>
              </w:rPr>
              <w:tab/>
              <w:t>Prekė pristatoma su ne trumpesniu kaip 2/3 tinkamumo vartoti terminu per 1 darbo dieną nuo užsakymo perdavimo, jeigu nėra pateiktas išankstinis užsakymas, nurodantis konkrečią prekės pristatymo datą ir laiką.</w:t>
            </w:r>
          </w:p>
          <w:p w14:paraId="636585E8"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t>1.9.</w:t>
            </w:r>
            <w:r w:rsidRPr="00CF292F">
              <w:rPr>
                <w:bCs/>
                <w:sz w:val="22"/>
                <w:szCs w:val="22"/>
              </w:rPr>
              <w:tab/>
              <w:t>Tiekėjas privalo pateikti gamintojo kokybės pažymėjimą arba lygiavertį pažymėjimui dokumentą originalia kalba (jei importuojama) kartu su lietuvišku vertimu – pirmai siuntai bei tuo atveju kai pareiškiamos pretenzijos dėl produkto kokybės.</w:t>
            </w:r>
          </w:p>
          <w:p w14:paraId="48CEFB55" w14:textId="77777777" w:rsidR="00851564" w:rsidRPr="00CF292F" w:rsidRDefault="00851564" w:rsidP="00F06A60">
            <w:pPr>
              <w:tabs>
                <w:tab w:val="left" w:pos="0"/>
                <w:tab w:val="left" w:pos="567"/>
              </w:tabs>
              <w:ind w:left="567" w:hanging="675"/>
              <w:jc w:val="both"/>
              <w:rPr>
                <w:b/>
                <w:sz w:val="22"/>
                <w:szCs w:val="22"/>
                <w:lang w:eastAsia="lt-LT"/>
              </w:rPr>
            </w:pPr>
            <w:r w:rsidRPr="00CF292F">
              <w:rPr>
                <w:bCs/>
                <w:sz w:val="22"/>
                <w:szCs w:val="22"/>
              </w:rPr>
              <w:t>1.10.</w:t>
            </w:r>
            <w:r w:rsidRPr="00CF292F">
              <w:rPr>
                <w:bCs/>
                <w:sz w:val="22"/>
                <w:szCs w:val="22"/>
              </w:rPr>
              <w:tab/>
              <w:t>LSMUL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78CD4DA" w14:textId="77777777" w:rsidR="00851564" w:rsidRPr="009F6132" w:rsidRDefault="00851564" w:rsidP="00F06A60">
            <w:pPr>
              <w:spacing w:line="264" w:lineRule="auto"/>
              <w:jc w:val="both"/>
              <w:rPr>
                <w:rFonts w:ascii="Cambria" w:eastAsiaTheme="minorHAnsi" w:hAnsi="Cambria"/>
                <w:color w:val="FF0000"/>
                <w:sz w:val="20"/>
              </w:rPr>
            </w:pPr>
          </w:p>
        </w:tc>
      </w:tr>
      <w:tr w:rsidR="00851564" w:rsidRPr="009F6132" w14:paraId="3BB8BDF5" w14:textId="77777777" w:rsidTr="00F06A60">
        <w:trPr>
          <w:trHeight w:val="268"/>
        </w:trPr>
        <w:tc>
          <w:tcPr>
            <w:tcW w:w="993" w:type="dxa"/>
            <w:tcBorders>
              <w:top w:val="single" w:sz="4" w:space="0" w:color="auto"/>
              <w:left w:val="single" w:sz="4" w:space="0" w:color="auto"/>
              <w:bottom w:val="single" w:sz="4" w:space="0" w:color="auto"/>
              <w:right w:val="single" w:sz="4" w:space="0" w:color="auto"/>
            </w:tcBorders>
          </w:tcPr>
          <w:p w14:paraId="112C3042" w14:textId="77777777" w:rsidR="00851564" w:rsidRPr="00CF292F" w:rsidRDefault="00851564" w:rsidP="00F06A60">
            <w:pPr>
              <w:spacing w:line="264" w:lineRule="auto"/>
              <w:jc w:val="center"/>
              <w:rPr>
                <w:rFonts w:eastAsiaTheme="minorHAnsi"/>
                <w:b/>
                <w:sz w:val="22"/>
                <w:szCs w:val="22"/>
              </w:rPr>
            </w:pPr>
            <w:r w:rsidRPr="00CF292F">
              <w:rPr>
                <w:rFonts w:eastAsiaTheme="minorHAnsi"/>
                <w:b/>
                <w:sz w:val="22"/>
                <w:szCs w:val="22"/>
              </w:rPr>
              <w:t>2.</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7442127" w14:textId="77777777" w:rsidR="00851564" w:rsidRPr="00CF292F" w:rsidRDefault="00851564" w:rsidP="00F06A60">
            <w:pPr>
              <w:spacing w:line="264" w:lineRule="auto"/>
              <w:jc w:val="center"/>
              <w:rPr>
                <w:rFonts w:eastAsiaTheme="minorHAnsi"/>
                <w:b/>
                <w:color w:val="FF0000"/>
                <w:sz w:val="22"/>
                <w:szCs w:val="22"/>
              </w:rPr>
            </w:pPr>
            <w:r w:rsidRPr="00CF292F">
              <w:rPr>
                <w:rFonts w:eastAsiaTheme="minorHAnsi"/>
                <w:b/>
                <w:sz w:val="22"/>
                <w:szCs w:val="22"/>
              </w:rPr>
              <w:t>Šviežios sultys</w:t>
            </w:r>
          </w:p>
        </w:tc>
      </w:tr>
      <w:tr w:rsidR="00851564" w:rsidRPr="009F6132" w14:paraId="4A46B64E" w14:textId="77777777" w:rsidTr="00F06A60">
        <w:trPr>
          <w:trHeight w:val="268"/>
        </w:trPr>
        <w:tc>
          <w:tcPr>
            <w:tcW w:w="993" w:type="dxa"/>
            <w:tcBorders>
              <w:top w:val="single" w:sz="4" w:space="0" w:color="auto"/>
              <w:left w:val="single" w:sz="4" w:space="0" w:color="auto"/>
              <w:bottom w:val="single" w:sz="4" w:space="0" w:color="auto"/>
              <w:right w:val="single" w:sz="4" w:space="0" w:color="auto"/>
            </w:tcBorders>
          </w:tcPr>
          <w:p w14:paraId="395C27A3" w14:textId="77777777" w:rsidR="00851564" w:rsidRPr="00CF292F" w:rsidRDefault="00851564" w:rsidP="00F06A60">
            <w:pPr>
              <w:spacing w:line="264" w:lineRule="auto"/>
              <w:jc w:val="center"/>
              <w:rPr>
                <w:rFonts w:eastAsiaTheme="minorHAnsi"/>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1F696492" w14:textId="77777777" w:rsidR="00851564" w:rsidRPr="00CF292F" w:rsidRDefault="00851564" w:rsidP="00F06A60">
            <w:pPr>
              <w:tabs>
                <w:tab w:val="left" w:pos="0"/>
                <w:tab w:val="left" w:pos="567"/>
              </w:tabs>
              <w:ind w:left="567" w:hanging="675"/>
              <w:jc w:val="both"/>
              <w:rPr>
                <w:bCs/>
                <w:sz w:val="22"/>
                <w:szCs w:val="22"/>
              </w:rPr>
            </w:pPr>
            <w:r w:rsidRPr="00CF292F">
              <w:rPr>
                <w:sz w:val="22"/>
                <w:szCs w:val="22"/>
                <w:lang w:eastAsia="x-none"/>
              </w:rPr>
              <w:t>2.1.     Šviežios sultys (ne mažiau 2-jų rūšių)</w:t>
            </w:r>
            <w:r w:rsidRPr="00CF292F">
              <w:rPr>
                <w:b/>
                <w:sz w:val="22"/>
                <w:szCs w:val="22"/>
                <w:lang w:eastAsia="x-none"/>
              </w:rPr>
              <w:t xml:space="preserve"> </w:t>
            </w:r>
            <w:r w:rsidRPr="00CF292F">
              <w:rPr>
                <w:sz w:val="22"/>
                <w:szCs w:val="22"/>
              </w:rPr>
              <w:t xml:space="preserve">turi atitikti </w:t>
            </w:r>
            <w:r w:rsidRPr="00CF292F">
              <w:rPr>
                <w:bCs/>
                <w:sz w:val="22"/>
                <w:szCs w:val="22"/>
              </w:rPr>
              <w:t>LR ŽŪM įsakymo Nr. 3D-712 „Vaisių sulčių ir panašių produktų techninis reglamentas“ su visais galiojančiais pakeitimais, Europos Parlamento ir Komisijos reglamento (ES) Nr.2023/915 nustatančio didžiausias leistinas tam tikrų teršalų maisto produktuose koncentracijas bei Europos Parlamento ir Tarybos reglamento (EB) Nr. 852/2004 reikalavimus.</w:t>
            </w:r>
          </w:p>
          <w:p w14:paraId="2943EC0A" w14:textId="77777777" w:rsidR="00851564" w:rsidRPr="00CF292F" w:rsidRDefault="00851564" w:rsidP="00F06A60">
            <w:pPr>
              <w:tabs>
                <w:tab w:val="left" w:pos="0"/>
                <w:tab w:val="left" w:pos="567"/>
              </w:tabs>
              <w:ind w:left="567" w:hanging="675"/>
              <w:jc w:val="both"/>
              <w:rPr>
                <w:bCs/>
                <w:sz w:val="22"/>
                <w:szCs w:val="22"/>
              </w:rPr>
            </w:pPr>
            <w:r w:rsidRPr="00CF292F">
              <w:rPr>
                <w:sz w:val="22"/>
                <w:szCs w:val="22"/>
                <w:lang w:eastAsia="x-none"/>
              </w:rPr>
              <w:t>2.2.   Šviežios sultys (ne mažiau 2-jų rūšių)</w:t>
            </w:r>
            <w:r w:rsidRPr="00CF292F">
              <w:rPr>
                <w:b/>
                <w:sz w:val="22"/>
                <w:szCs w:val="22"/>
                <w:lang w:eastAsia="x-none"/>
              </w:rPr>
              <w:t xml:space="preserve"> - </w:t>
            </w:r>
            <w:r w:rsidRPr="00CF292F">
              <w:rPr>
                <w:sz w:val="22"/>
                <w:szCs w:val="22"/>
                <w:lang w:eastAsia="x-none"/>
              </w:rPr>
              <w:t>skirtos tiesioginiam vartojimui, turi būti nepasterizuotos, apdorotos aukštu slėgiu, tinkamos vartoti ne ilgiau kaip 35 - 45 dienas, (atidarytos tinkamos vartoti ne daugiau kaip 1 - 2 dienas)</w:t>
            </w:r>
            <w:r w:rsidRPr="00CF292F">
              <w:rPr>
                <w:sz w:val="22"/>
                <w:szCs w:val="22"/>
              </w:rPr>
              <w:t>.</w:t>
            </w:r>
          </w:p>
          <w:p w14:paraId="2DC2FB8C" w14:textId="77777777" w:rsidR="00851564" w:rsidRPr="00CF292F" w:rsidRDefault="00851564" w:rsidP="00F06A60">
            <w:pPr>
              <w:tabs>
                <w:tab w:val="left" w:pos="0"/>
              </w:tabs>
              <w:ind w:left="567" w:hanging="675"/>
              <w:jc w:val="both"/>
              <w:rPr>
                <w:bCs/>
                <w:sz w:val="22"/>
                <w:szCs w:val="22"/>
              </w:rPr>
            </w:pPr>
            <w:r w:rsidRPr="00CF292F">
              <w:rPr>
                <w:bCs/>
                <w:sz w:val="22"/>
                <w:szCs w:val="22"/>
              </w:rPr>
              <w:t>2.3.     Sudedamosiose dalyse</w:t>
            </w:r>
            <w:r w:rsidRPr="00CF292F">
              <w:rPr>
                <w:sz w:val="22"/>
                <w:szCs w:val="22"/>
              </w:rPr>
              <w:t xml:space="preserve"> gali būti šviežiai spaustos ananasų, pasiflorų, apelsinų, granatų ir kt. vaisių sultys</w:t>
            </w:r>
            <w:proofErr w:type="gramStart"/>
            <w:r w:rsidRPr="00CF292F">
              <w:rPr>
                <w:sz w:val="22"/>
                <w:szCs w:val="22"/>
              </w:rPr>
              <w:t>,  šviežiai</w:t>
            </w:r>
            <w:proofErr w:type="gramEnd"/>
            <w:r w:rsidRPr="00CF292F">
              <w:rPr>
                <w:sz w:val="22"/>
                <w:szCs w:val="22"/>
              </w:rPr>
              <w:t xml:space="preserve"> trinti melionai, mangai ir kt. vaisiai ar uogos. Gaminiui nenaudojami jokie genetiškai modifikuoti organizmai.</w:t>
            </w:r>
          </w:p>
          <w:p w14:paraId="2C390161" w14:textId="1E7D928F" w:rsidR="00851564" w:rsidRPr="00CF292F" w:rsidRDefault="00851564" w:rsidP="00F06A60">
            <w:pPr>
              <w:tabs>
                <w:tab w:val="left" w:pos="0"/>
                <w:tab w:val="left" w:pos="567"/>
              </w:tabs>
              <w:ind w:left="567" w:hanging="675"/>
              <w:jc w:val="both"/>
              <w:rPr>
                <w:bCs/>
                <w:sz w:val="22"/>
                <w:szCs w:val="22"/>
              </w:rPr>
            </w:pPr>
            <w:r w:rsidRPr="00CF292F">
              <w:rPr>
                <w:bCs/>
                <w:sz w:val="22"/>
                <w:szCs w:val="22"/>
              </w:rPr>
              <w:t xml:space="preserve">2.4.   </w:t>
            </w:r>
            <w:r w:rsidR="00C41538">
              <w:rPr>
                <w:bCs/>
                <w:sz w:val="22"/>
                <w:szCs w:val="22"/>
              </w:rPr>
              <w:t xml:space="preserve">   </w:t>
            </w:r>
            <w:r w:rsidRPr="00CF292F">
              <w:rPr>
                <w:bCs/>
                <w:sz w:val="22"/>
                <w:szCs w:val="22"/>
              </w:rPr>
              <w:t>Kvapas ir s</w:t>
            </w:r>
            <w:r w:rsidRPr="00CF292F">
              <w:rPr>
                <w:sz w:val="22"/>
                <w:szCs w:val="22"/>
              </w:rPr>
              <w:t>konis – šviežias, gaivus, be netipinių skonių ir kvapų.</w:t>
            </w:r>
          </w:p>
          <w:p w14:paraId="21F69FB6" w14:textId="77777777" w:rsidR="00851564" w:rsidRPr="00CF292F" w:rsidRDefault="00851564" w:rsidP="00F06A60">
            <w:pPr>
              <w:tabs>
                <w:tab w:val="left" w:pos="0"/>
                <w:tab w:val="left" w:pos="567"/>
              </w:tabs>
              <w:ind w:left="567" w:hanging="675"/>
              <w:jc w:val="both"/>
              <w:rPr>
                <w:bCs/>
                <w:sz w:val="22"/>
                <w:szCs w:val="22"/>
              </w:rPr>
            </w:pPr>
            <w:r w:rsidRPr="00CF292F">
              <w:rPr>
                <w:bCs/>
                <w:sz w:val="22"/>
                <w:szCs w:val="22"/>
              </w:rPr>
              <w:lastRenderedPageBreak/>
              <w:t>2.5.   Pakuotė – plastiko arba lygiavertės medžiagos buteliukas su kamšteliu 0</w:t>
            </w:r>
            <w:proofErr w:type="gramStart"/>
            <w:r w:rsidRPr="00CF292F">
              <w:rPr>
                <w:bCs/>
                <w:sz w:val="22"/>
                <w:szCs w:val="22"/>
              </w:rPr>
              <w:t>,5</w:t>
            </w:r>
            <w:proofErr w:type="gramEnd"/>
            <w:r w:rsidRPr="00CF292F">
              <w:rPr>
                <w:bCs/>
                <w:sz w:val="22"/>
                <w:szCs w:val="22"/>
              </w:rPr>
              <w:t xml:space="preserve"> l (± 0,05)</w:t>
            </w:r>
            <w:r w:rsidRPr="00CF292F">
              <w:rPr>
                <w:sz w:val="22"/>
                <w:szCs w:val="22"/>
              </w:rPr>
              <w:t>.</w:t>
            </w:r>
            <w:r w:rsidRPr="00CF292F">
              <w:rPr>
                <w:color w:val="1D2939"/>
                <w:sz w:val="22"/>
                <w:szCs w:val="22"/>
                <w:shd w:val="clear" w:color="auto" w:fill="FFFFFF"/>
              </w:rPr>
              <w:t xml:space="preserve"> Antrinė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0D59C8CF" w14:textId="77777777" w:rsidR="00851564" w:rsidRPr="00CF292F" w:rsidRDefault="00851564" w:rsidP="00F06A60">
            <w:pPr>
              <w:ind w:left="567" w:hanging="675"/>
              <w:jc w:val="both"/>
              <w:rPr>
                <w:bCs/>
                <w:sz w:val="22"/>
                <w:szCs w:val="22"/>
              </w:rPr>
            </w:pPr>
            <w:r w:rsidRPr="00CF292F">
              <w:rPr>
                <w:sz w:val="22"/>
                <w:szCs w:val="22"/>
              </w:rPr>
              <w:t xml:space="preserve">2.6.         Pakuojamos pagal Europos Parlamento ir Tarybos reglamentą (EB) 1935/2004 dėl žaliavų ir gaminių, skirtų liestis su maistu, Komisijos reglamentą (EB) 2023/2006 dėl medžiagų ir gaminių, skirtų liestis su maistu, ES Direktyvos 94/62/EB </w:t>
            </w:r>
            <w:r w:rsidRPr="00CF292F">
              <w:rPr>
                <w:sz w:val="22"/>
                <w:szCs w:val="22"/>
                <w:shd w:val="clear" w:color="auto" w:fill="FFFFFF"/>
              </w:rPr>
              <w:t>dėl pakuočių ir pakuočių atliekų,</w:t>
            </w:r>
            <w:r w:rsidRPr="00CF292F">
              <w:rPr>
                <w:sz w:val="22"/>
                <w:szCs w:val="22"/>
              </w:rPr>
              <w:t xml:space="preserve"> Lietuvos HN 16:2011.</w:t>
            </w:r>
          </w:p>
          <w:p w14:paraId="48796FCF" w14:textId="77777777" w:rsidR="00851564" w:rsidRPr="00CF292F" w:rsidRDefault="00851564" w:rsidP="00F06A60">
            <w:pPr>
              <w:tabs>
                <w:tab w:val="left" w:pos="0"/>
                <w:tab w:val="left" w:pos="567"/>
              </w:tabs>
              <w:ind w:left="567" w:hanging="675"/>
              <w:rPr>
                <w:bCs/>
                <w:sz w:val="22"/>
                <w:szCs w:val="22"/>
              </w:rPr>
            </w:pPr>
            <w:r w:rsidRPr="00CF292F">
              <w:rPr>
                <w:sz w:val="22"/>
                <w:szCs w:val="22"/>
              </w:rPr>
              <w:t>2.7.         Ženklinamos pagal HN 119:2014 ir Europos Parlamento ir Tarybos reglamento (ES) 1169/2011 reikalavimus. Tara turi būti paženklinta etikete, kurioje lietuvių kalba turi būti nurodyta: gamintojo bei tiekėjo rekvizitai, produkto pavadinimas,</w:t>
            </w:r>
            <w:r w:rsidRPr="00CF292F">
              <w:rPr>
                <w:color w:val="000000"/>
                <w:sz w:val="22"/>
                <w:szCs w:val="22"/>
                <w:shd w:val="clear" w:color="auto" w:fill="FFFFFF"/>
              </w:rPr>
              <w:t xml:space="preserve"> </w:t>
            </w:r>
            <w:r w:rsidRPr="00CF292F">
              <w:rPr>
                <w:sz w:val="22"/>
                <w:szCs w:val="22"/>
              </w:rPr>
              <w:t xml:space="preserve">sudedamosios dalys, </w:t>
            </w:r>
            <w:r w:rsidRPr="00CF292F">
              <w:rPr>
                <w:color w:val="000000"/>
                <w:sz w:val="22"/>
                <w:szCs w:val="22"/>
                <w:shd w:val="clear" w:color="auto" w:fill="FFFFFF"/>
              </w:rPr>
              <w:t>grynasis kiekis, visos specialios laikymo arba vartojimo sąlygos, minimalus tinkamumo vartoti terminas „</w:t>
            </w:r>
            <w:r w:rsidRPr="00CF292F">
              <w:rPr>
                <w:sz w:val="22"/>
                <w:szCs w:val="22"/>
              </w:rPr>
              <w:t>Tinka vartoti iki (data)”, maistinė ir energinė vertė,</w:t>
            </w:r>
            <w:r w:rsidRPr="00CF292F">
              <w:rPr>
                <w:color w:val="000000"/>
                <w:sz w:val="22"/>
                <w:szCs w:val="22"/>
                <w:shd w:val="clear" w:color="auto" w:fill="FFFFFF"/>
              </w:rPr>
              <w:t xml:space="preserve"> </w:t>
            </w:r>
            <w:r w:rsidRPr="00CF292F">
              <w:rPr>
                <w:sz w:val="22"/>
                <w:szCs w:val="22"/>
              </w:rPr>
              <w:t>informacija apie gamintoją</w:t>
            </w:r>
            <w:r w:rsidRPr="00CF292F">
              <w:rPr>
                <w:bCs/>
                <w:sz w:val="22"/>
                <w:szCs w:val="22"/>
              </w:rPr>
              <w:t>.</w:t>
            </w:r>
          </w:p>
          <w:p w14:paraId="75C34465" w14:textId="77777777" w:rsidR="00851564" w:rsidRPr="00CF292F" w:rsidRDefault="00851564" w:rsidP="00F06A60">
            <w:pPr>
              <w:tabs>
                <w:tab w:val="left" w:pos="0"/>
                <w:tab w:val="left" w:pos="567"/>
              </w:tabs>
              <w:ind w:left="567" w:hanging="675"/>
              <w:jc w:val="both"/>
              <w:rPr>
                <w:bCs/>
                <w:sz w:val="22"/>
                <w:szCs w:val="22"/>
              </w:rPr>
            </w:pPr>
            <w:r w:rsidRPr="00CF292F">
              <w:rPr>
                <w:color w:val="000000"/>
                <w:sz w:val="22"/>
                <w:szCs w:val="22"/>
              </w:rPr>
              <w:t>2.8.    Prekė pristatoma su ne trumpesniu kaip 2/3 tinkamumo vartoti terminu per 1 darbo dieną nuo užsakymo perdavimo,</w:t>
            </w:r>
            <w:r w:rsidRPr="00CF292F">
              <w:rPr>
                <w:sz w:val="22"/>
                <w:szCs w:val="22"/>
              </w:rPr>
              <w:t xml:space="preserve"> jeigu nėra pateiktas išankstinis užsakymas, nurodantis konkrečią prekės pristatymo datą ir laiką.</w:t>
            </w:r>
          </w:p>
          <w:p w14:paraId="5F23BB9E" w14:textId="77777777" w:rsidR="00851564" w:rsidRPr="00CF292F" w:rsidRDefault="00851564" w:rsidP="00F06A60">
            <w:pPr>
              <w:tabs>
                <w:tab w:val="left" w:pos="0"/>
                <w:tab w:val="left" w:pos="567"/>
              </w:tabs>
              <w:ind w:left="567" w:hanging="675"/>
              <w:jc w:val="both"/>
              <w:rPr>
                <w:bCs/>
                <w:sz w:val="22"/>
                <w:szCs w:val="22"/>
              </w:rPr>
            </w:pPr>
            <w:r w:rsidRPr="00CF292F">
              <w:rPr>
                <w:sz w:val="22"/>
                <w:szCs w:val="22"/>
              </w:rPr>
              <w:t>2.9</w:t>
            </w:r>
            <w:proofErr w:type="gramStart"/>
            <w:r w:rsidRPr="00CF292F">
              <w:rPr>
                <w:sz w:val="22"/>
                <w:szCs w:val="22"/>
              </w:rPr>
              <w:t>.  Tiekėjas</w:t>
            </w:r>
            <w:proofErr w:type="gramEnd"/>
            <w:r w:rsidRPr="00CF292F">
              <w:rPr>
                <w:sz w:val="22"/>
                <w:szCs w:val="22"/>
              </w:rPr>
              <w:t xml:space="preserve"> privalo pateikti gamintojo kokybės pažymėjimą arba lygiavertį pažymėjimui dokumentą originalia kalba (jei importuojama) kartu su lietuvišku vertimu – pirmai siuntai bei tuo atveju kai pareiškiamos pretenzijos dėl produkto kokybės.</w:t>
            </w:r>
          </w:p>
          <w:p w14:paraId="78E19002" w14:textId="77777777" w:rsidR="00851564" w:rsidRPr="00CF292F" w:rsidRDefault="00851564" w:rsidP="00F06A60">
            <w:pPr>
              <w:tabs>
                <w:tab w:val="left" w:pos="0"/>
                <w:tab w:val="left" w:pos="567"/>
              </w:tabs>
              <w:ind w:left="567" w:hanging="675"/>
              <w:jc w:val="both"/>
              <w:rPr>
                <w:sz w:val="22"/>
                <w:szCs w:val="22"/>
              </w:rPr>
            </w:pPr>
            <w:r w:rsidRPr="00CF292F">
              <w:rPr>
                <w:sz w:val="22"/>
                <w:szCs w:val="22"/>
              </w:rPr>
              <w:t>2.10.     LSMUL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05EA759" w14:textId="77777777" w:rsidR="00851564" w:rsidRPr="009F6132" w:rsidRDefault="00851564" w:rsidP="00F06A60">
            <w:pPr>
              <w:spacing w:line="264" w:lineRule="auto"/>
              <w:jc w:val="both"/>
              <w:rPr>
                <w:rFonts w:ascii="Cambria" w:eastAsiaTheme="minorHAnsi" w:hAnsi="Cambria"/>
                <w:color w:val="FF0000"/>
                <w:sz w:val="20"/>
              </w:rPr>
            </w:pPr>
          </w:p>
        </w:tc>
      </w:tr>
    </w:tbl>
    <w:p w14:paraId="48B0EE51" w14:textId="77777777" w:rsidR="00F04E81" w:rsidRPr="003043E2" w:rsidRDefault="00F04E81" w:rsidP="00484FD2">
      <w:pPr>
        <w:ind w:firstLine="346"/>
        <w:jc w:val="both"/>
        <w:rPr>
          <w:b/>
          <w:i/>
          <w:color w:val="000000"/>
          <w:sz w:val="22"/>
          <w:szCs w:val="22"/>
          <w:lang w:val="lt-LT"/>
        </w:rPr>
      </w:pPr>
      <w:r w:rsidRPr="00624B24">
        <w:rPr>
          <w:b/>
          <w:i/>
          <w:color w:val="000000"/>
          <w:sz w:val="22"/>
          <w:szCs w:val="22"/>
          <w:lang w:val="lt-LT"/>
        </w:rPr>
        <w:t>Pastaba. Pateikti tik LSMU ligoninės Kauno klinikų techninėje specifikacijoje nurodytą produ</w:t>
      </w:r>
      <w:r w:rsidRPr="003043E2">
        <w:rPr>
          <w:b/>
          <w:i/>
          <w:color w:val="000000"/>
          <w:sz w:val="22"/>
          <w:szCs w:val="22"/>
          <w:lang w:val="lt-LT"/>
        </w:rPr>
        <w:t>kcijos asortimentą.</w:t>
      </w:r>
    </w:p>
    <w:p w14:paraId="1838B8E9" w14:textId="46C00A28" w:rsidR="00410A05" w:rsidRPr="003043E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3043E2">
        <w:rPr>
          <w:rFonts w:eastAsia="Times New Roman"/>
          <w:b/>
          <w:i/>
          <w:sz w:val="22"/>
          <w:szCs w:val="22"/>
          <w:bdr w:val="none" w:sz="0" w:space="0" w:color="auto"/>
          <w:lang w:val="lt-LT" w:eastAsia="zh-CN"/>
        </w:rPr>
        <w:t>*</w:t>
      </w:r>
      <w:r w:rsidRPr="003043E2">
        <w:rPr>
          <w:rFonts w:eastAsia="Times New Roman"/>
          <w:b/>
          <w:sz w:val="22"/>
          <w:szCs w:val="22"/>
          <w:bdr w:val="none" w:sz="0" w:space="0" w:color="auto"/>
          <w:lang w:val="lt-LT" w:eastAsia="zh-CN"/>
        </w:rPr>
        <w:t xml:space="preserve">Pastabos: </w:t>
      </w:r>
      <w:r w:rsidRPr="003043E2">
        <w:rPr>
          <w:rFonts w:eastAsia="Times New Roman"/>
          <w:i/>
          <w:sz w:val="22"/>
          <w:szCs w:val="22"/>
          <w:bdr w:val="none" w:sz="0" w:space="0" w:color="auto"/>
          <w:lang w:val="lt-LT" w:eastAsia="zh-CN"/>
        </w:rPr>
        <w:t xml:space="preserve">Lentelė privalo būti </w:t>
      </w:r>
      <w:r w:rsidR="00C26590" w:rsidRPr="003043E2">
        <w:rPr>
          <w:rFonts w:eastAsia="Times New Roman"/>
          <w:i/>
          <w:sz w:val="22"/>
          <w:szCs w:val="22"/>
          <w:bdr w:val="none" w:sz="0" w:space="0" w:color="auto"/>
          <w:lang w:val="lt-LT" w:eastAsia="zh-CN"/>
        </w:rPr>
        <w:t xml:space="preserve">pildoma pagal </w:t>
      </w:r>
      <w:r w:rsidRPr="003043E2">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3043E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3043E2">
        <w:rPr>
          <w:rFonts w:eastAsia="Times New Roman"/>
          <w:b/>
          <w:sz w:val="22"/>
          <w:szCs w:val="22"/>
          <w:bdr w:val="none" w:sz="0" w:space="0" w:color="auto"/>
          <w:lang w:eastAsia="zh-CN"/>
        </w:rPr>
        <w:t>Pastaba.</w:t>
      </w:r>
      <w:r w:rsidRPr="003043E2">
        <w:rPr>
          <w:rFonts w:eastAsia="Times New Roman"/>
          <w:sz w:val="22"/>
          <w:szCs w:val="22"/>
          <w:bdr w:val="none" w:sz="0" w:space="0" w:color="auto"/>
          <w:lang w:eastAsia="zh-CN"/>
        </w:rPr>
        <w:t xml:space="preserve"> </w:t>
      </w:r>
      <w:r w:rsidRPr="003043E2">
        <w:rPr>
          <w:rFonts w:eastAsia="Times New Roman"/>
          <w:i/>
          <w:sz w:val="22"/>
          <w:szCs w:val="22"/>
          <w:bdr w:val="none" w:sz="0" w:space="0" w:color="auto"/>
          <w:lang w:eastAsia="zh-CN"/>
        </w:rPr>
        <w:t xml:space="preserve">Pasiūlymo lentelės grafoje </w:t>
      </w:r>
      <w:r w:rsidRPr="003043E2">
        <w:rPr>
          <w:rFonts w:eastAsia="Times New Roman"/>
          <w:b/>
          <w:i/>
          <w:sz w:val="22"/>
          <w:szCs w:val="22"/>
          <w:bdr w:val="none" w:sz="0" w:space="0" w:color="auto"/>
          <w:lang w:eastAsia="zh-CN"/>
        </w:rPr>
        <w:t>„Siūloma techninė charakteristika, gamintojas“</w:t>
      </w:r>
      <w:r w:rsidRPr="003043E2">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3043E2" w:rsidRDefault="00F26AA3" w:rsidP="00F26AA3">
      <w:pPr>
        <w:jc w:val="center"/>
        <w:rPr>
          <w:b/>
          <w:sz w:val="22"/>
          <w:szCs w:val="22"/>
        </w:rPr>
      </w:pPr>
      <w:r w:rsidRPr="003043E2">
        <w:rPr>
          <w:b/>
          <w:sz w:val="22"/>
          <w:szCs w:val="22"/>
        </w:rPr>
        <w:t>PATEIKIAMŲ DOKUMENTŲ SĄRAŠAS</w:t>
      </w:r>
    </w:p>
    <w:p w14:paraId="28890E18" w14:textId="77777777" w:rsidR="00F26AA3" w:rsidRPr="003043E2"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3043E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3043E2" w:rsidRDefault="00F26AA3" w:rsidP="009B6196">
            <w:pPr>
              <w:jc w:val="center"/>
              <w:rPr>
                <w:b/>
                <w:sz w:val="22"/>
                <w:szCs w:val="22"/>
              </w:rPr>
            </w:pPr>
            <w:r w:rsidRPr="003043E2">
              <w:rPr>
                <w:b/>
                <w:sz w:val="22"/>
                <w:szCs w:val="22"/>
              </w:rPr>
              <w:lastRenderedPageBreak/>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3043E2" w:rsidRDefault="00F26AA3" w:rsidP="009B6196">
            <w:pPr>
              <w:jc w:val="center"/>
              <w:rPr>
                <w:b/>
                <w:sz w:val="22"/>
                <w:szCs w:val="22"/>
              </w:rPr>
            </w:pPr>
            <w:r w:rsidRPr="003043E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3043E2" w:rsidRDefault="00F26AA3" w:rsidP="009B6196">
            <w:pPr>
              <w:jc w:val="center"/>
              <w:rPr>
                <w:b/>
                <w:sz w:val="22"/>
                <w:szCs w:val="22"/>
              </w:rPr>
            </w:pPr>
            <w:r w:rsidRPr="003043E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3043E2" w:rsidRDefault="00F26AA3" w:rsidP="009B6196">
            <w:pPr>
              <w:jc w:val="center"/>
              <w:rPr>
                <w:b/>
                <w:sz w:val="22"/>
                <w:szCs w:val="22"/>
              </w:rPr>
            </w:pPr>
            <w:r w:rsidRPr="003043E2">
              <w:rPr>
                <w:b/>
                <w:sz w:val="22"/>
                <w:szCs w:val="22"/>
              </w:rPr>
              <w:t>Failo, kuriame yra dokumentas, pavadinimas</w:t>
            </w:r>
          </w:p>
        </w:tc>
      </w:tr>
      <w:tr w:rsidR="00F26AA3" w:rsidRPr="003043E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3043E2" w:rsidRDefault="00F26AA3"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3043E2"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3043E2"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3043E2" w:rsidRDefault="00F26AA3" w:rsidP="009B6196">
            <w:pPr>
              <w:jc w:val="both"/>
              <w:rPr>
                <w:sz w:val="22"/>
                <w:szCs w:val="22"/>
              </w:rPr>
            </w:pPr>
          </w:p>
        </w:tc>
      </w:tr>
      <w:tr w:rsidR="001B7247" w:rsidRPr="003043E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3043E2" w:rsidRDefault="001B7247" w:rsidP="009B6196">
            <w:pPr>
              <w:jc w:val="both"/>
              <w:rPr>
                <w:sz w:val="22"/>
                <w:szCs w:val="22"/>
              </w:rPr>
            </w:pPr>
          </w:p>
        </w:tc>
      </w:tr>
      <w:tr w:rsidR="001B7247" w:rsidRPr="003043E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3043E2"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3043E2" w14:paraId="28890E31" w14:textId="77777777" w:rsidTr="0071631C">
        <w:trPr>
          <w:trHeight w:val="324"/>
        </w:trPr>
        <w:tc>
          <w:tcPr>
            <w:tcW w:w="9923" w:type="dxa"/>
          </w:tcPr>
          <w:p w14:paraId="136A42B6" w14:textId="30CDBB1D" w:rsidR="00E8111A" w:rsidRPr="003043E2" w:rsidRDefault="005E4E25" w:rsidP="00E8111A">
            <w:pPr>
              <w:ind w:right="-108"/>
              <w:jc w:val="both"/>
              <w:rPr>
                <w:sz w:val="22"/>
                <w:szCs w:val="22"/>
              </w:rPr>
            </w:pPr>
            <w:r w:rsidRPr="003043E2">
              <w:rPr>
                <w:sz w:val="22"/>
                <w:szCs w:val="22"/>
              </w:rPr>
              <w:t xml:space="preserve">   </w:t>
            </w:r>
            <w:r w:rsidR="00554366">
              <w:rPr>
                <w:sz w:val="22"/>
                <w:szCs w:val="22"/>
              </w:rPr>
              <w:t xml:space="preserve"> </w:t>
            </w:r>
            <w:r w:rsidRPr="003043E2">
              <w:rPr>
                <w:sz w:val="22"/>
                <w:szCs w:val="22"/>
              </w:rPr>
              <w:t xml:space="preserve">    </w:t>
            </w:r>
            <w:r w:rsidR="00E8111A" w:rsidRPr="003043E2">
              <w:rPr>
                <w:sz w:val="22"/>
                <w:szCs w:val="22"/>
              </w:rPr>
              <w:t>Pasiūlymas galioja iki termino, nustatyto pirkimo dokumentuose.</w:t>
            </w:r>
          </w:p>
          <w:p w14:paraId="28890E2C" w14:textId="315BD999" w:rsidR="006D4462" w:rsidRPr="003043E2" w:rsidRDefault="006D4462" w:rsidP="006D4462">
            <w:pPr>
              <w:pBdr>
                <w:bottom w:val="single" w:sz="4" w:space="1" w:color="auto"/>
              </w:pBdr>
              <w:ind w:firstLine="440"/>
              <w:jc w:val="both"/>
              <w:rPr>
                <w:b/>
                <w:color w:val="FF0000"/>
                <w:sz w:val="22"/>
                <w:szCs w:val="22"/>
              </w:rPr>
            </w:pPr>
            <w:r w:rsidRPr="003043E2">
              <w:rPr>
                <w:b/>
                <w:sz w:val="22"/>
                <w:szCs w:val="22"/>
              </w:rPr>
              <w:t>Pasiūlymo konfidencialią informaciją sudaro:</w:t>
            </w:r>
            <w:r w:rsidRPr="003043E2">
              <w:rPr>
                <w:sz w:val="22"/>
                <w:szCs w:val="22"/>
              </w:rPr>
              <w:t xml:space="preserve"> (tiekėjai </w:t>
            </w:r>
            <w:r w:rsidRPr="003043E2">
              <w:rPr>
                <w:b/>
                <w:sz w:val="22"/>
                <w:szCs w:val="22"/>
                <w:u w:val="single"/>
              </w:rPr>
              <w:t>turi nurodyti</w:t>
            </w:r>
            <w:r w:rsidRPr="003043E2">
              <w:rPr>
                <w:sz w:val="22"/>
                <w:szCs w:val="22"/>
              </w:rPr>
              <w:t>, kokia pasiūlyme pateikta informacija yra konfidenciali)</w:t>
            </w:r>
            <w:r w:rsidRPr="003043E2">
              <w:rPr>
                <w:b/>
                <w:sz w:val="22"/>
                <w:szCs w:val="22"/>
              </w:rPr>
              <w:t>:</w:t>
            </w:r>
            <w:r w:rsidR="00EC6021" w:rsidRPr="003043E2">
              <w:rPr>
                <w:b/>
                <w:sz w:val="22"/>
                <w:szCs w:val="22"/>
              </w:rPr>
              <w:t xml:space="preserve"> </w:t>
            </w:r>
            <w:r w:rsidRPr="003043E2">
              <w:rPr>
                <w:b/>
                <w:sz w:val="22"/>
                <w:szCs w:val="22"/>
              </w:rPr>
              <w:t>_______________________________________________________________</w:t>
            </w:r>
          </w:p>
          <w:p w14:paraId="28890E2D" w14:textId="77777777" w:rsidR="006D4462" w:rsidRPr="003043E2" w:rsidRDefault="006D4462" w:rsidP="006D4462">
            <w:pPr>
              <w:pBdr>
                <w:bottom w:val="single" w:sz="4" w:space="1" w:color="auto"/>
              </w:pBdr>
              <w:ind w:firstLine="440"/>
              <w:jc w:val="both"/>
              <w:rPr>
                <w:sz w:val="22"/>
                <w:szCs w:val="22"/>
              </w:rPr>
            </w:pPr>
          </w:p>
          <w:p w14:paraId="28890E2E" w14:textId="77777777" w:rsidR="006D4462" w:rsidRPr="003043E2" w:rsidRDefault="006D4462" w:rsidP="006D4462">
            <w:pPr>
              <w:pBdr>
                <w:bottom w:val="single" w:sz="4" w:space="1" w:color="auto"/>
              </w:pBdr>
              <w:ind w:firstLine="440"/>
              <w:jc w:val="both"/>
              <w:rPr>
                <w:sz w:val="22"/>
                <w:szCs w:val="22"/>
                <w:u w:val="single"/>
              </w:rPr>
            </w:pPr>
            <w:r w:rsidRPr="003043E2">
              <w:rPr>
                <w:sz w:val="22"/>
                <w:szCs w:val="22"/>
              </w:rPr>
              <w:t xml:space="preserve">Primintina, kad </w:t>
            </w:r>
            <w:r w:rsidRPr="003043E2">
              <w:rPr>
                <w:sz w:val="22"/>
                <w:szCs w:val="22"/>
                <w:lang w:eastAsia="lt-LT"/>
              </w:rPr>
              <w:t xml:space="preserve">pasiūlyme nurodytos </w:t>
            </w:r>
            <w:r w:rsidRPr="003043E2">
              <w:rPr>
                <w:b/>
                <w:sz w:val="22"/>
                <w:szCs w:val="22"/>
                <w:u w:val="single"/>
                <w:lang w:eastAsia="lt-LT"/>
              </w:rPr>
              <w:t xml:space="preserve">kainos bei įkainiai, </w:t>
            </w:r>
            <w:r w:rsidRPr="003043E2">
              <w:rPr>
                <w:sz w:val="22"/>
                <w:szCs w:val="22"/>
                <w:lang w:eastAsia="lt-LT"/>
              </w:rPr>
              <w:t>taip pat</w:t>
            </w:r>
            <w:r w:rsidRPr="003043E2">
              <w:rPr>
                <w:b/>
                <w:sz w:val="22"/>
                <w:szCs w:val="22"/>
                <w:u w:val="single"/>
                <w:lang w:eastAsia="lt-LT"/>
              </w:rPr>
              <w:t xml:space="preserve"> nuolaidos dydis ar įkainio bazė, </w:t>
            </w:r>
            <w:r w:rsidRPr="003043E2">
              <w:rPr>
                <w:sz w:val="22"/>
                <w:szCs w:val="22"/>
                <w:lang w:eastAsia="lt-LT"/>
              </w:rPr>
              <w:t>tiekėjo</w:t>
            </w:r>
            <w:r w:rsidRPr="003043E2">
              <w:rPr>
                <w:b/>
                <w:sz w:val="22"/>
                <w:szCs w:val="22"/>
                <w:u w:val="single"/>
                <w:lang w:eastAsia="lt-LT"/>
              </w:rPr>
              <w:t xml:space="preserve"> siūlomų prekių gamintojai, pavadinimai, modeliai, </w:t>
            </w:r>
            <w:r w:rsidRPr="003043E2">
              <w:rPr>
                <w:sz w:val="22"/>
                <w:szCs w:val="22"/>
                <w:lang w:eastAsia="lt-LT"/>
              </w:rPr>
              <w:t>tiekėjo</w:t>
            </w:r>
            <w:r w:rsidRPr="003043E2">
              <w:rPr>
                <w:b/>
                <w:sz w:val="22"/>
                <w:szCs w:val="22"/>
                <w:u w:val="single"/>
                <w:lang w:eastAsia="lt-LT"/>
              </w:rPr>
              <w:t xml:space="preserve"> siūlomų prekių techninės specifikacijos, </w:t>
            </w:r>
            <w:r w:rsidRPr="003043E2">
              <w:rPr>
                <w:sz w:val="22"/>
                <w:szCs w:val="22"/>
                <w:lang w:eastAsia="lt-LT"/>
              </w:rPr>
              <w:t xml:space="preserve">nurodomos užpildant perkančiosios organizacijos pateiktas lenteles, </w:t>
            </w:r>
            <w:r w:rsidRPr="003043E2">
              <w:rPr>
                <w:b/>
                <w:sz w:val="22"/>
                <w:szCs w:val="22"/>
                <w:u w:val="single"/>
                <w:lang w:eastAsia="lt-LT"/>
              </w:rPr>
              <w:t>gaminio naudotojo instrukcija</w:t>
            </w:r>
            <w:r w:rsidRPr="003043E2">
              <w:rPr>
                <w:sz w:val="22"/>
                <w:szCs w:val="22"/>
                <w:lang w:eastAsia="lt-LT"/>
              </w:rPr>
              <w:t>, tiekėjo</w:t>
            </w:r>
            <w:r w:rsidRPr="003043E2">
              <w:rPr>
                <w:b/>
                <w:sz w:val="22"/>
                <w:szCs w:val="22"/>
                <w:u w:val="single"/>
                <w:lang w:eastAsia="lt-LT"/>
              </w:rPr>
              <w:t xml:space="preserve"> siūlomų prekių atitiktį techninės specifikacijos reikalavimams įrodantys dokumentai - brošiūros, aprašymai, instrukcijos  </w:t>
            </w:r>
            <w:r w:rsidRPr="003043E2">
              <w:rPr>
                <w:sz w:val="22"/>
                <w:szCs w:val="22"/>
                <w:u w:val="single"/>
                <w:lang w:eastAsia="lt-LT"/>
              </w:rPr>
              <w:t xml:space="preserve">- </w:t>
            </w:r>
            <w:r w:rsidRPr="003043E2">
              <w:rPr>
                <w:b/>
                <w:sz w:val="22"/>
                <w:szCs w:val="22"/>
                <w:u w:val="single"/>
                <w:lang w:eastAsia="lt-LT"/>
              </w:rPr>
              <w:t>nėra konfidenciali</w:t>
            </w:r>
            <w:r w:rsidRPr="003043E2">
              <w:rPr>
                <w:b/>
                <w:sz w:val="22"/>
                <w:szCs w:val="22"/>
                <w:lang w:eastAsia="lt-LT"/>
              </w:rPr>
              <w:t xml:space="preserve"> </w:t>
            </w:r>
            <w:r w:rsidRPr="003043E2">
              <w:rPr>
                <w:b/>
                <w:sz w:val="22"/>
                <w:szCs w:val="22"/>
                <w:u w:val="single"/>
                <w:lang w:eastAsia="lt-LT"/>
              </w:rPr>
              <w:t>informacija</w:t>
            </w:r>
            <w:r w:rsidRPr="003043E2">
              <w:rPr>
                <w:b/>
                <w:sz w:val="22"/>
                <w:szCs w:val="22"/>
              </w:rPr>
              <w:t xml:space="preserve"> </w:t>
            </w:r>
            <w:r w:rsidRPr="003043E2">
              <w:rPr>
                <w:sz w:val="22"/>
                <w:szCs w:val="22"/>
              </w:rPr>
              <w:t>(plačiau skaityti</w:t>
            </w:r>
            <w:r w:rsidRPr="003043E2">
              <w:rPr>
                <w:rStyle w:val="FootnoteReference"/>
                <w:sz w:val="22"/>
                <w:szCs w:val="22"/>
              </w:rPr>
              <w:footnoteReference w:id="2"/>
            </w:r>
            <w:r w:rsidRPr="003043E2">
              <w:rPr>
                <w:sz w:val="22"/>
                <w:szCs w:val="22"/>
              </w:rPr>
              <w:t>).</w:t>
            </w:r>
          </w:p>
          <w:p w14:paraId="28890E2F" w14:textId="77777777" w:rsidR="006D4462" w:rsidRPr="003043E2" w:rsidRDefault="006D4462" w:rsidP="006D4462">
            <w:pPr>
              <w:pBdr>
                <w:bottom w:val="single" w:sz="4" w:space="1" w:color="auto"/>
              </w:pBdr>
              <w:ind w:firstLine="440"/>
              <w:rPr>
                <w:sz w:val="22"/>
                <w:szCs w:val="22"/>
                <w:u w:val="single"/>
              </w:rPr>
            </w:pPr>
          </w:p>
          <w:p w14:paraId="28890E30" w14:textId="77777777" w:rsidR="006D4462" w:rsidRPr="003043E2" w:rsidRDefault="006D4462" w:rsidP="006D4462">
            <w:pPr>
              <w:ind w:firstLine="851"/>
              <w:jc w:val="both"/>
              <w:rPr>
                <w:sz w:val="22"/>
                <w:szCs w:val="22"/>
              </w:rPr>
            </w:pPr>
            <w:r w:rsidRPr="003043E2">
              <w:rPr>
                <w:b/>
                <w:sz w:val="22"/>
                <w:szCs w:val="22"/>
              </w:rPr>
              <w:t>Pastaba.</w:t>
            </w:r>
            <w:r w:rsidRPr="003043E2">
              <w:rPr>
                <w:sz w:val="22"/>
                <w:szCs w:val="22"/>
              </w:rPr>
              <w:t xml:space="preserve"> Jei pasiūlyme nėra konfidencialios informacijos, tiekėjas </w:t>
            </w:r>
            <w:r w:rsidRPr="003043E2">
              <w:rPr>
                <w:b/>
                <w:sz w:val="22"/>
                <w:szCs w:val="22"/>
                <w:u w:val="single"/>
              </w:rPr>
              <w:t>turi nurodyti</w:t>
            </w:r>
            <w:r w:rsidRPr="003043E2">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3043E2" w14:paraId="28890E41" w14:textId="77777777" w:rsidTr="0071631C">
        <w:trPr>
          <w:trHeight w:val="170"/>
        </w:trPr>
        <w:tc>
          <w:tcPr>
            <w:tcW w:w="9720" w:type="dxa"/>
          </w:tcPr>
          <w:p w14:paraId="28890E32" w14:textId="77777777" w:rsidR="006D4462" w:rsidRPr="003043E2"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3043E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3043E2" w:rsidRDefault="006D4462" w:rsidP="006D4462">
                  <w:pPr>
                    <w:rPr>
                      <w:sz w:val="22"/>
                      <w:szCs w:val="22"/>
                    </w:rPr>
                  </w:pPr>
                </w:p>
              </w:tc>
              <w:tc>
                <w:tcPr>
                  <w:tcW w:w="604" w:type="dxa"/>
                </w:tcPr>
                <w:p w14:paraId="28890E34" w14:textId="77777777" w:rsidR="006D4462" w:rsidRPr="003043E2"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3043E2" w:rsidRDefault="006D4462" w:rsidP="006D4462">
                  <w:pPr>
                    <w:rPr>
                      <w:sz w:val="22"/>
                      <w:szCs w:val="22"/>
                    </w:rPr>
                  </w:pPr>
                </w:p>
              </w:tc>
              <w:tc>
                <w:tcPr>
                  <w:tcW w:w="701" w:type="dxa"/>
                </w:tcPr>
                <w:p w14:paraId="28890E36" w14:textId="77777777" w:rsidR="006D4462" w:rsidRPr="003043E2"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3043E2" w:rsidRDefault="006D4462" w:rsidP="006D4462">
                  <w:pPr>
                    <w:jc w:val="right"/>
                    <w:rPr>
                      <w:sz w:val="22"/>
                      <w:szCs w:val="22"/>
                    </w:rPr>
                  </w:pPr>
                </w:p>
              </w:tc>
              <w:tc>
                <w:tcPr>
                  <w:tcW w:w="789" w:type="dxa"/>
                  <w:gridSpan w:val="2"/>
                </w:tcPr>
                <w:p w14:paraId="28890E38" w14:textId="77777777" w:rsidR="006D4462" w:rsidRPr="003043E2" w:rsidRDefault="006D4462" w:rsidP="006D4462">
                  <w:pPr>
                    <w:jc w:val="right"/>
                    <w:rPr>
                      <w:sz w:val="22"/>
                      <w:szCs w:val="22"/>
                    </w:rPr>
                  </w:pPr>
                </w:p>
              </w:tc>
            </w:tr>
            <w:tr w:rsidR="006D4462" w:rsidRPr="003043E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3043E2" w:rsidRDefault="006D4462" w:rsidP="006D4462">
                  <w:pPr>
                    <w:jc w:val="center"/>
                    <w:rPr>
                      <w:sz w:val="22"/>
                      <w:szCs w:val="22"/>
                    </w:rPr>
                  </w:pPr>
                  <w:r w:rsidRPr="003043E2">
                    <w:rPr>
                      <w:sz w:val="22"/>
                      <w:szCs w:val="22"/>
                    </w:rPr>
                    <w:t>(Tiekėjo arba jo įgalioto asmens pareigų pavadinimas)</w:t>
                  </w:r>
                </w:p>
              </w:tc>
              <w:tc>
                <w:tcPr>
                  <w:tcW w:w="604" w:type="dxa"/>
                </w:tcPr>
                <w:p w14:paraId="28890E3B" w14:textId="77777777" w:rsidR="006D4462" w:rsidRPr="003043E2"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3043E2" w:rsidRDefault="006D4462" w:rsidP="006D4462">
                  <w:pPr>
                    <w:jc w:val="center"/>
                    <w:rPr>
                      <w:sz w:val="22"/>
                      <w:szCs w:val="22"/>
                    </w:rPr>
                  </w:pPr>
                  <w:r w:rsidRPr="003043E2">
                    <w:rPr>
                      <w:sz w:val="22"/>
                      <w:szCs w:val="22"/>
                    </w:rPr>
                    <w:t>(Parašas)</w:t>
                  </w:r>
                </w:p>
              </w:tc>
              <w:tc>
                <w:tcPr>
                  <w:tcW w:w="701" w:type="dxa"/>
                </w:tcPr>
                <w:p w14:paraId="28890E3D" w14:textId="77777777" w:rsidR="006D4462" w:rsidRPr="003043E2" w:rsidRDefault="006D4462" w:rsidP="006D4462">
                  <w:pPr>
                    <w:rPr>
                      <w:sz w:val="22"/>
                      <w:szCs w:val="22"/>
                    </w:rPr>
                  </w:pPr>
                </w:p>
              </w:tc>
              <w:tc>
                <w:tcPr>
                  <w:tcW w:w="2962" w:type="dxa"/>
                  <w:gridSpan w:val="2"/>
                </w:tcPr>
                <w:p w14:paraId="28890E3E" w14:textId="77777777" w:rsidR="006D4462" w:rsidRPr="003043E2" w:rsidRDefault="006D4462" w:rsidP="006D4462">
                  <w:pPr>
                    <w:rPr>
                      <w:sz w:val="22"/>
                      <w:szCs w:val="22"/>
                    </w:rPr>
                  </w:pPr>
                  <w:r w:rsidRPr="003043E2">
                    <w:rPr>
                      <w:sz w:val="22"/>
                      <w:szCs w:val="22"/>
                    </w:rPr>
                    <w:t>Vardas, pavardė</w:t>
                  </w:r>
                </w:p>
              </w:tc>
            </w:tr>
          </w:tbl>
          <w:p w14:paraId="28890E40" w14:textId="77777777" w:rsidR="006D4462" w:rsidRPr="003043E2" w:rsidRDefault="006D4462" w:rsidP="006D4462">
            <w:pPr>
              <w:ind w:right="-108" w:firstLine="720"/>
              <w:jc w:val="both"/>
              <w:rPr>
                <w:sz w:val="22"/>
                <w:szCs w:val="22"/>
              </w:rPr>
            </w:pPr>
          </w:p>
        </w:tc>
      </w:tr>
    </w:tbl>
    <w:p w14:paraId="28890E43" w14:textId="44397DB1" w:rsidR="00E2515B" w:rsidRPr="003043E2" w:rsidRDefault="00E2515B" w:rsidP="007C2D67">
      <w:pPr>
        <w:jc w:val="both"/>
        <w:rPr>
          <w:bCs/>
          <w:sz w:val="22"/>
          <w:szCs w:val="22"/>
        </w:rPr>
      </w:pPr>
    </w:p>
    <w:sectPr w:rsidR="00E2515B" w:rsidRPr="003043E2"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8A79" w14:textId="77777777" w:rsidR="00ED39D2" w:rsidRDefault="00ED39D2" w:rsidP="00922417">
      <w:r>
        <w:separator/>
      </w:r>
    </w:p>
  </w:endnote>
  <w:endnote w:type="continuationSeparator" w:id="0">
    <w:p w14:paraId="7B9F09DC" w14:textId="77777777" w:rsidR="00ED39D2" w:rsidRDefault="00ED39D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5352ED" w:rsidRDefault="00535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5352ED" w:rsidRPr="00596ED1" w:rsidRDefault="005352ED"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5352ED" w:rsidRDefault="005352ED">
    <w:pPr>
      <w:pStyle w:val="Footer"/>
      <w:jc w:val="right"/>
    </w:pPr>
  </w:p>
  <w:p w14:paraId="28890E4D" w14:textId="77777777" w:rsidR="005352ED" w:rsidRDefault="00535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916F4" w14:textId="77777777" w:rsidR="00ED39D2" w:rsidRDefault="00ED39D2" w:rsidP="00922417">
      <w:r>
        <w:separator/>
      </w:r>
    </w:p>
  </w:footnote>
  <w:footnote w:type="continuationSeparator" w:id="0">
    <w:p w14:paraId="667A3524" w14:textId="77777777" w:rsidR="00ED39D2" w:rsidRDefault="00ED39D2" w:rsidP="00922417">
      <w:r>
        <w:continuationSeparator/>
      </w:r>
    </w:p>
  </w:footnote>
  <w:footnote w:id="1">
    <w:p w14:paraId="28890E4E" w14:textId="77777777" w:rsidR="005352ED" w:rsidRPr="00C54A7B" w:rsidRDefault="005352ED"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5352ED" w:rsidRPr="00C54A7B" w:rsidRDefault="005352ED"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5352ED" w:rsidRDefault="005352ED"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5352ED" w:rsidRPr="00551FCA" w:rsidRDefault="005352ED"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5352ED" w:rsidRDefault="00535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5352ED" w:rsidRPr="003E3C91" w:rsidRDefault="005352ED"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5352ED" w:rsidRDefault="00535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4"/>
  </w:num>
  <w:num w:numId="5">
    <w:abstractNumId w:val="6"/>
  </w:num>
  <w:num w:numId="6">
    <w:abstractNumId w:val="7"/>
  </w:num>
  <w:num w:numId="7">
    <w:abstractNumId w:val="2"/>
  </w:num>
  <w:num w:numId="8">
    <w:abstractNumId w:val="8"/>
  </w:num>
  <w:num w:numId="9">
    <w:abstractNumId w:val="11"/>
  </w:num>
  <w:num w:numId="10">
    <w:abstractNumId w:val="5"/>
  </w:num>
  <w:num w:numId="11">
    <w:abstractNumId w:val="1"/>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240C"/>
    <w:rsid w:val="00026294"/>
    <w:rsid w:val="000303CD"/>
    <w:rsid w:val="00034C23"/>
    <w:rsid w:val="0004060E"/>
    <w:rsid w:val="00040F30"/>
    <w:rsid w:val="0004174F"/>
    <w:rsid w:val="0004218D"/>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1B2C"/>
    <w:rsid w:val="00147859"/>
    <w:rsid w:val="00150391"/>
    <w:rsid w:val="0015157A"/>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6DB8"/>
    <w:rsid w:val="00210D1F"/>
    <w:rsid w:val="00214D0B"/>
    <w:rsid w:val="00215ABE"/>
    <w:rsid w:val="00221A2E"/>
    <w:rsid w:val="00221BDA"/>
    <w:rsid w:val="00222A4D"/>
    <w:rsid w:val="0022405B"/>
    <w:rsid w:val="0023022D"/>
    <w:rsid w:val="00230277"/>
    <w:rsid w:val="00232B4F"/>
    <w:rsid w:val="0023302B"/>
    <w:rsid w:val="00236E14"/>
    <w:rsid w:val="002477CB"/>
    <w:rsid w:val="00250592"/>
    <w:rsid w:val="00250A44"/>
    <w:rsid w:val="002514A5"/>
    <w:rsid w:val="00252C12"/>
    <w:rsid w:val="0025604A"/>
    <w:rsid w:val="002560A0"/>
    <w:rsid w:val="002566EF"/>
    <w:rsid w:val="00256A81"/>
    <w:rsid w:val="00261BB4"/>
    <w:rsid w:val="00270FF5"/>
    <w:rsid w:val="0027183B"/>
    <w:rsid w:val="00272F42"/>
    <w:rsid w:val="00275DB1"/>
    <w:rsid w:val="00277636"/>
    <w:rsid w:val="00280251"/>
    <w:rsid w:val="002855DA"/>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963"/>
    <w:rsid w:val="00361EAF"/>
    <w:rsid w:val="0036316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44EC"/>
    <w:rsid w:val="00425995"/>
    <w:rsid w:val="00431F8F"/>
    <w:rsid w:val="004320C3"/>
    <w:rsid w:val="00437E82"/>
    <w:rsid w:val="00442E31"/>
    <w:rsid w:val="00443A9B"/>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353"/>
    <w:rsid w:val="00495AD3"/>
    <w:rsid w:val="00496080"/>
    <w:rsid w:val="004963A6"/>
    <w:rsid w:val="0049675F"/>
    <w:rsid w:val="004A67C3"/>
    <w:rsid w:val="004A70B6"/>
    <w:rsid w:val="004B1E9B"/>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52ED"/>
    <w:rsid w:val="00536C34"/>
    <w:rsid w:val="00541A1E"/>
    <w:rsid w:val="00544566"/>
    <w:rsid w:val="005450A4"/>
    <w:rsid w:val="00547486"/>
    <w:rsid w:val="00551FCA"/>
    <w:rsid w:val="00554366"/>
    <w:rsid w:val="005571A2"/>
    <w:rsid w:val="00557244"/>
    <w:rsid w:val="00562A50"/>
    <w:rsid w:val="00562C78"/>
    <w:rsid w:val="00565304"/>
    <w:rsid w:val="0057011B"/>
    <w:rsid w:val="00570269"/>
    <w:rsid w:val="00571693"/>
    <w:rsid w:val="00572A1B"/>
    <w:rsid w:val="005736DF"/>
    <w:rsid w:val="00574E85"/>
    <w:rsid w:val="00585508"/>
    <w:rsid w:val="00587F2D"/>
    <w:rsid w:val="00590947"/>
    <w:rsid w:val="005931DF"/>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B24"/>
    <w:rsid w:val="00624FDF"/>
    <w:rsid w:val="006304CB"/>
    <w:rsid w:val="006322F1"/>
    <w:rsid w:val="006324C2"/>
    <w:rsid w:val="006444C7"/>
    <w:rsid w:val="00644A09"/>
    <w:rsid w:val="00644AB8"/>
    <w:rsid w:val="00645455"/>
    <w:rsid w:val="00652BA3"/>
    <w:rsid w:val="00662BC6"/>
    <w:rsid w:val="00663868"/>
    <w:rsid w:val="00665EC6"/>
    <w:rsid w:val="0067098C"/>
    <w:rsid w:val="00677326"/>
    <w:rsid w:val="00681A4E"/>
    <w:rsid w:val="00681F0E"/>
    <w:rsid w:val="00681FE5"/>
    <w:rsid w:val="00690235"/>
    <w:rsid w:val="006955BF"/>
    <w:rsid w:val="006976D6"/>
    <w:rsid w:val="006A0327"/>
    <w:rsid w:val="006A0CC5"/>
    <w:rsid w:val="006A28C6"/>
    <w:rsid w:val="006A46ED"/>
    <w:rsid w:val="006A4F3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44E8"/>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E7C59"/>
    <w:rsid w:val="007F29F2"/>
    <w:rsid w:val="007F434E"/>
    <w:rsid w:val="007F4C5C"/>
    <w:rsid w:val="00801820"/>
    <w:rsid w:val="00802B09"/>
    <w:rsid w:val="00805429"/>
    <w:rsid w:val="00814E69"/>
    <w:rsid w:val="0081620E"/>
    <w:rsid w:val="00816CFD"/>
    <w:rsid w:val="0083280D"/>
    <w:rsid w:val="00832B3B"/>
    <w:rsid w:val="00832D15"/>
    <w:rsid w:val="008349B0"/>
    <w:rsid w:val="008361F0"/>
    <w:rsid w:val="008366BF"/>
    <w:rsid w:val="00840F30"/>
    <w:rsid w:val="0084407D"/>
    <w:rsid w:val="008442DE"/>
    <w:rsid w:val="00844364"/>
    <w:rsid w:val="0084596D"/>
    <w:rsid w:val="008469CA"/>
    <w:rsid w:val="008515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048C"/>
    <w:rsid w:val="00903F34"/>
    <w:rsid w:val="009049CB"/>
    <w:rsid w:val="00907B2E"/>
    <w:rsid w:val="00911718"/>
    <w:rsid w:val="0091306F"/>
    <w:rsid w:val="00913377"/>
    <w:rsid w:val="009135B0"/>
    <w:rsid w:val="009146AD"/>
    <w:rsid w:val="00916F61"/>
    <w:rsid w:val="00922417"/>
    <w:rsid w:val="0092269B"/>
    <w:rsid w:val="00922797"/>
    <w:rsid w:val="009254BE"/>
    <w:rsid w:val="009319BE"/>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4756"/>
    <w:rsid w:val="00966F7E"/>
    <w:rsid w:val="00974CE4"/>
    <w:rsid w:val="009806ED"/>
    <w:rsid w:val="0098137D"/>
    <w:rsid w:val="009819C2"/>
    <w:rsid w:val="00984FDB"/>
    <w:rsid w:val="0098746F"/>
    <w:rsid w:val="00987D3C"/>
    <w:rsid w:val="00992B0F"/>
    <w:rsid w:val="00995545"/>
    <w:rsid w:val="009956D5"/>
    <w:rsid w:val="009A0858"/>
    <w:rsid w:val="009A0F62"/>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E738E"/>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67E49"/>
    <w:rsid w:val="00A70AC4"/>
    <w:rsid w:val="00A72D4D"/>
    <w:rsid w:val="00A74207"/>
    <w:rsid w:val="00A74A27"/>
    <w:rsid w:val="00A74E1D"/>
    <w:rsid w:val="00A77A14"/>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4957"/>
    <w:rsid w:val="00AC6401"/>
    <w:rsid w:val="00AC7E39"/>
    <w:rsid w:val="00AD0720"/>
    <w:rsid w:val="00AD29F5"/>
    <w:rsid w:val="00AD373B"/>
    <w:rsid w:val="00AD3C2B"/>
    <w:rsid w:val="00AE674D"/>
    <w:rsid w:val="00AE7DA9"/>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A5F18"/>
    <w:rsid w:val="00BB17D2"/>
    <w:rsid w:val="00BB5A80"/>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1538"/>
    <w:rsid w:val="00C447B8"/>
    <w:rsid w:val="00C46E38"/>
    <w:rsid w:val="00C47D5F"/>
    <w:rsid w:val="00C540FC"/>
    <w:rsid w:val="00C54234"/>
    <w:rsid w:val="00C54EFF"/>
    <w:rsid w:val="00C555ED"/>
    <w:rsid w:val="00C61318"/>
    <w:rsid w:val="00C62315"/>
    <w:rsid w:val="00C64E34"/>
    <w:rsid w:val="00C7207A"/>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41B0"/>
    <w:rsid w:val="00D250B4"/>
    <w:rsid w:val="00D268BF"/>
    <w:rsid w:val="00D415D5"/>
    <w:rsid w:val="00D4546D"/>
    <w:rsid w:val="00D47904"/>
    <w:rsid w:val="00D47AD6"/>
    <w:rsid w:val="00D47BC4"/>
    <w:rsid w:val="00D51856"/>
    <w:rsid w:val="00D51EF3"/>
    <w:rsid w:val="00D52711"/>
    <w:rsid w:val="00D61E51"/>
    <w:rsid w:val="00D6358D"/>
    <w:rsid w:val="00D63691"/>
    <w:rsid w:val="00D6477A"/>
    <w:rsid w:val="00D64AB3"/>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46CD"/>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2DC3"/>
    <w:rsid w:val="00E765C8"/>
    <w:rsid w:val="00E76F7A"/>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39D2"/>
    <w:rsid w:val="00ED7FC0"/>
    <w:rsid w:val="00EE4057"/>
    <w:rsid w:val="00EE575B"/>
    <w:rsid w:val="00EE654E"/>
    <w:rsid w:val="00EE6605"/>
    <w:rsid w:val="00EF1080"/>
    <w:rsid w:val="00EF33FF"/>
    <w:rsid w:val="00EF4A7E"/>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4DB9"/>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B5291"/>
    <w:rsid w:val="00FC36F5"/>
    <w:rsid w:val="00FD0762"/>
    <w:rsid w:val="00FD1514"/>
    <w:rsid w:val="00FD418C"/>
    <w:rsid w:val="00FD67E0"/>
    <w:rsid w:val="00FE00CB"/>
    <w:rsid w:val="00FE0112"/>
    <w:rsid w:val="00FE0809"/>
    <w:rsid w:val="00FE2A7B"/>
    <w:rsid w:val="00FE69E2"/>
    <w:rsid w:val="00FF097F"/>
    <w:rsid w:val="00FF17CA"/>
    <w:rsid w:val="00FF2503"/>
    <w:rsid w:val="00FF4C55"/>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1D0AF3-5A70-4569-8EE0-68657B7D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25</Pages>
  <Words>48336</Words>
  <Characters>27553</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93</cp:revision>
  <cp:lastPrinted>2024-04-11T04:04:00Z</cp:lastPrinted>
  <dcterms:created xsi:type="dcterms:W3CDTF">2024-05-24T11:15:00Z</dcterms:created>
  <dcterms:modified xsi:type="dcterms:W3CDTF">2026-07-01T06:03:00Z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