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9639"/>
      </w:tblGrid>
      <w:tr w:rsidR="001A57D7" w14:paraId="2366D333" w14:textId="77777777" w:rsidTr="0016270A">
        <w:trPr>
          <w:cantSplit/>
          <w:trHeight w:hRule="exact" w:val="897"/>
        </w:trPr>
        <w:tc>
          <w:tcPr>
            <w:tcW w:w="9639" w:type="dxa"/>
          </w:tcPr>
          <w:p w14:paraId="0D4E1E19" w14:textId="77777777" w:rsidR="001A57D7" w:rsidRDefault="001A57D7" w:rsidP="0016270A">
            <w:pPr>
              <w:jc w:val="center"/>
              <w:rPr>
                <w:rFonts w:ascii="HelveticaLT" w:hAnsi="HelveticaLT"/>
              </w:rPr>
            </w:pPr>
            <w:r w:rsidRPr="00866D57">
              <w:rPr>
                <w:rFonts w:ascii="opensans-regular-webfont" w:hAnsi="opensans-regular-webfont"/>
                <w:noProof/>
                <w:color w:val="4F4F4F"/>
                <w:sz w:val="21"/>
                <w:szCs w:val="21"/>
                <w:lang w:eastAsia="lt-LT"/>
              </w:rPr>
              <w:drawing>
                <wp:inline distT="0" distB="0" distL="0" distR="0" wp14:anchorId="7565144F" wp14:editId="41C90420">
                  <wp:extent cx="771525" cy="476250"/>
                  <wp:effectExtent l="0" t="0" r="9525" b="0"/>
                  <wp:docPr id="1" name="Picture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08E55A96" w14:textId="77777777" w:rsidR="001A57D7" w:rsidRDefault="001A57D7" w:rsidP="0016270A">
            <w:pPr>
              <w:spacing w:before="48"/>
              <w:jc w:val="center"/>
              <w:rPr>
                <w:rFonts w:ascii="HelveticaLT" w:hAnsi="HelveticaLT"/>
                <w:b/>
              </w:rPr>
            </w:pPr>
            <w:r>
              <w:rPr>
                <w:rFonts w:ascii="HelveticaLT" w:hAnsi="HelveticaLT"/>
                <w:b/>
                <w:caps/>
                <w:sz w:val="18"/>
              </w:rPr>
              <w:fldChar w:fldCharType="begin"/>
            </w:r>
            <w:r>
              <w:rPr>
                <w:rFonts w:ascii="HelveticaLT" w:hAnsi="HelveticaLT"/>
                <w:b/>
                <w:caps/>
                <w:sz w:val="18"/>
              </w:rPr>
              <w:instrText>fillin "Padalinys"</w:instrText>
            </w:r>
            <w:r>
              <w:rPr>
                <w:rFonts w:ascii="HelveticaLT" w:hAnsi="HelveticaLT"/>
                <w:b/>
                <w:caps/>
                <w:sz w:val="18"/>
              </w:rPr>
              <w:fldChar w:fldCharType="end"/>
            </w:r>
          </w:p>
          <w:p w14:paraId="61D0D421" w14:textId="77777777" w:rsidR="001A57D7" w:rsidRDefault="001A57D7" w:rsidP="0016270A">
            <w:pPr>
              <w:tabs>
                <w:tab w:val="left" w:pos="1134"/>
              </w:tabs>
              <w:spacing w:before="1134"/>
              <w:ind w:left="284" w:right="284"/>
              <w:rPr>
                <w:rFonts w:ascii="CourierLT" w:hAnsi="CourierLT"/>
                <w:position w:val="-4"/>
              </w:rPr>
            </w:pPr>
          </w:p>
        </w:tc>
      </w:tr>
    </w:tbl>
    <w:p w14:paraId="3AC123DE" w14:textId="0B2FF14F" w:rsidR="001A57D7" w:rsidRDefault="002765D0" w:rsidP="001A57D7">
      <w:pPr>
        <w:pStyle w:val="Caption"/>
        <w:rPr>
          <w:rFonts w:ascii="Calibri" w:hAnsi="Calibri"/>
          <w:color w:val="595959"/>
        </w:rPr>
      </w:pPr>
      <w:r>
        <w:rPr>
          <w:rFonts w:ascii="Calibri" w:hAnsi="Calibri"/>
          <w:color w:val="595959"/>
        </w:rPr>
        <w:t>AKCINĖ BENDROV</w:t>
      </w:r>
      <w:r w:rsidR="001A57D7" w:rsidRPr="00A84C0B">
        <w:rPr>
          <w:rFonts w:ascii="Calibri" w:hAnsi="Calibri"/>
          <w:color w:val="595959"/>
        </w:rPr>
        <w:t>Ė „ORO NAVIGACIJA“</w:t>
      </w:r>
    </w:p>
    <w:p w14:paraId="1E89DB69" w14:textId="77777777" w:rsidR="001A57D7" w:rsidRPr="00A84C0B" w:rsidRDefault="001A57D7" w:rsidP="001A57D7">
      <w:pPr>
        <w:rPr>
          <w:rFonts w:ascii="Calibri" w:hAnsi="Calibri"/>
        </w:rPr>
      </w:pPr>
    </w:p>
    <w:p w14:paraId="1F20801D" w14:textId="77777777" w:rsidR="008255D1" w:rsidRPr="008255D1" w:rsidRDefault="008255D1" w:rsidP="008255D1">
      <w:pPr>
        <w:ind w:firstLine="737"/>
        <w:jc w:val="both"/>
        <w:rPr>
          <w:rFonts w:ascii="Calibri" w:hAnsi="Calibri"/>
          <w:sz w:val="22"/>
          <w:szCs w:val="22"/>
        </w:rPr>
      </w:pPr>
      <w:r w:rsidRPr="008255D1">
        <w:rPr>
          <w:rFonts w:ascii="Calibri" w:hAnsi="Calibri"/>
          <w:sz w:val="22"/>
          <w:szCs w:val="22"/>
        </w:rPr>
        <w:t>Tiekėjams</w:t>
      </w:r>
    </w:p>
    <w:p w14:paraId="3CDFA497" w14:textId="77777777" w:rsidR="008255D1" w:rsidRDefault="008255D1" w:rsidP="008255D1">
      <w:pPr>
        <w:ind w:firstLine="737"/>
        <w:jc w:val="both"/>
        <w:rPr>
          <w:rFonts w:ascii="Calibri" w:hAnsi="Calibri"/>
          <w:sz w:val="22"/>
          <w:szCs w:val="22"/>
        </w:rPr>
      </w:pPr>
    </w:p>
    <w:p w14:paraId="13923713" w14:textId="77777777" w:rsidR="008255D1" w:rsidRPr="008255D1" w:rsidRDefault="008255D1" w:rsidP="008255D1">
      <w:pPr>
        <w:ind w:firstLine="737"/>
        <w:jc w:val="both"/>
        <w:rPr>
          <w:rFonts w:ascii="Calibri" w:hAnsi="Calibri"/>
          <w:sz w:val="22"/>
          <w:szCs w:val="22"/>
        </w:rPr>
      </w:pPr>
    </w:p>
    <w:p w14:paraId="6AB9F657" w14:textId="77777777" w:rsidR="008255D1" w:rsidRPr="008255D1" w:rsidRDefault="008255D1" w:rsidP="008255D1">
      <w:pPr>
        <w:ind w:firstLine="737"/>
        <w:jc w:val="both"/>
        <w:rPr>
          <w:rFonts w:ascii="Calibri" w:hAnsi="Calibri"/>
          <w:sz w:val="22"/>
          <w:szCs w:val="22"/>
        </w:rPr>
      </w:pPr>
      <w:r w:rsidRPr="008255D1">
        <w:rPr>
          <w:rFonts w:ascii="Calibri" w:hAnsi="Calibri"/>
          <w:sz w:val="22"/>
          <w:szCs w:val="22"/>
        </w:rPr>
        <w:t>Siunčiama Centrinės viešųjų pirkimų</w:t>
      </w:r>
    </w:p>
    <w:p w14:paraId="0FD93FE5" w14:textId="7B2C5E5D" w:rsidR="008255D1" w:rsidRDefault="008255D1" w:rsidP="008255D1">
      <w:pPr>
        <w:ind w:firstLine="737"/>
        <w:jc w:val="both"/>
        <w:rPr>
          <w:rFonts w:ascii="Calibri" w:hAnsi="Calibri"/>
          <w:b/>
          <w:bCs/>
          <w:sz w:val="22"/>
          <w:szCs w:val="22"/>
        </w:rPr>
      </w:pPr>
      <w:r w:rsidRPr="008255D1">
        <w:rPr>
          <w:rFonts w:ascii="Calibri" w:hAnsi="Calibri"/>
          <w:sz w:val="22"/>
          <w:szCs w:val="22"/>
        </w:rPr>
        <w:t>informacinės sistemos (CVP IS) priemonėmis</w:t>
      </w:r>
    </w:p>
    <w:p w14:paraId="4B9DA028" w14:textId="77777777" w:rsidR="008255D1" w:rsidRDefault="008255D1" w:rsidP="000C420B">
      <w:pPr>
        <w:ind w:firstLine="737"/>
        <w:jc w:val="both"/>
        <w:rPr>
          <w:rFonts w:ascii="Calibri" w:hAnsi="Calibri"/>
          <w:b/>
          <w:bCs/>
          <w:sz w:val="22"/>
          <w:szCs w:val="22"/>
        </w:rPr>
      </w:pPr>
    </w:p>
    <w:p w14:paraId="0C1EC32E" w14:textId="77777777" w:rsidR="008255D1" w:rsidRDefault="008255D1" w:rsidP="000C420B">
      <w:pPr>
        <w:ind w:firstLine="737"/>
        <w:jc w:val="both"/>
        <w:rPr>
          <w:rFonts w:ascii="Calibri" w:hAnsi="Calibri"/>
          <w:b/>
          <w:bCs/>
          <w:sz w:val="22"/>
          <w:szCs w:val="22"/>
        </w:rPr>
      </w:pPr>
    </w:p>
    <w:p w14:paraId="74080C45" w14:textId="77673B51" w:rsidR="00FB2D7E" w:rsidRDefault="00FB2D7E" w:rsidP="000C420B">
      <w:pPr>
        <w:ind w:firstLine="737"/>
        <w:jc w:val="both"/>
        <w:rPr>
          <w:rFonts w:ascii="Calibri" w:hAnsi="Calibri"/>
          <w:b/>
          <w:bCs/>
          <w:sz w:val="22"/>
          <w:szCs w:val="22"/>
        </w:rPr>
      </w:pPr>
      <w:r w:rsidRPr="00FB2D7E">
        <w:rPr>
          <w:rFonts w:ascii="Calibri" w:hAnsi="Calibri"/>
          <w:b/>
          <w:bCs/>
          <w:sz w:val="22"/>
          <w:szCs w:val="22"/>
        </w:rPr>
        <w:t>DĖL ATSAKYM</w:t>
      </w:r>
      <w:r w:rsidR="00FD73B3">
        <w:rPr>
          <w:rFonts w:ascii="Calibri" w:hAnsi="Calibri"/>
          <w:b/>
          <w:bCs/>
          <w:sz w:val="22"/>
          <w:szCs w:val="22"/>
        </w:rPr>
        <w:t>Ų</w:t>
      </w:r>
      <w:r w:rsidR="00885BE5">
        <w:rPr>
          <w:rFonts w:ascii="Calibri" w:hAnsi="Calibri"/>
          <w:b/>
          <w:bCs/>
          <w:sz w:val="22"/>
          <w:szCs w:val="22"/>
        </w:rPr>
        <w:t xml:space="preserve"> Į TIEKĖJ</w:t>
      </w:r>
      <w:r w:rsidR="00FD73B3">
        <w:rPr>
          <w:rFonts w:ascii="Calibri" w:hAnsi="Calibri"/>
          <w:b/>
          <w:bCs/>
          <w:sz w:val="22"/>
          <w:szCs w:val="22"/>
        </w:rPr>
        <w:t>Ų</w:t>
      </w:r>
      <w:r w:rsidR="00885BE5">
        <w:rPr>
          <w:rFonts w:ascii="Calibri" w:hAnsi="Calibri"/>
          <w:b/>
          <w:bCs/>
          <w:sz w:val="22"/>
          <w:szCs w:val="22"/>
        </w:rPr>
        <w:t xml:space="preserve"> KLAUSIM</w:t>
      </w:r>
      <w:r w:rsidR="00FD73B3">
        <w:rPr>
          <w:rFonts w:ascii="Calibri" w:hAnsi="Calibri"/>
          <w:b/>
          <w:bCs/>
          <w:sz w:val="22"/>
          <w:szCs w:val="22"/>
        </w:rPr>
        <w:t>US</w:t>
      </w:r>
    </w:p>
    <w:p w14:paraId="7EDA20ED" w14:textId="77777777" w:rsidR="00945698" w:rsidRDefault="00945698" w:rsidP="000C420B">
      <w:pPr>
        <w:ind w:firstLine="737"/>
        <w:jc w:val="both"/>
        <w:rPr>
          <w:rFonts w:ascii="Calibri" w:hAnsi="Calibri"/>
          <w:sz w:val="22"/>
          <w:szCs w:val="22"/>
        </w:rPr>
      </w:pPr>
    </w:p>
    <w:p w14:paraId="1BF8449B" w14:textId="77777777" w:rsidR="004D49C6" w:rsidRDefault="004D49C6" w:rsidP="000C420B">
      <w:pPr>
        <w:ind w:firstLine="737"/>
        <w:jc w:val="both"/>
        <w:rPr>
          <w:rFonts w:ascii="Calibri" w:hAnsi="Calibri"/>
          <w:sz w:val="22"/>
          <w:szCs w:val="22"/>
        </w:rPr>
      </w:pPr>
    </w:p>
    <w:p w14:paraId="1BD1D56A" w14:textId="25EAC67F" w:rsidR="000C420B" w:rsidRDefault="00FB2D7E" w:rsidP="00FE0A21">
      <w:pPr>
        <w:spacing w:before="40" w:after="40"/>
        <w:ind w:firstLine="737"/>
        <w:jc w:val="both"/>
        <w:rPr>
          <w:rFonts w:ascii="Calibri" w:hAnsi="Calibri"/>
          <w:sz w:val="22"/>
          <w:szCs w:val="22"/>
        </w:rPr>
      </w:pPr>
      <w:r>
        <w:rPr>
          <w:rFonts w:ascii="Calibri" w:hAnsi="Calibri"/>
          <w:sz w:val="22"/>
          <w:szCs w:val="22"/>
        </w:rPr>
        <w:t xml:space="preserve">Akcinė bendrovė „Oro </w:t>
      </w:r>
      <w:r w:rsidR="003943D1">
        <w:rPr>
          <w:rFonts w:ascii="Calibri" w:hAnsi="Calibri"/>
          <w:sz w:val="22"/>
          <w:szCs w:val="22"/>
        </w:rPr>
        <w:t>n</w:t>
      </w:r>
      <w:r>
        <w:rPr>
          <w:rFonts w:ascii="Calibri" w:hAnsi="Calibri"/>
          <w:sz w:val="22"/>
          <w:szCs w:val="22"/>
        </w:rPr>
        <w:t xml:space="preserve">avigacija“ </w:t>
      </w:r>
      <w:r w:rsidR="007E22E9">
        <w:rPr>
          <w:rFonts w:ascii="Calibri" w:hAnsi="Calibri"/>
          <w:sz w:val="22"/>
          <w:szCs w:val="22"/>
        </w:rPr>
        <w:t xml:space="preserve">viešųjų pirkimų komisija (toliau – Komisija) </w:t>
      </w:r>
      <w:r>
        <w:rPr>
          <w:rFonts w:ascii="Calibri" w:hAnsi="Calibri"/>
          <w:sz w:val="22"/>
          <w:szCs w:val="22"/>
        </w:rPr>
        <w:t xml:space="preserve">vykdo </w:t>
      </w:r>
      <w:r w:rsidR="006B6B83">
        <w:rPr>
          <w:rFonts w:asciiTheme="minorHAnsi" w:hAnsiTheme="minorHAnsi"/>
          <w:b/>
          <w:bCs/>
          <w:sz w:val="22"/>
          <w:szCs w:val="22"/>
        </w:rPr>
        <w:t>S</w:t>
      </w:r>
      <w:r w:rsidR="006B6B83">
        <w:rPr>
          <w:rFonts w:asciiTheme="minorHAnsi" w:hAnsiTheme="minorHAnsi"/>
          <w:b/>
          <w:bCs/>
          <w:sz w:val="22"/>
          <w:szCs w:val="22"/>
        </w:rPr>
        <w:t>pecialiosios paskirties technin</w:t>
      </w:r>
      <w:r w:rsidR="006B6B83">
        <w:rPr>
          <w:rFonts w:asciiTheme="minorHAnsi" w:hAnsiTheme="minorHAnsi"/>
          <w:b/>
          <w:bCs/>
          <w:sz w:val="22"/>
          <w:szCs w:val="22"/>
        </w:rPr>
        <w:t>ės</w:t>
      </w:r>
      <w:r w:rsidR="006B6B83">
        <w:rPr>
          <w:rFonts w:asciiTheme="minorHAnsi" w:hAnsiTheme="minorHAnsi"/>
          <w:b/>
          <w:bCs/>
          <w:sz w:val="22"/>
          <w:szCs w:val="22"/>
        </w:rPr>
        <w:t xml:space="preserve"> įrang</w:t>
      </w:r>
      <w:r w:rsidR="006B6B83">
        <w:rPr>
          <w:rFonts w:asciiTheme="minorHAnsi" w:hAnsiTheme="minorHAnsi"/>
          <w:b/>
          <w:bCs/>
          <w:sz w:val="22"/>
          <w:szCs w:val="22"/>
        </w:rPr>
        <w:t>os pirkimą</w:t>
      </w:r>
      <w:r w:rsidR="007E22E9" w:rsidRPr="002A0543">
        <w:rPr>
          <w:rFonts w:asciiTheme="minorHAnsi" w:eastAsia="Calibri" w:hAnsiTheme="minorHAnsi" w:cstheme="minorHAnsi"/>
          <w:iCs/>
          <w:sz w:val="22"/>
          <w:szCs w:val="22"/>
        </w:rPr>
        <w:t xml:space="preserve"> </w:t>
      </w:r>
      <w:r w:rsidR="007E22E9">
        <w:rPr>
          <w:rFonts w:asciiTheme="minorHAnsi" w:eastAsia="Calibri" w:hAnsiTheme="minorHAnsi" w:cstheme="minorHAnsi"/>
          <w:iCs/>
          <w:sz w:val="22"/>
          <w:szCs w:val="22"/>
        </w:rPr>
        <w:t>(</w:t>
      </w:r>
      <w:r w:rsidR="007E22E9">
        <w:rPr>
          <w:rFonts w:ascii="Calibri" w:hAnsi="Calibri"/>
          <w:sz w:val="22"/>
          <w:szCs w:val="22"/>
        </w:rPr>
        <w:t xml:space="preserve">pirkimas </w:t>
      </w:r>
      <w:r w:rsidR="007E22E9" w:rsidRPr="002A0543">
        <w:rPr>
          <w:rFonts w:ascii="Calibri" w:hAnsi="Calibri"/>
          <w:sz w:val="22"/>
          <w:szCs w:val="22"/>
        </w:rPr>
        <w:t>paskelbtas 2026-06-2</w:t>
      </w:r>
      <w:r w:rsidR="006B6B83">
        <w:rPr>
          <w:rFonts w:ascii="Calibri" w:hAnsi="Calibri"/>
          <w:sz w:val="22"/>
          <w:szCs w:val="22"/>
        </w:rPr>
        <w:t>3</w:t>
      </w:r>
      <w:r w:rsidR="007E22E9">
        <w:rPr>
          <w:rFonts w:ascii="Calibri" w:hAnsi="Calibri"/>
          <w:sz w:val="22"/>
          <w:szCs w:val="22"/>
        </w:rPr>
        <w:t xml:space="preserve">, pirkimo ID. </w:t>
      </w:r>
      <w:r w:rsidR="006B6B83" w:rsidRPr="006B6B83">
        <w:rPr>
          <w:rFonts w:ascii="Calibri" w:hAnsi="Calibri"/>
          <w:sz w:val="22"/>
          <w:szCs w:val="22"/>
        </w:rPr>
        <w:t>8511501</w:t>
      </w:r>
      <w:r w:rsidR="007E22E9">
        <w:rPr>
          <w:rFonts w:ascii="Calibri" w:hAnsi="Calibri"/>
          <w:sz w:val="22"/>
          <w:szCs w:val="22"/>
        </w:rPr>
        <w:t>,</w:t>
      </w:r>
      <w:r w:rsidR="007E22E9" w:rsidRPr="002A0543">
        <w:rPr>
          <w:rFonts w:ascii="Calibri" w:hAnsi="Calibri"/>
          <w:sz w:val="22"/>
          <w:szCs w:val="22"/>
        </w:rPr>
        <w:t xml:space="preserve"> toliau – Pirkimas)</w:t>
      </w:r>
      <w:r>
        <w:rPr>
          <w:rFonts w:ascii="Calibri" w:hAnsi="Calibri"/>
          <w:sz w:val="22"/>
          <w:szCs w:val="22"/>
        </w:rPr>
        <w:t xml:space="preserve"> ir gavo </w:t>
      </w:r>
      <w:r w:rsidR="005367CF">
        <w:rPr>
          <w:rFonts w:ascii="Calibri" w:hAnsi="Calibri"/>
          <w:sz w:val="22"/>
          <w:szCs w:val="22"/>
        </w:rPr>
        <w:t xml:space="preserve">dalyvių </w:t>
      </w:r>
      <w:r w:rsidR="00885BE5">
        <w:rPr>
          <w:rFonts w:ascii="Calibri" w:hAnsi="Calibri"/>
          <w:sz w:val="22"/>
          <w:szCs w:val="22"/>
        </w:rPr>
        <w:t>klausim</w:t>
      </w:r>
      <w:r w:rsidR="006B6B83">
        <w:rPr>
          <w:rFonts w:ascii="Calibri" w:hAnsi="Calibri"/>
          <w:sz w:val="22"/>
          <w:szCs w:val="22"/>
        </w:rPr>
        <w:t>us</w:t>
      </w:r>
      <w:r>
        <w:rPr>
          <w:rFonts w:ascii="Calibri" w:hAnsi="Calibri"/>
          <w:sz w:val="22"/>
          <w:szCs w:val="22"/>
        </w:rPr>
        <w:t>.</w:t>
      </w:r>
    </w:p>
    <w:p w14:paraId="2383EA4A" w14:textId="2BFA8F4E" w:rsidR="00327F34" w:rsidRDefault="000C420B" w:rsidP="00D03A31">
      <w:pPr>
        <w:spacing w:after="120"/>
        <w:ind w:firstLine="737"/>
        <w:jc w:val="both"/>
        <w:rPr>
          <w:rFonts w:ascii="Calibri" w:hAnsi="Calibri"/>
          <w:sz w:val="22"/>
          <w:szCs w:val="22"/>
        </w:rPr>
      </w:pPr>
      <w:r w:rsidRPr="000C420B">
        <w:rPr>
          <w:rFonts w:ascii="Calibri" w:hAnsi="Calibri"/>
          <w:sz w:val="22"/>
          <w:szCs w:val="22"/>
        </w:rPr>
        <w:t>Komisija išnagrinėjo pateikt</w:t>
      </w:r>
      <w:r w:rsidR="006B41CF">
        <w:rPr>
          <w:rFonts w:ascii="Calibri" w:hAnsi="Calibri"/>
          <w:sz w:val="22"/>
          <w:szCs w:val="22"/>
        </w:rPr>
        <w:t>us</w:t>
      </w:r>
      <w:r w:rsidR="00885BE5">
        <w:rPr>
          <w:rFonts w:ascii="Calibri" w:hAnsi="Calibri"/>
          <w:sz w:val="22"/>
          <w:szCs w:val="22"/>
        </w:rPr>
        <w:t xml:space="preserve"> klausim</w:t>
      </w:r>
      <w:r w:rsidR="006B41CF">
        <w:rPr>
          <w:rFonts w:ascii="Calibri" w:hAnsi="Calibri"/>
          <w:sz w:val="22"/>
          <w:szCs w:val="22"/>
        </w:rPr>
        <w:t>us</w:t>
      </w:r>
      <w:r w:rsidRPr="000C420B">
        <w:rPr>
          <w:rFonts w:ascii="Calibri" w:hAnsi="Calibri"/>
          <w:sz w:val="22"/>
          <w:szCs w:val="22"/>
        </w:rPr>
        <w:t xml:space="preserve"> ir </w:t>
      </w:r>
      <w:r w:rsidR="00FB2D7E">
        <w:rPr>
          <w:rFonts w:ascii="Calibri" w:hAnsi="Calibri"/>
          <w:sz w:val="22"/>
          <w:szCs w:val="22"/>
        </w:rPr>
        <w:t>teikia atsakym</w:t>
      </w:r>
      <w:r w:rsidR="006B41CF">
        <w:rPr>
          <w:rFonts w:ascii="Calibri" w:hAnsi="Calibri"/>
          <w:sz w:val="22"/>
          <w:szCs w:val="22"/>
        </w:rPr>
        <w:t>us</w:t>
      </w:r>
      <w:r w:rsidR="00C30486">
        <w:rPr>
          <w:rFonts w:ascii="Calibri" w:hAnsi="Calibri"/>
          <w:sz w:val="22"/>
          <w:szCs w:val="22"/>
        </w:rPr>
        <w:t xml:space="preserve"> į j</w:t>
      </w:r>
      <w:r w:rsidR="006B41CF">
        <w:rPr>
          <w:rFonts w:ascii="Calibri" w:hAnsi="Calibri"/>
          <w:sz w:val="22"/>
          <w:szCs w:val="22"/>
        </w:rPr>
        <w:t>uos</w:t>
      </w:r>
      <w:r w:rsidRPr="000C420B">
        <w:rPr>
          <w:rFonts w:ascii="Calibri" w:hAnsi="Calibri"/>
          <w:sz w:val="22"/>
          <w:szCs w:val="22"/>
        </w:rPr>
        <w:t>:</w:t>
      </w:r>
    </w:p>
    <w:tbl>
      <w:tblPr>
        <w:tblStyle w:val="TableGrid"/>
        <w:tblW w:w="9990" w:type="dxa"/>
        <w:tblInd w:w="-275" w:type="dxa"/>
        <w:tblLook w:val="04A0" w:firstRow="1" w:lastRow="0" w:firstColumn="1" w:lastColumn="0" w:noHBand="0" w:noVBand="1"/>
      </w:tblPr>
      <w:tblGrid>
        <w:gridCol w:w="1057"/>
        <w:gridCol w:w="5873"/>
        <w:gridCol w:w="3060"/>
      </w:tblGrid>
      <w:tr w:rsidR="006B41CF" w14:paraId="62E5AB2D" w14:textId="77777777" w:rsidTr="00F863CB">
        <w:tc>
          <w:tcPr>
            <w:tcW w:w="1057" w:type="dxa"/>
          </w:tcPr>
          <w:p w14:paraId="689CE5E7" w14:textId="77777777" w:rsidR="006B41CF" w:rsidRPr="00934DE8" w:rsidRDefault="006B41CF" w:rsidP="00F863CB">
            <w:pPr>
              <w:jc w:val="center"/>
              <w:rPr>
                <w:rFonts w:ascii="Calibri" w:hAnsi="Calibri" w:cs="Calibri"/>
                <w:b/>
                <w:bCs/>
                <w:sz w:val="22"/>
                <w:szCs w:val="22"/>
              </w:rPr>
            </w:pPr>
            <w:r w:rsidRPr="00934DE8">
              <w:rPr>
                <w:rFonts w:ascii="Calibri" w:hAnsi="Calibri" w:cs="Calibri"/>
                <w:b/>
                <w:bCs/>
                <w:sz w:val="22"/>
                <w:szCs w:val="22"/>
              </w:rPr>
              <w:t>Klausimo Nr.</w:t>
            </w:r>
          </w:p>
        </w:tc>
        <w:tc>
          <w:tcPr>
            <w:tcW w:w="5873" w:type="dxa"/>
          </w:tcPr>
          <w:p w14:paraId="662CC42E" w14:textId="77777777" w:rsidR="006B41CF" w:rsidRPr="00934DE8" w:rsidRDefault="006B41CF" w:rsidP="00F863CB">
            <w:pPr>
              <w:rPr>
                <w:rFonts w:ascii="Calibri" w:hAnsi="Calibri" w:cs="Calibri"/>
                <w:b/>
                <w:bCs/>
                <w:sz w:val="22"/>
                <w:szCs w:val="22"/>
              </w:rPr>
            </w:pPr>
            <w:r w:rsidRPr="00934DE8">
              <w:rPr>
                <w:rFonts w:ascii="Calibri" w:hAnsi="Calibri" w:cs="Calibri"/>
                <w:b/>
                <w:bCs/>
                <w:sz w:val="22"/>
                <w:szCs w:val="22"/>
              </w:rPr>
              <w:t>Klausimas</w:t>
            </w:r>
          </w:p>
        </w:tc>
        <w:tc>
          <w:tcPr>
            <w:tcW w:w="3060" w:type="dxa"/>
          </w:tcPr>
          <w:p w14:paraId="5E6EFCD0" w14:textId="77777777" w:rsidR="006B41CF" w:rsidRPr="00934DE8" w:rsidRDefault="006B41CF" w:rsidP="00F863CB">
            <w:pPr>
              <w:rPr>
                <w:rFonts w:ascii="Calibri" w:hAnsi="Calibri" w:cs="Calibri"/>
                <w:b/>
                <w:bCs/>
                <w:sz w:val="22"/>
                <w:szCs w:val="22"/>
              </w:rPr>
            </w:pPr>
            <w:r w:rsidRPr="00934DE8">
              <w:rPr>
                <w:rFonts w:ascii="Calibri" w:hAnsi="Calibri" w:cs="Calibri"/>
                <w:b/>
                <w:bCs/>
                <w:sz w:val="22"/>
                <w:szCs w:val="22"/>
              </w:rPr>
              <w:t>Atsakymas</w:t>
            </w:r>
          </w:p>
        </w:tc>
      </w:tr>
      <w:tr w:rsidR="006B41CF" w14:paraId="5E344167" w14:textId="77777777" w:rsidTr="00F863CB">
        <w:tc>
          <w:tcPr>
            <w:tcW w:w="1057" w:type="dxa"/>
          </w:tcPr>
          <w:p w14:paraId="1FE4C19B" w14:textId="77777777" w:rsidR="006B41CF" w:rsidRPr="00934DE8" w:rsidRDefault="006B41CF" w:rsidP="00F863CB">
            <w:pPr>
              <w:jc w:val="center"/>
              <w:rPr>
                <w:rFonts w:ascii="Calibri" w:hAnsi="Calibri" w:cs="Calibri"/>
                <w:sz w:val="22"/>
                <w:szCs w:val="22"/>
              </w:rPr>
            </w:pPr>
            <w:r w:rsidRPr="00934DE8">
              <w:rPr>
                <w:rFonts w:ascii="Calibri" w:hAnsi="Calibri" w:cs="Calibri"/>
                <w:sz w:val="22"/>
                <w:szCs w:val="22"/>
              </w:rPr>
              <w:t>1</w:t>
            </w:r>
          </w:p>
        </w:tc>
        <w:tc>
          <w:tcPr>
            <w:tcW w:w="5873" w:type="dxa"/>
          </w:tcPr>
          <w:p w14:paraId="25E40C23" w14:textId="77777777" w:rsidR="006B41CF" w:rsidRPr="00934DE8" w:rsidRDefault="006B41CF" w:rsidP="00F863CB">
            <w:pPr>
              <w:rPr>
                <w:rFonts w:ascii="Calibri" w:hAnsi="Calibri" w:cs="Calibri"/>
                <w:sz w:val="22"/>
                <w:szCs w:val="22"/>
              </w:rPr>
            </w:pPr>
            <w:r w:rsidRPr="00934DE8">
              <w:rPr>
                <w:rFonts w:ascii="Calibri" w:hAnsi="Calibri" w:cs="Calibri"/>
                <w:sz w:val="22"/>
                <w:szCs w:val="22"/>
              </w:rPr>
              <w:t>Vadovaudamiesi viešųjų pirkimų skaidrumo, lygiateisiškumo, nediskriminavimo, proporcingumo ir racionalaus lėšų naudojimo principais, prašome patikslinti pirkimo dokumentų techninės specifikacijos 3.2.8 punkto reikalavimą. Viešųjų pirkimų įstatymo 17 straipsnyje nustatyta, kad perkančioji organizacija turi užtikrinti lygiateisiškumo, nediskriminavimo, proporcingumo ir skaidrumo principų laikymąsi bei siekti racionalaus lėšų naudojimo. Taip pat techninė specifikacija turi būti susijusi su pirkimo objektu, proporcinga pirkimo vertei ir tikslams, užtikrinti konkurenciją ir nediskriminuoti tiekėjų.</w:t>
            </w:r>
            <w:r w:rsidRPr="00934DE8">
              <w:rPr>
                <w:rFonts w:ascii="Calibri" w:hAnsi="Calibri" w:cs="Calibri"/>
                <w:sz w:val="22"/>
                <w:szCs w:val="22"/>
              </w:rPr>
              <w:br/>
            </w:r>
          </w:p>
          <w:p w14:paraId="38B2505D" w14:textId="77777777" w:rsidR="006B41CF" w:rsidRPr="00934DE8" w:rsidRDefault="006B41CF" w:rsidP="00F863CB">
            <w:pPr>
              <w:rPr>
                <w:rFonts w:ascii="Calibri" w:hAnsi="Calibri" w:cs="Calibri"/>
                <w:sz w:val="22"/>
                <w:szCs w:val="22"/>
              </w:rPr>
            </w:pPr>
            <w:r w:rsidRPr="00934DE8">
              <w:rPr>
                <w:rFonts w:ascii="Calibri" w:hAnsi="Calibri" w:cs="Calibri"/>
                <w:sz w:val="22"/>
                <w:szCs w:val="22"/>
              </w:rPr>
              <w:t>Techninės specifikacijos 3.2.8 punkte nustatyta:</w:t>
            </w:r>
            <w:r w:rsidRPr="00934DE8">
              <w:rPr>
                <w:rFonts w:ascii="Calibri" w:hAnsi="Calibri" w:cs="Calibri"/>
                <w:sz w:val="22"/>
                <w:szCs w:val="22"/>
              </w:rPr>
              <w:br/>
              <w:t xml:space="preserve">„garsiakalbį (angl. </w:t>
            </w:r>
            <w:proofErr w:type="spellStart"/>
            <w:r w:rsidRPr="00934DE8">
              <w:rPr>
                <w:rFonts w:ascii="Calibri" w:hAnsi="Calibri" w:cs="Calibri"/>
                <w:sz w:val="22"/>
                <w:szCs w:val="22"/>
              </w:rPr>
              <w:t>speaker</w:t>
            </w:r>
            <w:proofErr w:type="spellEnd"/>
            <w:r w:rsidRPr="00934DE8">
              <w:rPr>
                <w:rFonts w:ascii="Calibri" w:hAnsi="Calibri" w:cs="Calibri"/>
                <w:sz w:val="22"/>
                <w:szCs w:val="22"/>
              </w:rPr>
              <w:t xml:space="preserve">) ir mikrofoną (angl. </w:t>
            </w:r>
            <w:proofErr w:type="spellStart"/>
            <w:r w:rsidRPr="00934DE8">
              <w:rPr>
                <w:rFonts w:ascii="Calibri" w:hAnsi="Calibri" w:cs="Calibri"/>
                <w:sz w:val="22"/>
                <w:szCs w:val="22"/>
              </w:rPr>
              <w:t>microphone</w:t>
            </w:r>
            <w:proofErr w:type="spellEnd"/>
            <w:r w:rsidRPr="00934DE8">
              <w:rPr>
                <w:rFonts w:ascii="Calibri" w:hAnsi="Calibri" w:cs="Calibri"/>
                <w:sz w:val="22"/>
                <w:szCs w:val="22"/>
              </w:rPr>
              <w:t xml:space="preserve">), bei veikiantį „laisvų rankų“ (angl. </w:t>
            </w:r>
            <w:proofErr w:type="spellStart"/>
            <w:r w:rsidRPr="00934DE8">
              <w:rPr>
                <w:rFonts w:ascii="Calibri" w:hAnsi="Calibri" w:cs="Calibri"/>
                <w:sz w:val="22"/>
                <w:szCs w:val="22"/>
              </w:rPr>
              <w:t>Hands-free</w:t>
            </w:r>
            <w:proofErr w:type="spellEnd"/>
            <w:r w:rsidRPr="00934DE8">
              <w:rPr>
                <w:rFonts w:ascii="Calibri" w:hAnsi="Calibri" w:cs="Calibri"/>
                <w:sz w:val="22"/>
                <w:szCs w:val="22"/>
              </w:rPr>
              <w:t xml:space="preserve">) funkcionalumą. Naudojant funkciją netaikomas TEMPEST reikalavimas. Siūlomas įrenginys turi būti pažymėtas (TEMPEST </w:t>
            </w:r>
            <w:proofErr w:type="spellStart"/>
            <w:r w:rsidRPr="00934DE8">
              <w:rPr>
                <w:rFonts w:ascii="Calibri" w:hAnsi="Calibri" w:cs="Calibri"/>
                <w:sz w:val="22"/>
                <w:szCs w:val="22"/>
              </w:rPr>
              <w:t>Void</w:t>
            </w:r>
            <w:proofErr w:type="spellEnd"/>
            <w:r w:rsidRPr="00934DE8">
              <w:rPr>
                <w:rFonts w:ascii="Calibri" w:hAnsi="Calibri" w:cs="Calibri"/>
                <w:sz w:val="22"/>
                <w:szCs w:val="22"/>
              </w:rPr>
              <w:t xml:space="preserve"> </w:t>
            </w:r>
            <w:proofErr w:type="spellStart"/>
            <w:r w:rsidRPr="00934DE8">
              <w:rPr>
                <w:rFonts w:ascii="Calibri" w:hAnsi="Calibri" w:cs="Calibri"/>
                <w:sz w:val="22"/>
                <w:szCs w:val="22"/>
              </w:rPr>
              <w:t>if</w:t>
            </w:r>
            <w:proofErr w:type="spellEnd"/>
            <w:r w:rsidRPr="00934DE8">
              <w:rPr>
                <w:rFonts w:ascii="Calibri" w:hAnsi="Calibri" w:cs="Calibri"/>
                <w:sz w:val="22"/>
                <w:szCs w:val="22"/>
              </w:rPr>
              <w:t xml:space="preserve"> </w:t>
            </w:r>
            <w:proofErr w:type="spellStart"/>
            <w:r w:rsidRPr="00934DE8">
              <w:rPr>
                <w:rFonts w:ascii="Calibri" w:hAnsi="Calibri" w:cs="Calibri"/>
                <w:sz w:val="22"/>
                <w:szCs w:val="22"/>
              </w:rPr>
              <w:t>handsfree</w:t>
            </w:r>
            <w:proofErr w:type="spellEnd"/>
            <w:r w:rsidRPr="00934DE8">
              <w:rPr>
                <w:rFonts w:ascii="Calibri" w:hAnsi="Calibri" w:cs="Calibri"/>
                <w:sz w:val="22"/>
                <w:szCs w:val="22"/>
              </w:rPr>
              <w:t xml:space="preserve"> </w:t>
            </w:r>
            <w:proofErr w:type="spellStart"/>
            <w:r w:rsidRPr="00934DE8">
              <w:rPr>
                <w:rFonts w:ascii="Calibri" w:hAnsi="Calibri" w:cs="Calibri"/>
                <w:sz w:val="22"/>
                <w:szCs w:val="22"/>
              </w:rPr>
              <w:t>function</w:t>
            </w:r>
            <w:proofErr w:type="spellEnd"/>
            <w:r w:rsidRPr="00934DE8">
              <w:rPr>
                <w:rFonts w:ascii="Calibri" w:hAnsi="Calibri" w:cs="Calibri"/>
                <w:sz w:val="22"/>
                <w:szCs w:val="22"/>
              </w:rPr>
              <w:t xml:space="preserve"> </w:t>
            </w:r>
            <w:proofErr w:type="spellStart"/>
            <w:r w:rsidRPr="00934DE8">
              <w:rPr>
                <w:rFonts w:ascii="Calibri" w:hAnsi="Calibri" w:cs="Calibri"/>
                <w:sz w:val="22"/>
                <w:szCs w:val="22"/>
              </w:rPr>
              <w:t>is</w:t>
            </w:r>
            <w:proofErr w:type="spellEnd"/>
            <w:r w:rsidRPr="00934DE8">
              <w:rPr>
                <w:rFonts w:ascii="Calibri" w:hAnsi="Calibri" w:cs="Calibri"/>
                <w:sz w:val="22"/>
                <w:szCs w:val="22"/>
              </w:rPr>
              <w:t xml:space="preserve"> </w:t>
            </w:r>
            <w:proofErr w:type="spellStart"/>
            <w:r w:rsidRPr="00934DE8">
              <w:rPr>
                <w:rFonts w:ascii="Calibri" w:hAnsi="Calibri" w:cs="Calibri"/>
                <w:sz w:val="22"/>
                <w:szCs w:val="22"/>
              </w:rPr>
              <w:t>used</w:t>
            </w:r>
            <w:proofErr w:type="spellEnd"/>
            <w:r w:rsidRPr="00934DE8">
              <w:rPr>
                <w:rFonts w:ascii="Calibri" w:hAnsi="Calibri" w:cs="Calibri"/>
                <w:sz w:val="22"/>
                <w:szCs w:val="22"/>
              </w:rPr>
              <w:t xml:space="preserve"> arba panašiai).“</w:t>
            </w:r>
            <w:r w:rsidRPr="00934DE8">
              <w:rPr>
                <w:rFonts w:ascii="Calibri" w:hAnsi="Calibri" w:cs="Calibri"/>
                <w:sz w:val="22"/>
                <w:szCs w:val="22"/>
              </w:rPr>
              <w:br/>
              <w:t>Atkreipiame dėmesį, kad šis reikalavimas kelia neaiškumų dėl jo suderinamumo su pirkimo objekto saugumo tikslais ir TEMPEST reikalavimų logika. Jeigu perkamas įrenginys turi atitikti TEMPEST saugumo reikalavimus, reikalavimas turėti aktyvų mikrofoną, garsiakalbį ir veikiantį „laisvų rankų“ funkcionalumą gali sudaryti papildomą informacijos nutekėjimo riziką, kadangi įrenginyje paliekamas aktyvus garso priėmimo komponentas – mikrofonas.</w:t>
            </w:r>
            <w:r w:rsidRPr="00934DE8">
              <w:rPr>
                <w:rFonts w:ascii="Calibri" w:hAnsi="Calibri" w:cs="Calibri"/>
                <w:sz w:val="22"/>
                <w:szCs w:val="22"/>
              </w:rPr>
              <w:br/>
              <w:t>Pažymime, kad rinkoje esantys TEMPEST saugumo reikalavimus atitinkantys IP telefonai paprastai yra pritaikomi taip, kad būtų eliminuojamos papildomos informacijos nutekėjimo rizikos, įskaitant mikrofono ar „laisvų rankų“ funkcionalumo fizinį pašalinimą, išjungimą arba nenaudojimą. Todėl reikalavimas vienu metu turėti veikiantį „</w:t>
            </w:r>
            <w:proofErr w:type="spellStart"/>
            <w:r w:rsidRPr="00934DE8">
              <w:rPr>
                <w:rFonts w:ascii="Calibri" w:hAnsi="Calibri" w:cs="Calibri"/>
                <w:sz w:val="22"/>
                <w:szCs w:val="22"/>
              </w:rPr>
              <w:t>hands-free</w:t>
            </w:r>
            <w:proofErr w:type="spellEnd"/>
            <w:r w:rsidRPr="00934DE8">
              <w:rPr>
                <w:rFonts w:ascii="Calibri" w:hAnsi="Calibri" w:cs="Calibri"/>
                <w:sz w:val="22"/>
                <w:szCs w:val="22"/>
              </w:rPr>
              <w:t xml:space="preserve">“ </w:t>
            </w:r>
            <w:r w:rsidRPr="00934DE8">
              <w:rPr>
                <w:rFonts w:ascii="Calibri" w:hAnsi="Calibri" w:cs="Calibri"/>
                <w:sz w:val="22"/>
                <w:szCs w:val="22"/>
              </w:rPr>
              <w:lastRenderedPageBreak/>
              <w:t>funkcionalumą ir kartu užtikrinti TEMPEST atitiktį praktikoje gali būti prieštaringas arba neįgyvendinamas nepakenkiant saugumo lygiui.</w:t>
            </w:r>
            <w:r w:rsidRPr="00934DE8">
              <w:rPr>
                <w:rFonts w:ascii="Calibri" w:hAnsi="Calibri" w:cs="Calibri"/>
                <w:sz w:val="22"/>
                <w:szCs w:val="22"/>
              </w:rPr>
              <w:br/>
            </w:r>
          </w:p>
          <w:p w14:paraId="2BC1DBB9" w14:textId="77777777" w:rsidR="006B41CF" w:rsidRPr="00934DE8" w:rsidRDefault="006B41CF" w:rsidP="00F863CB">
            <w:pPr>
              <w:rPr>
                <w:rFonts w:ascii="Calibri" w:hAnsi="Calibri" w:cs="Calibri"/>
                <w:sz w:val="22"/>
                <w:szCs w:val="22"/>
              </w:rPr>
            </w:pPr>
            <w:r w:rsidRPr="00934DE8">
              <w:rPr>
                <w:rFonts w:ascii="Calibri" w:hAnsi="Calibri" w:cs="Calibri"/>
                <w:sz w:val="22"/>
                <w:szCs w:val="22"/>
              </w:rPr>
              <w:t>Atsižvelgiant į tai, prašome perkančiosios organizacijos:</w:t>
            </w:r>
            <w:r w:rsidRPr="00934DE8">
              <w:rPr>
                <w:rFonts w:ascii="Calibri" w:hAnsi="Calibri" w:cs="Calibri"/>
                <w:sz w:val="22"/>
                <w:szCs w:val="22"/>
              </w:rPr>
              <w:br/>
              <w:t>Paaiškinti, ar perkančioji organizacija iš tiesų reikalauja, kad siūlomas IP telefonas turėtų aktyvų ir veikiantį mikrofoną, garsiakalbį bei „laisvų rankų“ funkciją, net jeigu toks funkcionalumas pagal gamintojo / tiekėjo saugumo vertinimą panaikina arba apriboja TEMPEST atitiktį.</w:t>
            </w:r>
            <w:r w:rsidRPr="00934DE8">
              <w:rPr>
                <w:rFonts w:ascii="Calibri" w:hAnsi="Calibri" w:cs="Calibri"/>
                <w:sz w:val="22"/>
                <w:szCs w:val="22"/>
              </w:rPr>
              <w:br/>
            </w:r>
            <w:r w:rsidRPr="00934DE8">
              <w:rPr>
                <w:rFonts w:ascii="Calibri" w:hAnsi="Calibri" w:cs="Calibri"/>
                <w:sz w:val="22"/>
                <w:szCs w:val="22"/>
              </w:rPr>
              <w:br/>
              <w:t>Patikslinti, ar būtų laikomas tinkamu įrenginys, kuriame mikrofonas ir / arba „laisvų rankų“ funkcionalumas yra fiziškai pašalintas, išjungtas arba techniškai blokuotas, siekiant užtikrinti TEMPEST saugumo reikalavimų laikymąsi.</w:t>
            </w:r>
            <w:r w:rsidRPr="00934DE8">
              <w:rPr>
                <w:rFonts w:ascii="Calibri" w:hAnsi="Calibri" w:cs="Calibri"/>
                <w:sz w:val="22"/>
                <w:szCs w:val="22"/>
              </w:rPr>
              <w:br/>
            </w:r>
            <w:r w:rsidRPr="00934DE8">
              <w:rPr>
                <w:rFonts w:ascii="Calibri" w:hAnsi="Calibri" w:cs="Calibri"/>
                <w:sz w:val="22"/>
                <w:szCs w:val="22"/>
              </w:rPr>
              <w:br/>
              <w:t>Įvertinti galimybę pakeisti techninės specifikacijos 3.2.8 punktą, atsisakant privalomo reikalavimo turėti veikiantį „laisvų rankų“ funkcionalumą, kai jis nesuderinamas su TEMPEST saugumo reikalavimais.</w:t>
            </w:r>
            <w:r w:rsidRPr="00934DE8">
              <w:rPr>
                <w:rFonts w:ascii="Calibri" w:hAnsi="Calibri" w:cs="Calibri"/>
                <w:sz w:val="22"/>
                <w:szCs w:val="22"/>
              </w:rPr>
              <w:br/>
            </w:r>
            <w:r w:rsidRPr="00934DE8">
              <w:rPr>
                <w:rFonts w:ascii="Calibri" w:hAnsi="Calibri" w:cs="Calibri"/>
                <w:sz w:val="22"/>
                <w:szCs w:val="22"/>
              </w:rPr>
              <w:br/>
              <w:t>Siūlome 3.2.8 punktą išdėstyti taip:</w:t>
            </w:r>
            <w:r w:rsidRPr="00934DE8">
              <w:rPr>
                <w:rFonts w:ascii="Calibri" w:hAnsi="Calibri" w:cs="Calibri"/>
                <w:sz w:val="22"/>
                <w:szCs w:val="22"/>
              </w:rPr>
              <w:br/>
              <w:t>„Įrenginys turi būti pritaikytas darbui pagal TEMPEST saugumo reikalavimus. Jeigu garsiakalbio, mikrofono arba „laisvų rankų“ funkcionalumo naudojimas gali panaikinti ar apriboti TEMPEST atitiktį, toks funkcionalumas turi būti fiziškai pašalintas, išjungtas arba techniškai blokuotas. Tokiu atveju įrenginys turi būti atitinkamai pažymėtas arba pateikiamas gamintojo / tiekėjo patvirtinimas dėl funkcionalumo apribojimo ir TEMPEST reikalavimų išlaikymo.“</w:t>
            </w:r>
            <w:r w:rsidRPr="00934DE8">
              <w:rPr>
                <w:rFonts w:ascii="Calibri" w:hAnsi="Calibri" w:cs="Calibri"/>
                <w:sz w:val="22"/>
                <w:szCs w:val="22"/>
              </w:rPr>
              <w:br/>
            </w:r>
            <w:r w:rsidRPr="00934DE8">
              <w:rPr>
                <w:rFonts w:ascii="Calibri" w:hAnsi="Calibri" w:cs="Calibri"/>
                <w:sz w:val="22"/>
                <w:szCs w:val="22"/>
              </w:rPr>
              <w:br/>
              <w:t>Arba alternatyviai:</w:t>
            </w:r>
            <w:r w:rsidRPr="00934DE8">
              <w:rPr>
                <w:rFonts w:ascii="Calibri" w:hAnsi="Calibri" w:cs="Calibri"/>
                <w:sz w:val="22"/>
                <w:szCs w:val="22"/>
              </w:rPr>
              <w:br/>
              <w:t>„Garsiakalbis, mikrofonas ir „laisvų rankų“ funkcionalumas nėra privalomi, jeigu jų buvimas ar naudojimas panaikina, apriboja arba kelia riziką TEMPEST saugumo reikalavimų užtikrinimui. Tokiu atveju turi būti pateiktas gamintojo arba tiekėjo patvirtinimas, kad įrenginys yra pritaikytas saugiam naudojimui pagal TEMPEST reikalavimus.“</w:t>
            </w:r>
            <w:r w:rsidRPr="00934DE8">
              <w:rPr>
                <w:rFonts w:ascii="Calibri" w:hAnsi="Calibri" w:cs="Calibri"/>
                <w:sz w:val="22"/>
                <w:szCs w:val="22"/>
              </w:rPr>
              <w:br/>
            </w:r>
            <w:r w:rsidRPr="00934DE8">
              <w:rPr>
                <w:rFonts w:ascii="Calibri" w:hAnsi="Calibri" w:cs="Calibri"/>
                <w:sz w:val="22"/>
                <w:szCs w:val="22"/>
              </w:rPr>
              <w:br/>
              <w:t>Manome, kad toks patikslinimas būtų proporcingas pirkimo tikslui, leistų užtikrinti realų saugumo reikalavimų įgyvendinimą, nepagrįstai neribotų tiekėjų konkurencijos ir leistų pateikti technologiškai bei saugumo požiūriu tinkamus pasiūlymus.</w:t>
            </w:r>
            <w:r w:rsidRPr="00934DE8">
              <w:rPr>
                <w:rFonts w:ascii="Calibri" w:hAnsi="Calibri" w:cs="Calibri"/>
                <w:sz w:val="22"/>
                <w:szCs w:val="22"/>
              </w:rPr>
              <w:br/>
              <w:t>Atsižvelgdami į tai, prašome patikslinti pirkimo dokumentus ir aiškiai nurodyti, ar perkančioji organizacija priims pasiūlymą, kuriame IP telefonas neturės veikiančio mikrofono / „laisvų rankų“ funkcijos, jeigu toks funkcionalumo pašalinimas ar išjungimas būtinas siekiant užtikrinti TEMPEST saugumo reikalavimus.</w:t>
            </w:r>
          </w:p>
        </w:tc>
        <w:tc>
          <w:tcPr>
            <w:tcW w:w="3060" w:type="dxa"/>
          </w:tcPr>
          <w:p w14:paraId="47171D2D" w14:textId="77777777" w:rsidR="006B41CF" w:rsidRPr="00934DE8" w:rsidRDefault="006B41CF" w:rsidP="00F863CB">
            <w:pPr>
              <w:rPr>
                <w:sz w:val="22"/>
                <w:szCs w:val="22"/>
              </w:rPr>
            </w:pPr>
            <w:r w:rsidRPr="00934DE8">
              <w:rPr>
                <w:rFonts w:ascii="Calibri" w:hAnsi="Calibri" w:cs="Calibri"/>
                <w:sz w:val="22"/>
                <w:szCs w:val="22"/>
              </w:rPr>
              <w:lastRenderedPageBreak/>
              <w:t xml:space="preserve">Perkančioji organizacija, įvertinusi tiekėjo pateiktą prašymą, pirkimo objekto paskirtį ir perkančiosios organizacijos funkcinius poreikius, paaiškina, kad reikalavimas dėl garsiakalbio, mikrofono ir veikiančio „laisvų rankų“ funkcionalumo išlieka privalomas. Perkančiajai organizacijai būtina įsigyti </w:t>
            </w:r>
            <w:proofErr w:type="spellStart"/>
            <w:r w:rsidRPr="00934DE8">
              <w:rPr>
                <w:rFonts w:ascii="Calibri" w:hAnsi="Calibri" w:cs="Calibri"/>
                <w:sz w:val="22"/>
                <w:szCs w:val="22"/>
              </w:rPr>
              <w:t>VoIP</w:t>
            </w:r>
            <w:proofErr w:type="spellEnd"/>
            <w:r w:rsidRPr="00934DE8">
              <w:rPr>
                <w:rFonts w:ascii="Calibri" w:hAnsi="Calibri" w:cs="Calibri"/>
                <w:sz w:val="22"/>
                <w:szCs w:val="22"/>
              </w:rPr>
              <w:t xml:space="preserve"> telefono aparatus, kuriuose būtų užtikrinta galimybė naudotis garsiakalbiu, mikrofonu ir „laisvų rankų“ funkcija nenaudojant telefono ragelio.</w:t>
            </w:r>
            <w:r w:rsidRPr="00934DE8">
              <w:rPr>
                <w:rFonts w:ascii="Calibri" w:hAnsi="Calibri" w:cs="Calibri"/>
                <w:sz w:val="22"/>
                <w:szCs w:val="22"/>
              </w:rPr>
              <w:br/>
            </w:r>
            <w:r w:rsidRPr="00934DE8">
              <w:rPr>
                <w:rFonts w:ascii="Calibri" w:hAnsi="Calibri" w:cs="Calibri"/>
                <w:sz w:val="22"/>
                <w:szCs w:val="22"/>
              </w:rPr>
              <w:br/>
              <w:t>Vadovaujantis Viešųjų pirkimų</w:t>
            </w:r>
            <w:r>
              <w:rPr>
                <w:rFonts w:ascii="Calibri" w:hAnsi="Calibri" w:cs="Calibri"/>
                <w:sz w:val="22"/>
                <w:szCs w:val="22"/>
              </w:rPr>
              <w:t>, atliekamų gynybos ir saugumo srityje,</w:t>
            </w:r>
            <w:r w:rsidRPr="00934DE8">
              <w:rPr>
                <w:rFonts w:ascii="Calibri" w:hAnsi="Calibri" w:cs="Calibri"/>
                <w:sz w:val="22"/>
                <w:szCs w:val="22"/>
              </w:rPr>
              <w:t xml:space="preserve"> įstatymo</w:t>
            </w:r>
            <w:r>
              <w:rPr>
                <w:rFonts w:ascii="Calibri" w:hAnsi="Calibri" w:cs="Calibri"/>
                <w:sz w:val="22"/>
                <w:szCs w:val="22"/>
              </w:rPr>
              <w:t xml:space="preserve"> (toliau – VPGSĮ)</w:t>
            </w:r>
            <w:r w:rsidRPr="00934DE8">
              <w:rPr>
                <w:rFonts w:ascii="Calibri" w:hAnsi="Calibri" w:cs="Calibri"/>
                <w:sz w:val="22"/>
                <w:szCs w:val="22"/>
              </w:rPr>
              <w:t xml:space="preserve"> </w:t>
            </w:r>
            <w:r>
              <w:rPr>
                <w:rFonts w:ascii="Calibri" w:hAnsi="Calibri" w:cs="Calibri"/>
                <w:sz w:val="22"/>
                <w:szCs w:val="22"/>
              </w:rPr>
              <w:t>6</w:t>
            </w:r>
            <w:r w:rsidRPr="00934DE8">
              <w:rPr>
                <w:rFonts w:ascii="Calibri" w:hAnsi="Calibri" w:cs="Calibri"/>
                <w:sz w:val="22"/>
                <w:szCs w:val="22"/>
              </w:rPr>
              <w:t xml:space="preserve"> straipsn</w:t>
            </w:r>
            <w:r>
              <w:rPr>
                <w:rFonts w:ascii="Calibri" w:hAnsi="Calibri" w:cs="Calibri"/>
                <w:sz w:val="22"/>
                <w:szCs w:val="22"/>
              </w:rPr>
              <w:t>io 1 dalyje</w:t>
            </w:r>
            <w:r w:rsidRPr="00934DE8">
              <w:rPr>
                <w:rFonts w:ascii="Calibri" w:hAnsi="Calibri" w:cs="Calibri"/>
                <w:sz w:val="22"/>
                <w:szCs w:val="22"/>
              </w:rPr>
              <w:t xml:space="preserve"> įtvirtintais lygiateisiškumo, nediskriminavimo, proporcingumo ir skaidrumo principais, taip pat racionalaus lėšų naudojimo siekiu, ir </w:t>
            </w:r>
            <w:r>
              <w:rPr>
                <w:rFonts w:ascii="Calibri" w:hAnsi="Calibri" w:cs="Calibri"/>
                <w:sz w:val="22"/>
                <w:szCs w:val="22"/>
              </w:rPr>
              <w:t>VPGSĮ</w:t>
            </w:r>
            <w:r w:rsidRPr="00934DE8">
              <w:rPr>
                <w:rFonts w:ascii="Calibri" w:hAnsi="Calibri" w:cs="Calibri"/>
                <w:sz w:val="22"/>
                <w:szCs w:val="22"/>
              </w:rPr>
              <w:t xml:space="preserve"> </w:t>
            </w:r>
            <w:r>
              <w:rPr>
                <w:rFonts w:ascii="Calibri" w:hAnsi="Calibri" w:cs="Calibri"/>
                <w:sz w:val="22"/>
                <w:szCs w:val="22"/>
              </w:rPr>
              <w:t>40</w:t>
            </w:r>
            <w:r w:rsidRPr="00934DE8">
              <w:rPr>
                <w:rFonts w:ascii="Calibri" w:hAnsi="Calibri" w:cs="Calibri"/>
                <w:sz w:val="22"/>
                <w:szCs w:val="22"/>
              </w:rPr>
              <w:t xml:space="preserve"> straipsnio nuostatomis dėl techninės specifikacijos sąsajos su pirkimo objektu, proporcingumo, konkurencijos </w:t>
            </w:r>
            <w:r w:rsidRPr="00934DE8">
              <w:rPr>
                <w:rFonts w:ascii="Calibri" w:hAnsi="Calibri" w:cs="Calibri"/>
                <w:sz w:val="22"/>
                <w:szCs w:val="22"/>
              </w:rPr>
              <w:lastRenderedPageBreak/>
              <w:t>užtikrinimo ir tiekėjų nediskriminavimo, perkančiosios organizacijos vertinimu, šis reikalavimas yra pagrįstas pirkimo objekto funkcine paskirtimi ir nėra orientuotas į konkretų gamintoją ar modelį.</w:t>
            </w:r>
            <w:r w:rsidRPr="00934DE8">
              <w:rPr>
                <w:rFonts w:ascii="Calibri" w:hAnsi="Calibri" w:cs="Calibri"/>
                <w:sz w:val="22"/>
                <w:szCs w:val="22"/>
              </w:rPr>
              <w:br/>
            </w:r>
            <w:r w:rsidRPr="00934DE8">
              <w:rPr>
                <w:rFonts w:ascii="Calibri" w:hAnsi="Calibri" w:cs="Calibri"/>
                <w:sz w:val="22"/>
                <w:szCs w:val="22"/>
              </w:rPr>
              <w:br/>
              <w:t xml:space="preserve">Atsižvelgiant į tiekėjo pateiktas pastabas ir siekiant aiškiau apibrėžti reikalavimo turinį, </w:t>
            </w:r>
            <w:r>
              <w:rPr>
                <w:rFonts w:ascii="Calibri" w:hAnsi="Calibri" w:cs="Calibri"/>
                <w:sz w:val="22"/>
                <w:szCs w:val="22"/>
              </w:rPr>
              <w:t>Skelbiamos apklausos sąlygų (toliau – 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3.2.8 punktas išdėstomas nauja redakcija:</w:t>
            </w:r>
            <w:r w:rsidRPr="00934DE8">
              <w:rPr>
                <w:rFonts w:ascii="Calibri" w:hAnsi="Calibri" w:cs="Calibri"/>
                <w:sz w:val="22"/>
                <w:szCs w:val="22"/>
              </w:rPr>
              <w:br/>
            </w:r>
            <w:r w:rsidRPr="00934DE8">
              <w:rPr>
                <w:rFonts w:ascii="Calibri" w:hAnsi="Calibri" w:cs="Calibri"/>
                <w:sz w:val="22"/>
                <w:szCs w:val="22"/>
              </w:rPr>
              <w:br/>
              <w:t xml:space="preserve">„3.2. </w:t>
            </w:r>
            <w:proofErr w:type="spellStart"/>
            <w:r w:rsidRPr="00934DE8">
              <w:rPr>
                <w:rFonts w:ascii="Calibri" w:hAnsi="Calibri" w:cs="Calibri"/>
                <w:sz w:val="22"/>
                <w:szCs w:val="22"/>
              </w:rPr>
              <w:t>VoIP</w:t>
            </w:r>
            <w:proofErr w:type="spellEnd"/>
            <w:r w:rsidRPr="00934DE8">
              <w:rPr>
                <w:rFonts w:ascii="Calibri" w:hAnsi="Calibri" w:cs="Calibri"/>
                <w:sz w:val="22"/>
                <w:szCs w:val="22"/>
              </w:rPr>
              <w:t xml:space="preserve"> telefono aparatas privalo turėti: </w:t>
            </w:r>
            <w:r w:rsidRPr="00934DE8">
              <w:rPr>
                <w:rFonts w:ascii="Calibri" w:hAnsi="Calibri" w:cs="Calibri"/>
                <w:sz w:val="22"/>
                <w:szCs w:val="22"/>
              </w:rPr>
              <w:br/>
              <w:t>...</w:t>
            </w:r>
            <w:r w:rsidRPr="00934DE8">
              <w:rPr>
                <w:rFonts w:ascii="Calibri" w:hAnsi="Calibri" w:cs="Calibri"/>
                <w:sz w:val="22"/>
                <w:szCs w:val="22"/>
              </w:rPr>
              <w:br/>
              <w:t xml:space="preserve">3.2.8. garsiakalbį (angl. </w:t>
            </w:r>
            <w:proofErr w:type="spellStart"/>
            <w:r w:rsidRPr="00934DE8">
              <w:rPr>
                <w:rFonts w:ascii="Calibri" w:hAnsi="Calibri" w:cs="Calibri"/>
                <w:sz w:val="22"/>
                <w:szCs w:val="22"/>
              </w:rPr>
              <w:t>speaker</w:t>
            </w:r>
            <w:proofErr w:type="spellEnd"/>
            <w:r w:rsidRPr="00934DE8">
              <w:rPr>
                <w:rFonts w:ascii="Calibri" w:hAnsi="Calibri" w:cs="Calibri"/>
                <w:sz w:val="22"/>
                <w:szCs w:val="22"/>
              </w:rPr>
              <w:t xml:space="preserve">) ir mikrofoną (angl. </w:t>
            </w:r>
            <w:proofErr w:type="spellStart"/>
            <w:r w:rsidRPr="00934DE8">
              <w:rPr>
                <w:rFonts w:ascii="Calibri" w:hAnsi="Calibri" w:cs="Calibri"/>
                <w:sz w:val="22"/>
                <w:szCs w:val="22"/>
              </w:rPr>
              <w:t>microphone</w:t>
            </w:r>
            <w:proofErr w:type="spellEnd"/>
            <w:r w:rsidRPr="00934DE8">
              <w:rPr>
                <w:rFonts w:ascii="Calibri" w:hAnsi="Calibri" w:cs="Calibri"/>
                <w:sz w:val="22"/>
                <w:szCs w:val="22"/>
              </w:rPr>
              <w:t xml:space="preserve">), bei veikiantį „laisvų rankų“ (angl. </w:t>
            </w:r>
            <w:proofErr w:type="spellStart"/>
            <w:r w:rsidRPr="00934DE8">
              <w:rPr>
                <w:rFonts w:ascii="Calibri" w:hAnsi="Calibri" w:cs="Calibri"/>
                <w:sz w:val="22"/>
                <w:szCs w:val="22"/>
              </w:rPr>
              <w:t>Hands-free</w:t>
            </w:r>
            <w:proofErr w:type="spellEnd"/>
            <w:r w:rsidRPr="00934DE8">
              <w:rPr>
                <w:rFonts w:ascii="Calibri" w:hAnsi="Calibri" w:cs="Calibri"/>
                <w:sz w:val="22"/>
                <w:szCs w:val="22"/>
              </w:rPr>
              <w:t>) funkcionalumą.“</w:t>
            </w:r>
            <w:r w:rsidRPr="00934DE8">
              <w:rPr>
                <w:rFonts w:ascii="Calibri" w:hAnsi="Calibri" w:cs="Calibri"/>
                <w:sz w:val="22"/>
                <w:szCs w:val="22"/>
              </w:rPr>
              <w:br/>
            </w:r>
            <w:r w:rsidRPr="00934DE8">
              <w:rPr>
                <w:rFonts w:ascii="Calibri" w:hAnsi="Calibri" w:cs="Calibri"/>
                <w:sz w:val="22"/>
                <w:szCs w:val="22"/>
              </w:rPr>
              <w:br/>
              <w:t>Tiekėjo siūlymas leisti siūlyti įrenginius, kuriuose garsiakalbis, mikrofonas ir / arba „laisvų rankų“ funkcionalumas būtų fiziškai pašalintas, išjungtas ar techniškai blokuotas, nepriimamas.</w:t>
            </w:r>
          </w:p>
          <w:p w14:paraId="5CC72070" w14:textId="77777777" w:rsidR="006B41CF" w:rsidRPr="00934DE8" w:rsidRDefault="006B41CF" w:rsidP="00F863CB">
            <w:pPr>
              <w:rPr>
                <w:rFonts w:ascii="Calibri" w:hAnsi="Calibri" w:cs="Calibri"/>
                <w:sz w:val="22"/>
                <w:szCs w:val="22"/>
              </w:rPr>
            </w:pPr>
          </w:p>
        </w:tc>
      </w:tr>
      <w:tr w:rsidR="006B41CF" w14:paraId="315629A2" w14:textId="77777777" w:rsidTr="00F863CB">
        <w:tc>
          <w:tcPr>
            <w:tcW w:w="1057" w:type="dxa"/>
          </w:tcPr>
          <w:p w14:paraId="15BDE8A8" w14:textId="77777777" w:rsidR="006B41CF" w:rsidRPr="00EC13AD" w:rsidRDefault="006B41CF" w:rsidP="00F863CB">
            <w:pPr>
              <w:jc w:val="center"/>
              <w:rPr>
                <w:rFonts w:ascii="Calibri" w:hAnsi="Calibri" w:cs="Calibri"/>
                <w:sz w:val="22"/>
                <w:szCs w:val="22"/>
              </w:rPr>
            </w:pPr>
            <w:r w:rsidRPr="00EC13AD">
              <w:rPr>
                <w:rFonts w:ascii="Calibri" w:hAnsi="Calibri" w:cs="Calibri"/>
                <w:sz w:val="22"/>
                <w:szCs w:val="22"/>
              </w:rPr>
              <w:lastRenderedPageBreak/>
              <w:t>2</w:t>
            </w:r>
          </w:p>
        </w:tc>
        <w:tc>
          <w:tcPr>
            <w:tcW w:w="5873" w:type="dxa"/>
          </w:tcPr>
          <w:p w14:paraId="31933F83" w14:textId="77777777" w:rsidR="006B41CF" w:rsidRPr="00EC13AD" w:rsidRDefault="006B41CF" w:rsidP="00F863CB">
            <w:pPr>
              <w:rPr>
                <w:rFonts w:ascii="Calibri" w:hAnsi="Calibri" w:cs="Calibri"/>
                <w:sz w:val="22"/>
                <w:szCs w:val="22"/>
              </w:rPr>
            </w:pPr>
            <w:r w:rsidRPr="00EC13AD">
              <w:rPr>
                <w:rFonts w:ascii="Calibri" w:hAnsi="Calibri" w:cs="Calibri"/>
                <w:sz w:val="22"/>
                <w:szCs w:val="22"/>
              </w:rPr>
              <w:t>Dėl sutarties projekto.</w:t>
            </w:r>
            <w:r w:rsidRPr="00EC13AD">
              <w:rPr>
                <w:rFonts w:ascii="Calibri" w:hAnsi="Calibri" w:cs="Calibri"/>
                <w:sz w:val="22"/>
                <w:szCs w:val="22"/>
              </w:rPr>
              <w:br/>
              <w:t>- prašome paaiškinti kaip sutarties projekto 13 punktas yra susijęs su pirkimo objektu?</w:t>
            </w:r>
            <w:r w:rsidRPr="00EC13AD">
              <w:rPr>
                <w:rFonts w:ascii="Calibri" w:hAnsi="Calibri" w:cs="Calibri"/>
                <w:sz w:val="22"/>
                <w:szCs w:val="22"/>
              </w:rPr>
              <w:br/>
              <w:t xml:space="preserve">- prašome nurodyti ar tiekėjo atstovai, pasirašantys pasiūlymą </w:t>
            </w:r>
            <w:r w:rsidRPr="00EC13AD">
              <w:rPr>
                <w:rFonts w:ascii="Calibri" w:hAnsi="Calibri" w:cs="Calibri"/>
                <w:sz w:val="22"/>
                <w:szCs w:val="22"/>
              </w:rPr>
              <w:lastRenderedPageBreak/>
              <w:t>/ pasirašantys sutartį / atsakingi už sutarties vykdymą turi turėti leidimus dirbti su įslaptinta informacija su žyma „Riboto naudojimo“?</w:t>
            </w:r>
          </w:p>
        </w:tc>
        <w:tc>
          <w:tcPr>
            <w:tcW w:w="3060" w:type="dxa"/>
          </w:tcPr>
          <w:p w14:paraId="78F84D31" w14:textId="77777777" w:rsidR="006B41CF" w:rsidRDefault="006B41CF" w:rsidP="00F863CB">
            <w:pPr>
              <w:rPr>
                <w:rFonts w:ascii="Calibri" w:hAnsi="Calibri" w:cs="Calibri"/>
                <w:sz w:val="22"/>
                <w:szCs w:val="22"/>
              </w:rPr>
            </w:pPr>
            <w:r w:rsidRPr="00EC13AD">
              <w:rPr>
                <w:rFonts w:ascii="Calibri" w:hAnsi="Calibri" w:cs="Calibri"/>
                <w:sz w:val="22"/>
                <w:szCs w:val="22"/>
              </w:rPr>
              <w:lastRenderedPageBreak/>
              <w:t xml:space="preserve">Pažymime, kad šiuo pirkimu tiekėjui nėra keliamas reikalavimas turėti teisę ar leidimą dirbti ar susipažinti su </w:t>
            </w:r>
            <w:r w:rsidRPr="00EC13AD">
              <w:rPr>
                <w:rFonts w:ascii="Calibri" w:hAnsi="Calibri" w:cs="Calibri"/>
                <w:sz w:val="22"/>
                <w:szCs w:val="22"/>
              </w:rPr>
              <w:lastRenderedPageBreak/>
              <w:t>įslaptinta informacija, žymima slaptumo žyma „Riboto naudojimo“. Taip pat nėra reikalaujama, kad tiekėjo atstovai, pasirašantys pasiūlymą, pasirašantys sutartį ar atsakingi už sutarties vykdymą, turėtų tokią teisę ar leidimą.</w:t>
            </w:r>
            <w:r w:rsidRPr="00EC13AD">
              <w:rPr>
                <w:rFonts w:ascii="Calibri" w:hAnsi="Calibri" w:cs="Calibri"/>
                <w:sz w:val="22"/>
                <w:szCs w:val="22"/>
              </w:rPr>
              <w:br/>
            </w:r>
            <w:r w:rsidRPr="00EC13AD">
              <w:rPr>
                <w:rFonts w:ascii="Calibri" w:hAnsi="Calibri" w:cs="Calibri"/>
                <w:sz w:val="22"/>
                <w:szCs w:val="22"/>
              </w:rPr>
              <w:br/>
            </w:r>
            <w:r>
              <w:rPr>
                <w:rFonts w:ascii="Calibri" w:hAnsi="Calibri" w:cs="Calibri"/>
                <w:sz w:val="22"/>
                <w:szCs w:val="22"/>
              </w:rPr>
              <w:t>Atsižvelgiant į aukščiau išdėstytą, Perkančioji organizacija tikslina:</w:t>
            </w:r>
          </w:p>
          <w:p w14:paraId="68B65160" w14:textId="77777777" w:rsidR="006B41CF" w:rsidRDefault="006B41CF" w:rsidP="006B41CF">
            <w:pPr>
              <w:pStyle w:val="ListParagraph"/>
              <w:numPr>
                <w:ilvl w:val="0"/>
                <w:numId w:val="20"/>
              </w:numPr>
              <w:tabs>
                <w:tab w:val="left" w:pos="522"/>
              </w:tabs>
              <w:ind w:left="162" w:firstLine="0"/>
              <w:rPr>
                <w:rFonts w:ascii="Calibri" w:hAnsi="Calibri" w:cs="Calibri"/>
                <w:sz w:val="22"/>
                <w:szCs w:val="22"/>
              </w:rPr>
            </w:pPr>
            <w:r>
              <w:rPr>
                <w:rFonts w:ascii="Calibri" w:hAnsi="Calibri" w:cs="Calibri"/>
                <w:sz w:val="22"/>
                <w:szCs w:val="22"/>
              </w:rPr>
              <w:t>SAS. Patikslintos vietos pažymėtos raudonai;</w:t>
            </w:r>
          </w:p>
          <w:p w14:paraId="355CC464" w14:textId="77777777" w:rsidR="006B41CF" w:rsidRDefault="006B41CF" w:rsidP="006B41CF">
            <w:pPr>
              <w:pStyle w:val="ListParagraph"/>
              <w:numPr>
                <w:ilvl w:val="0"/>
                <w:numId w:val="20"/>
              </w:numPr>
              <w:tabs>
                <w:tab w:val="left" w:pos="522"/>
              </w:tabs>
              <w:ind w:left="162" w:firstLine="0"/>
              <w:rPr>
                <w:rFonts w:ascii="Calibri" w:hAnsi="Calibri" w:cs="Calibri"/>
                <w:sz w:val="22"/>
                <w:szCs w:val="22"/>
              </w:rPr>
            </w:pPr>
            <w:r>
              <w:rPr>
                <w:rFonts w:ascii="Calibri" w:hAnsi="Calibri" w:cs="Calibri"/>
                <w:sz w:val="22"/>
                <w:szCs w:val="22"/>
              </w:rPr>
              <w:t>SAS 4 priedą „Sutarties projektas“ – naikinama Sutarties projekto 13 dalis;</w:t>
            </w:r>
          </w:p>
          <w:p w14:paraId="42E6F51D" w14:textId="77777777" w:rsidR="006B41CF" w:rsidRPr="006A0B73" w:rsidRDefault="006B41CF" w:rsidP="006B41CF">
            <w:pPr>
              <w:pStyle w:val="ListParagraph"/>
              <w:numPr>
                <w:ilvl w:val="0"/>
                <w:numId w:val="20"/>
              </w:numPr>
              <w:tabs>
                <w:tab w:val="left" w:pos="522"/>
              </w:tabs>
              <w:ind w:left="162" w:firstLine="0"/>
              <w:rPr>
                <w:rFonts w:ascii="Calibri" w:hAnsi="Calibri" w:cs="Calibri"/>
                <w:sz w:val="22"/>
                <w:szCs w:val="22"/>
              </w:rPr>
            </w:pPr>
            <w:r>
              <w:rPr>
                <w:rFonts w:ascii="Calibri" w:hAnsi="Calibri" w:cs="Calibri"/>
                <w:sz w:val="22"/>
                <w:szCs w:val="22"/>
              </w:rPr>
              <w:t>SAS 7 priedas – naikinami minimalūs kvalifikacijos reikalavimai tiekėjams.</w:t>
            </w:r>
          </w:p>
        </w:tc>
      </w:tr>
      <w:tr w:rsidR="006B41CF" w14:paraId="5F3BCAC8" w14:textId="77777777" w:rsidTr="00F863CB">
        <w:tc>
          <w:tcPr>
            <w:tcW w:w="1057" w:type="dxa"/>
          </w:tcPr>
          <w:p w14:paraId="51880C5C" w14:textId="77777777" w:rsidR="006B41CF" w:rsidRPr="00DF1710" w:rsidRDefault="006B41CF" w:rsidP="00F863CB">
            <w:pPr>
              <w:jc w:val="center"/>
              <w:rPr>
                <w:rFonts w:ascii="Calibri" w:hAnsi="Calibri" w:cs="Calibri"/>
                <w:sz w:val="22"/>
                <w:szCs w:val="22"/>
              </w:rPr>
            </w:pPr>
            <w:r w:rsidRPr="00DF1710">
              <w:rPr>
                <w:rFonts w:ascii="Calibri" w:hAnsi="Calibri" w:cs="Calibri"/>
                <w:sz w:val="22"/>
                <w:szCs w:val="22"/>
              </w:rPr>
              <w:lastRenderedPageBreak/>
              <w:t>3</w:t>
            </w:r>
          </w:p>
        </w:tc>
        <w:tc>
          <w:tcPr>
            <w:tcW w:w="5873" w:type="dxa"/>
          </w:tcPr>
          <w:p w14:paraId="6B4EFD76" w14:textId="77777777" w:rsidR="006B41CF" w:rsidRPr="00DF1710" w:rsidRDefault="006B41CF" w:rsidP="00F863CB">
            <w:pPr>
              <w:rPr>
                <w:rFonts w:ascii="Calibri" w:hAnsi="Calibri" w:cs="Calibri"/>
                <w:sz w:val="22"/>
                <w:szCs w:val="22"/>
              </w:rPr>
            </w:pPr>
            <w:r w:rsidRPr="00DF1710">
              <w:rPr>
                <w:rFonts w:ascii="Calibri" w:hAnsi="Calibri" w:cs="Calibri"/>
                <w:sz w:val="22"/>
                <w:szCs w:val="22"/>
              </w:rPr>
              <w:t xml:space="preserve">Prašome patikslinti techninės specifikacijos punktuose 2.20.2 ir 3.14.2 reikalavimą dėl įrangos sertifikavimo pagal „aktualią“ NATO SDIP-27 A lygio redakciją, </w:t>
            </w:r>
            <w:proofErr w:type="spellStart"/>
            <w:r w:rsidRPr="00DF1710">
              <w:rPr>
                <w:rFonts w:ascii="Calibri" w:hAnsi="Calibri" w:cs="Calibri"/>
                <w:sz w:val="22"/>
                <w:szCs w:val="22"/>
              </w:rPr>
              <w:t>t.y</w:t>
            </w:r>
            <w:proofErr w:type="spellEnd"/>
            <w:r w:rsidRPr="00DF1710">
              <w:rPr>
                <w:rFonts w:ascii="Calibri" w:hAnsi="Calibri" w:cs="Calibri"/>
                <w:sz w:val="22"/>
                <w:szCs w:val="22"/>
              </w:rPr>
              <w:t>. ar žodis “aktuali” reiškia, kad įranga turi būti sertifikuota pagal šiuo metu naujausią NATO SDIP-27/3 redakciją, kuri buvo paskelbta 2024 m. lapkričio 24 d ir atsižvelgia į naujausias grėsmes?</w:t>
            </w:r>
          </w:p>
        </w:tc>
        <w:tc>
          <w:tcPr>
            <w:tcW w:w="3060" w:type="dxa"/>
          </w:tcPr>
          <w:p w14:paraId="505E821D" w14:textId="77777777" w:rsidR="006B41CF" w:rsidRPr="00DF1710" w:rsidRDefault="006B41CF" w:rsidP="00F863CB">
            <w:pPr>
              <w:rPr>
                <w:sz w:val="22"/>
                <w:szCs w:val="22"/>
              </w:rPr>
            </w:pPr>
            <w:r w:rsidRPr="00DF1710">
              <w:rPr>
                <w:rFonts w:ascii="Calibri" w:hAnsi="Calibri" w:cs="Calibri"/>
                <w:sz w:val="22"/>
                <w:szCs w:val="22"/>
              </w:rPr>
              <w:t xml:space="preserve">Perkančioji organizacija paaiškina, kad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sidRPr="00DF1710">
              <w:rPr>
                <w:rFonts w:ascii="Calibri" w:hAnsi="Calibri" w:cs="Calibri"/>
                <w:sz w:val="22"/>
                <w:szCs w:val="22"/>
              </w:rPr>
              <w:t xml:space="preserve"> punktuose 2.20.2 ir 3.14.2 vartojama sąvoka „aktuali“ NATO SDIP-27 A lygio redakcija reiškia naujausią galiojančią NATO SDIP-27/3 A lygio redakciją, taikytiną pasiūlymų pateikimo termino pabaigos dieną.</w:t>
            </w:r>
            <w:r w:rsidRPr="00DF1710">
              <w:rPr>
                <w:rFonts w:ascii="Calibri" w:hAnsi="Calibri" w:cs="Calibri"/>
                <w:sz w:val="22"/>
                <w:szCs w:val="22"/>
              </w:rPr>
              <w:br/>
            </w:r>
            <w:r w:rsidRPr="00DF1710">
              <w:rPr>
                <w:rFonts w:ascii="Calibri" w:hAnsi="Calibri" w:cs="Calibri"/>
                <w:sz w:val="22"/>
                <w:szCs w:val="22"/>
              </w:rPr>
              <w:br/>
              <w:t>Perkančiosios organizacijos turimais duomenimis, šiuo metu aktuali NATO SDIP-27/3 redakcija yra 2024 m. lapkričio mėn. redakcija. Todėl tiekėjo siūloma įranga turi būti sertifikuota pagal pasiūlymų pateikimo termino pabaigos dieną galiojančią naujausią NATO SDIP-27/3 A lygio redakciją. Jeigu iki pasiūlymų pateikimo termino pabaigos būtų paskelbta ir įsigaliotų naujesnė šio standarto redakcija, vertinant pasiūlymų atitiktį būtų vadovaujamasi būtent ta, tuo metu aktualia, redakcija.</w:t>
            </w:r>
          </w:p>
          <w:p w14:paraId="54B28241" w14:textId="77777777" w:rsidR="006B41CF" w:rsidRPr="00DF1710" w:rsidRDefault="006B41CF" w:rsidP="00F863CB">
            <w:pPr>
              <w:rPr>
                <w:rFonts w:ascii="Calibri" w:hAnsi="Calibri" w:cs="Calibri"/>
                <w:sz w:val="22"/>
                <w:szCs w:val="22"/>
              </w:rPr>
            </w:pPr>
          </w:p>
        </w:tc>
      </w:tr>
      <w:tr w:rsidR="006B41CF" w14:paraId="1ADBAA98" w14:textId="77777777" w:rsidTr="00F863CB">
        <w:tc>
          <w:tcPr>
            <w:tcW w:w="1057" w:type="dxa"/>
          </w:tcPr>
          <w:p w14:paraId="13DF4C53" w14:textId="77777777" w:rsidR="006B41CF" w:rsidRPr="009E4677" w:rsidRDefault="006B41CF" w:rsidP="00F863CB">
            <w:pPr>
              <w:jc w:val="center"/>
              <w:rPr>
                <w:rFonts w:ascii="Calibri" w:hAnsi="Calibri" w:cs="Calibri"/>
                <w:sz w:val="22"/>
                <w:szCs w:val="22"/>
              </w:rPr>
            </w:pPr>
            <w:r w:rsidRPr="009E4677">
              <w:rPr>
                <w:rFonts w:ascii="Calibri" w:hAnsi="Calibri" w:cs="Calibri"/>
                <w:sz w:val="22"/>
                <w:szCs w:val="22"/>
              </w:rPr>
              <w:t>4</w:t>
            </w:r>
          </w:p>
        </w:tc>
        <w:tc>
          <w:tcPr>
            <w:tcW w:w="5873" w:type="dxa"/>
          </w:tcPr>
          <w:p w14:paraId="787FD4AE" w14:textId="77777777" w:rsidR="006B41CF" w:rsidRPr="009E4677" w:rsidRDefault="006B41CF" w:rsidP="00F863CB">
            <w:pPr>
              <w:rPr>
                <w:rFonts w:ascii="Calibri" w:hAnsi="Calibri" w:cs="Calibri"/>
                <w:sz w:val="22"/>
                <w:szCs w:val="22"/>
              </w:rPr>
            </w:pPr>
            <w:r w:rsidRPr="009E4677">
              <w:rPr>
                <w:rFonts w:ascii="Calibri" w:hAnsi="Calibri" w:cs="Calibri"/>
                <w:sz w:val="22"/>
                <w:szCs w:val="22"/>
              </w:rPr>
              <w:t xml:space="preserve">Dėl techninės specifikacijos punkto 2.17. Šio punkto dabartinė formuluotė yra nesuprantama ir manome, kad ji turėtų būti </w:t>
            </w:r>
            <w:r w:rsidRPr="009E4677">
              <w:rPr>
                <w:rFonts w:ascii="Calibri" w:hAnsi="Calibri" w:cs="Calibri"/>
                <w:sz w:val="22"/>
                <w:szCs w:val="22"/>
              </w:rPr>
              <w:lastRenderedPageBreak/>
              <w:t>tokia:</w:t>
            </w:r>
            <w:r w:rsidRPr="009E4677">
              <w:rPr>
                <w:rFonts w:ascii="Calibri" w:hAnsi="Calibri" w:cs="Calibri"/>
                <w:sz w:val="22"/>
                <w:szCs w:val="22"/>
              </w:rPr>
              <w:b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r w:rsidRPr="009E4677">
              <w:rPr>
                <w:rFonts w:ascii="Calibri" w:hAnsi="Calibri" w:cs="Calibri"/>
                <w:sz w:val="22"/>
                <w:szCs w:val="22"/>
              </w:rPr>
              <w:br/>
              <w:t>Prašome patikslinti p. 2.17 formuluotę.</w:t>
            </w:r>
          </w:p>
        </w:tc>
        <w:tc>
          <w:tcPr>
            <w:tcW w:w="3060" w:type="dxa"/>
          </w:tcPr>
          <w:p w14:paraId="5B0F10D1" w14:textId="77777777" w:rsidR="006B41CF" w:rsidRPr="009E4677" w:rsidRDefault="006B41CF" w:rsidP="00F863CB">
            <w:pPr>
              <w:rPr>
                <w:sz w:val="22"/>
                <w:szCs w:val="22"/>
              </w:rPr>
            </w:pPr>
            <w:r w:rsidRPr="009E4677">
              <w:rPr>
                <w:rFonts w:ascii="Calibri" w:hAnsi="Calibri" w:cs="Calibri"/>
                <w:sz w:val="22"/>
                <w:szCs w:val="22"/>
              </w:rPr>
              <w:lastRenderedPageBreak/>
              <w:t xml:space="preserve">Perkančioji organizacija, įvertinusi tiekėjo pateiktą </w:t>
            </w:r>
            <w:r w:rsidRPr="009E4677">
              <w:rPr>
                <w:rFonts w:ascii="Calibri" w:hAnsi="Calibri" w:cs="Calibri"/>
                <w:sz w:val="22"/>
                <w:szCs w:val="22"/>
              </w:rPr>
              <w:lastRenderedPageBreak/>
              <w:t xml:space="preserve">pastabą, </w:t>
            </w:r>
            <w:r>
              <w:rPr>
                <w:rFonts w:ascii="Calibri" w:hAnsi="Calibri" w:cs="Calibri"/>
                <w:sz w:val="22"/>
                <w:szCs w:val="22"/>
              </w:rPr>
              <w:t>informuoja</w:t>
            </w:r>
            <w:r w:rsidRPr="009E4677">
              <w:rPr>
                <w:rFonts w:ascii="Calibri" w:hAnsi="Calibri" w:cs="Calibri"/>
                <w:sz w:val="22"/>
                <w:szCs w:val="22"/>
              </w:rPr>
              <w:t xml:space="preserve">, kad į ją atsižvelgiama. Siekiant aiškumo ir vienodo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Pr>
                <w:rFonts w:ascii="Calibri" w:hAnsi="Calibri" w:cs="Calibri"/>
                <w:sz w:val="22"/>
                <w:szCs w:val="22"/>
              </w:rPr>
              <w:t xml:space="preserve">2.17 punkto </w:t>
            </w:r>
            <w:r w:rsidRPr="009E4677">
              <w:rPr>
                <w:rFonts w:ascii="Calibri" w:hAnsi="Calibri" w:cs="Calibri"/>
                <w:sz w:val="22"/>
                <w:szCs w:val="22"/>
              </w:rPr>
              <w:t xml:space="preserve">reikalavimo supratimo,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sidRPr="009E4677">
              <w:rPr>
                <w:rFonts w:ascii="Calibri" w:hAnsi="Calibri" w:cs="Calibri"/>
                <w:sz w:val="22"/>
                <w:szCs w:val="22"/>
              </w:rPr>
              <w:t>2.17 punktas išdėstomas nauja redakcija:</w:t>
            </w:r>
            <w:r w:rsidRPr="009E4677">
              <w:rPr>
                <w:rFonts w:ascii="Calibri" w:hAnsi="Calibri" w:cs="Calibri"/>
                <w:sz w:val="22"/>
                <w:szCs w:val="22"/>
              </w:rPr>
              <w:br/>
            </w:r>
            <w:r w:rsidRPr="009E4677">
              <w:rPr>
                <w:rFonts w:ascii="Calibri" w:hAnsi="Calibri" w:cs="Calibri"/>
                <w:sz w:val="22"/>
                <w:szCs w:val="22"/>
              </w:rPr>
              <w:br/>
              <w:t>„2.17. 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 gamintoju. Visi kompiuterio įrenginiai (sisteminis blokas, monitorius, klaviatūra ir pelė) turi būti ženklinti CE ženklu.“</w:t>
            </w:r>
          </w:p>
          <w:p w14:paraId="6C051AA2" w14:textId="77777777" w:rsidR="006B41CF" w:rsidRPr="009E4677" w:rsidRDefault="006B41CF" w:rsidP="00F863CB">
            <w:pPr>
              <w:rPr>
                <w:rFonts w:ascii="Calibri" w:hAnsi="Calibri" w:cs="Calibri"/>
                <w:sz w:val="22"/>
                <w:szCs w:val="22"/>
              </w:rPr>
            </w:pPr>
          </w:p>
        </w:tc>
      </w:tr>
      <w:tr w:rsidR="006B41CF" w14:paraId="40E6A08B" w14:textId="77777777" w:rsidTr="00F863CB">
        <w:tc>
          <w:tcPr>
            <w:tcW w:w="1057" w:type="dxa"/>
          </w:tcPr>
          <w:p w14:paraId="782C58DD" w14:textId="77777777" w:rsidR="006B41CF" w:rsidRPr="002C3AAC" w:rsidRDefault="006B41CF" w:rsidP="00F863CB">
            <w:pPr>
              <w:jc w:val="center"/>
              <w:rPr>
                <w:rFonts w:ascii="Calibri" w:hAnsi="Calibri" w:cs="Calibri"/>
                <w:sz w:val="22"/>
                <w:szCs w:val="22"/>
              </w:rPr>
            </w:pPr>
            <w:r w:rsidRPr="002C3AAC">
              <w:rPr>
                <w:rFonts w:ascii="Calibri" w:hAnsi="Calibri" w:cs="Calibri"/>
                <w:sz w:val="22"/>
                <w:szCs w:val="22"/>
              </w:rPr>
              <w:lastRenderedPageBreak/>
              <w:t>5</w:t>
            </w:r>
          </w:p>
        </w:tc>
        <w:tc>
          <w:tcPr>
            <w:tcW w:w="5873" w:type="dxa"/>
          </w:tcPr>
          <w:p w14:paraId="585A19B5" w14:textId="77777777" w:rsidR="006B41CF" w:rsidRPr="002C3AAC" w:rsidRDefault="006B41CF" w:rsidP="00F863CB">
            <w:pPr>
              <w:rPr>
                <w:rFonts w:ascii="Calibri" w:hAnsi="Calibri" w:cs="Calibri"/>
                <w:sz w:val="22"/>
                <w:szCs w:val="22"/>
              </w:rPr>
            </w:pPr>
            <w:r w:rsidRPr="002C3AAC">
              <w:rPr>
                <w:rFonts w:ascii="Calibri" w:hAnsi="Calibri" w:cs="Calibri"/>
                <w:sz w:val="22"/>
                <w:szCs w:val="22"/>
              </w:rPr>
              <w:t>Microsoft operacinė sistema Windows 10 yra nebegaminama bei nebepalaikoma. Naujausi kompiuterių modeliai nebėra sertifikuojami šiai nebegaminamai operacinei sistemai, tačiau, kaip taisyklė, turi tvarkykles ir veikia su šia operacine sistema. Prašome atitinkamai patikslinti techninės specifikacijos punkto 2.19 reikalavimus.</w:t>
            </w:r>
          </w:p>
        </w:tc>
        <w:tc>
          <w:tcPr>
            <w:tcW w:w="3060" w:type="dxa"/>
          </w:tcPr>
          <w:p w14:paraId="139925AD" w14:textId="77777777" w:rsidR="006B41CF" w:rsidRPr="002C3AAC" w:rsidRDefault="006B41CF" w:rsidP="00F863CB">
            <w:pPr>
              <w:rPr>
                <w:sz w:val="22"/>
                <w:szCs w:val="22"/>
              </w:rPr>
            </w:pPr>
            <w:r w:rsidRPr="002C3AAC">
              <w:rPr>
                <w:rFonts w:ascii="Calibri" w:hAnsi="Calibri" w:cs="Calibri"/>
                <w:sz w:val="22"/>
                <w:szCs w:val="22"/>
              </w:rPr>
              <w:t xml:space="preserve">Perkančioji organizacija, įvertinusi tiekėjo pateiktą pastabą, informuoja, kad į ją atsižvelgiama. Siekiant atnaujinti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Pr>
                <w:rFonts w:ascii="Calibri" w:hAnsi="Calibri" w:cs="Calibri"/>
                <w:sz w:val="22"/>
                <w:szCs w:val="22"/>
              </w:rPr>
              <w:t xml:space="preserve">2.19 punkto </w:t>
            </w:r>
            <w:r w:rsidRPr="002C3AAC">
              <w:rPr>
                <w:rFonts w:ascii="Calibri" w:hAnsi="Calibri" w:cs="Calibri"/>
                <w:sz w:val="22"/>
                <w:szCs w:val="22"/>
              </w:rPr>
              <w:t xml:space="preserve">reikalavimą pagal aktualią operacinės sistemos versiją,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sidRPr="002C3AAC">
              <w:rPr>
                <w:rFonts w:ascii="Calibri" w:hAnsi="Calibri" w:cs="Calibri"/>
                <w:sz w:val="22"/>
                <w:szCs w:val="22"/>
              </w:rPr>
              <w:t>2.19 punktas išdėstomas nauja redakcija:</w:t>
            </w:r>
            <w:r w:rsidRPr="002C3AAC">
              <w:rPr>
                <w:rFonts w:ascii="Calibri" w:hAnsi="Calibri" w:cs="Calibri"/>
                <w:sz w:val="22"/>
                <w:szCs w:val="22"/>
              </w:rPr>
              <w:br/>
            </w:r>
            <w:r w:rsidRPr="002C3AAC">
              <w:rPr>
                <w:rFonts w:ascii="Calibri" w:hAnsi="Calibri" w:cs="Calibri"/>
                <w:sz w:val="22"/>
                <w:szCs w:val="22"/>
              </w:rPr>
              <w:br/>
              <w:t xml:space="preserve">„2.19. Siūlomas modelis turi būti sertifikuotas darbui su Windows 11 Pro (64 </w:t>
            </w:r>
            <w:proofErr w:type="spellStart"/>
            <w:r w:rsidRPr="002C3AAC">
              <w:rPr>
                <w:rFonts w:ascii="Calibri" w:hAnsi="Calibri" w:cs="Calibri"/>
                <w:sz w:val="22"/>
                <w:szCs w:val="22"/>
              </w:rPr>
              <w:t>Bit</w:t>
            </w:r>
            <w:proofErr w:type="spellEnd"/>
            <w:r w:rsidRPr="002C3AAC">
              <w:rPr>
                <w:rFonts w:ascii="Calibri" w:hAnsi="Calibri" w:cs="Calibri"/>
                <w:sz w:val="22"/>
                <w:szCs w:val="22"/>
              </w:rPr>
              <w:t>) operacine sistema.“</w:t>
            </w:r>
          </w:p>
          <w:p w14:paraId="7547070E" w14:textId="77777777" w:rsidR="006B41CF" w:rsidRPr="002C3AAC" w:rsidRDefault="006B41CF" w:rsidP="00F863CB">
            <w:pPr>
              <w:rPr>
                <w:rFonts w:ascii="Calibri" w:hAnsi="Calibri" w:cs="Calibri"/>
                <w:sz w:val="22"/>
                <w:szCs w:val="22"/>
              </w:rPr>
            </w:pPr>
          </w:p>
        </w:tc>
      </w:tr>
      <w:tr w:rsidR="006B41CF" w14:paraId="2A7C2BB6" w14:textId="77777777" w:rsidTr="00F863CB">
        <w:tc>
          <w:tcPr>
            <w:tcW w:w="1057" w:type="dxa"/>
          </w:tcPr>
          <w:p w14:paraId="6AA9C318" w14:textId="77777777" w:rsidR="006B41CF" w:rsidRPr="00643284" w:rsidRDefault="006B41CF" w:rsidP="00F863CB">
            <w:pPr>
              <w:jc w:val="center"/>
              <w:rPr>
                <w:rFonts w:ascii="Calibri" w:hAnsi="Calibri" w:cs="Calibri"/>
                <w:sz w:val="22"/>
                <w:szCs w:val="22"/>
              </w:rPr>
            </w:pPr>
            <w:r w:rsidRPr="00643284">
              <w:rPr>
                <w:rFonts w:ascii="Calibri" w:hAnsi="Calibri" w:cs="Calibri"/>
                <w:sz w:val="22"/>
                <w:szCs w:val="22"/>
              </w:rPr>
              <w:t>6</w:t>
            </w:r>
          </w:p>
        </w:tc>
        <w:tc>
          <w:tcPr>
            <w:tcW w:w="5873" w:type="dxa"/>
          </w:tcPr>
          <w:p w14:paraId="0DAE5E51" w14:textId="77777777" w:rsidR="006B41CF" w:rsidRPr="00643284" w:rsidRDefault="006B41CF" w:rsidP="00F863CB">
            <w:pPr>
              <w:rPr>
                <w:rFonts w:ascii="Calibri" w:hAnsi="Calibri" w:cs="Calibri"/>
                <w:sz w:val="22"/>
                <w:szCs w:val="22"/>
              </w:rPr>
            </w:pPr>
            <w:r w:rsidRPr="00643284">
              <w:rPr>
                <w:rFonts w:ascii="Calibri" w:hAnsi="Calibri" w:cs="Calibri"/>
                <w:sz w:val="22"/>
                <w:szCs w:val="22"/>
              </w:rPr>
              <w:t>Prašome patvirtinti, kad techninės specifikacijos punkte 3.15 minimos licencijos turės būti patalpintos į paskyrą “</w:t>
            </w:r>
            <w:proofErr w:type="spellStart"/>
            <w:r w:rsidRPr="00643284">
              <w:rPr>
                <w:rFonts w:ascii="Calibri" w:hAnsi="Calibri" w:cs="Calibri"/>
                <w:sz w:val="22"/>
                <w:szCs w:val="22"/>
              </w:rPr>
              <w:t>wan@mil.lt</w:t>
            </w:r>
            <w:proofErr w:type="spellEnd"/>
            <w:r w:rsidRPr="00643284">
              <w:rPr>
                <w:rFonts w:ascii="Calibri" w:hAnsi="Calibri" w:cs="Calibri"/>
                <w:sz w:val="22"/>
                <w:szCs w:val="22"/>
              </w:rPr>
              <w:t>”.</w:t>
            </w:r>
          </w:p>
        </w:tc>
        <w:tc>
          <w:tcPr>
            <w:tcW w:w="3060" w:type="dxa"/>
          </w:tcPr>
          <w:p w14:paraId="756500CB" w14:textId="77777777" w:rsidR="006B41CF" w:rsidRPr="00643284" w:rsidRDefault="006B41CF" w:rsidP="00F863CB">
            <w:pPr>
              <w:rPr>
                <w:sz w:val="22"/>
                <w:szCs w:val="22"/>
              </w:rPr>
            </w:pPr>
            <w:r w:rsidRPr="00643284">
              <w:rPr>
                <w:rFonts w:ascii="Calibri" w:hAnsi="Calibri" w:cs="Calibri"/>
                <w:sz w:val="22"/>
                <w:szCs w:val="22"/>
              </w:rPr>
              <w:t xml:space="preserve">Perkančioji organizacija, įvertinusi tiekėjo pateiktą klausimą, informuoja, kad nuostata dėl licencijų talpinimo į konkrečią paskyrą panaikinama. Siekiant aiškiau apibrėžti licencijų, programinio ir aparatinio aprūpinimo bei garantijos reikalavimus, </w:t>
            </w:r>
            <w:r>
              <w:rPr>
                <w:rFonts w:ascii="Calibri" w:hAnsi="Calibri" w:cs="Calibri"/>
                <w:sz w:val="22"/>
                <w:szCs w:val="22"/>
              </w:rPr>
              <w:t>SAS 5 priedo „T</w:t>
            </w:r>
            <w:r w:rsidRPr="00934DE8">
              <w:rPr>
                <w:rFonts w:ascii="Calibri" w:hAnsi="Calibri" w:cs="Calibri"/>
                <w:sz w:val="22"/>
                <w:szCs w:val="22"/>
              </w:rPr>
              <w:t>echninė specifikacij</w:t>
            </w:r>
            <w:r>
              <w:rPr>
                <w:rFonts w:ascii="Calibri" w:hAnsi="Calibri" w:cs="Calibri"/>
                <w:sz w:val="22"/>
                <w:szCs w:val="22"/>
              </w:rPr>
              <w:t>a“</w:t>
            </w:r>
            <w:r w:rsidRPr="00934DE8">
              <w:rPr>
                <w:rFonts w:ascii="Calibri" w:hAnsi="Calibri" w:cs="Calibri"/>
                <w:sz w:val="22"/>
                <w:szCs w:val="22"/>
              </w:rPr>
              <w:t xml:space="preserve"> </w:t>
            </w:r>
            <w:r w:rsidRPr="00643284">
              <w:rPr>
                <w:rFonts w:ascii="Calibri" w:hAnsi="Calibri" w:cs="Calibri"/>
                <w:sz w:val="22"/>
                <w:szCs w:val="22"/>
              </w:rPr>
              <w:t xml:space="preserve">3.15 punktas išdėstomas nauja </w:t>
            </w:r>
            <w:r w:rsidRPr="00643284">
              <w:rPr>
                <w:rFonts w:ascii="Calibri" w:hAnsi="Calibri" w:cs="Calibri"/>
                <w:sz w:val="22"/>
                <w:szCs w:val="22"/>
              </w:rPr>
              <w:lastRenderedPageBreak/>
              <w:t>redakcija:</w:t>
            </w:r>
            <w:r w:rsidRPr="00643284">
              <w:rPr>
                <w:rFonts w:ascii="Calibri" w:hAnsi="Calibri" w:cs="Calibri"/>
                <w:sz w:val="22"/>
                <w:szCs w:val="22"/>
              </w:rPr>
              <w:br/>
            </w:r>
            <w:r w:rsidRPr="00643284">
              <w:rPr>
                <w:rFonts w:ascii="Calibri" w:hAnsi="Calibri" w:cs="Calibri"/>
                <w:sz w:val="22"/>
                <w:szCs w:val="22"/>
              </w:rPr>
              <w:br/>
              <w:t>„3.15. Licencijos:</w:t>
            </w:r>
            <w:r w:rsidRPr="00643284">
              <w:rPr>
                <w:rFonts w:ascii="Calibri" w:hAnsi="Calibri" w:cs="Calibri"/>
                <w:sz w:val="22"/>
                <w:szCs w:val="22"/>
              </w:rPr>
              <w:br/>
              <w:t xml:space="preserve">3.15.1. į siūlomos įrangos kainą turi būti įtrauktos visos licencijos, jeigu reikia, programinis bei aparatinis (angl. </w:t>
            </w:r>
            <w:proofErr w:type="spellStart"/>
            <w:r w:rsidRPr="00643284">
              <w:rPr>
                <w:rFonts w:ascii="Calibri" w:hAnsi="Calibri" w:cs="Calibri"/>
                <w:sz w:val="22"/>
                <w:szCs w:val="22"/>
              </w:rPr>
              <w:t>software</w:t>
            </w:r>
            <w:proofErr w:type="spellEnd"/>
            <w:r w:rsidRPr="00643284">
              <w:rPr>
                <w:rFonts w:ascii="Calibri" w:hAnsi="Calibri" w:cs="Calibri"/>
                <w:sz w:val="22"/>
                <w:szCs w:val="22"/>
              </w:rPr>
              <w:t xml:space="preserve">, </w:t>
            </w:r>
            <w:proofErr w:type="spellStart"/>
            <w:r w:rsidRPr="00643284">
              <w:rPr>
                <w:rFonts w:ascii="Calibri" w:hAnsi="Calibri" w:cs="Calibri"/>
                <w:sz w:val="22"/>
                <w:szCs w:val="22"/>
              </w:rPr>
              <w:t>hardware</w:t>
            </w:r>
            <w:proofErr w:type="spellEnd"/>
            <w:r w:rsidRPr="00643284">
              <w:rPr>
                <w:rFonts w:ascii="Calibri" w:hAnsi="Calibri" w:cs="Calibri"/>
                <w:sz w:val="22"/>
                <w:szCs w:val="22"/>
              </w:rPr>
              <w:t>) aprūpinimas, įrangos veikimui užtikrinti. Įrangos funkcionavimui ir reikalaujamiems funkcionalumams užtikrinti reikalingos licencijos turi būti suteikiamos neribotam laikui;</w:t>
            </w:r>
            <w:r w:rsidRPr="00643284">
              <w:rPr>
                <w:rFonts w:ascii="Calibri" w:hAnsi="Calibri" w:cs="Calibri"/>
                <w:sz w:val="22"/>
                <w:szCs w:val="22"/>
              </w:rPr>
              <w:br/>
              <w:t xml:space="preserve">3.15.2. turi būti pateiktos licencijos reikalingos telefono aparatui naudoti su skambučių valdymo programine įranga </w:t>
            </w:r>
            <w:proofErr w:type="spellStart"/>
            <w:r w:rsidRPr="00643284">
              <w:rPr>
                <w:rFonts w:ascii="Calibri" w:hAnsi="Calibri" w:cs="Calibri"/>
                <w:sz w:val="22"/>
                <w:szCs w:val="22"/>
              </w:rPr>
              <w:t>Cisco</w:t>
            </w:r>
            <w:proofErr w:type="spellEnd"/>
            <w:r w:rsidRPr="00643284">
              <w:rPr>
                <w:rFonts w:ascii="Calibri" w:hAnsi="Calibri" w:cs="Calibri"/>
                <w:sz w:val="22"/>
                <w:szCs w:val="22"/>
              </w:rPr>
              <w:t xml:space="preserve"> </w:t>
            </w:r>
            <w:proofErr w:type="spellStart"/>
            <w:r w:rsidRPr="00643284">
              <w:rPr>
                <w:rFonts w:ascii="Calibri" w:hAnsi="Calibri" w:cs="Calibri"/>
                <w:sz w:val="22"/>
                <w:szCs w:val="22"/>
              </w:rPr>
              <w:t>Unified</w:t>
            </w:r>
            <w:proofErr w:type="spellEnd"/>
            <w:r w:rsidRPr="00643284">
              <w:rPr>
                <w:rFonts w:ascii="Calibri" w:hAnsi="Calibri" w:cs="Calibri"/>
                <w:sz w:val="22"/>
                <w:szCs w:val="22"/>
              </w:rPr>
              <w:t xml:space="preserve"> </w:t>
            </w:r>
            <w:proofErr w:type="spellStart"/>
            <w:r w:rsidRPr="00643284">
              <w:rPr>
                <w:rFonts w:ascii="Calibri" w:hAnsi="Calibri" w:cs="Calibri"/>
                <w:sz w:val="22"/>
                <w:szCs w:val="22"/>
              </w:rPr>
              <w:t>Communications</w:t>
            </w:r>
            <w:proofErr w:type="spellEnd"/>
            <w:r w:rsidRPr="00643284">
              <w:rPr>
                <w:rFonts w:ascii="Calibri" w:hAnsi="Calibri" w:cs="Calibri"/>
                <w:sz w:val="22"/>
                <w:szCs w:val="22"/>
              </w:rPr>
              <w:t xml:space="preserve"> Manager naujausia versija;</w:t>
            </w:r>
            <w:r w:rsidRPr="00643284">
              <w:rPr>
                <w:rFonts w:ascii="Calibri" w:hAnsi="Calibri" w:cs="Calibri"/>
                <w:sz w:val="22"/>
                <w:szCs w:val="22"/>
              </w:rPr>
              <w:br/>
              <w:t>3.15.3. jei gamintojas nenumato neriboto laikotarpio, tuomet licencijos, programinis bei aparatinis aprūpinimas turi būti suteiktas ne mažesniam kaip 60 mėn. laikotarpiui;</w:t>
            </w:r>
            <w:r w:rsidRPr="00643284">
              <w:rPr>
                <w:rFonts w:ascii="Calibri" w:hAnsi="Calibri" w:cs="Calibri"/>
                <w:sz w:val="22"/>
                <w:szCs w:val="22"/>
              </w:rPr>
              <w:br/>
              <w:t>3.15.4. Tiekiamai įrangai turi būti suteikta ne mažiau kaip 60 mėn. gamintojo garantija.“</w:t>
            </w:r>
          </w:p>
          <w:p w14:paraId="3EDC74DE" w14:textId="77777777" w:rsidR="006B41CF" w:rsidRPr="00643284" w:rsidRDefault="006B41CF" w:rsidP="00F863CB">
            <w:pPr>
              <w:rPr>
                <w:rFonts w:ascii="Calibri" w:hAnsi="Calibri" w:cs="Calibri"/>
                <w:sz w:val="22"/>
                <w:szCs w:val="22"/>
              </w:rPr>
            </w:pPr>
          </w:p>
        </w:tc>
      </w:tr>
    </w:tbl>
    <w:p w14:paraId="30FD17EF" w14:textId="77777777" w:rsidR="003E2F8C" w:rsidRDefault="003E2F8C" w:rsidP="00D03A31">
      <w:pPr>
        <w:spacing w:after="120"/>
        <w:ind w:firstLine="737"/>
        <w:jc w:val="both"/>
        <w:rPr>
          <w:rFonts w:ascii="Calibri" w:hAnsi="Calibri"/>
          <w:sz w:val="22"/>
          <w:szCs w:val="22"/>
        </w:rPr>
      </w:pPr>
    </w:p>
    <w:p w14:paraId="298779DE" w14:textId="77777777" w:rsidR="006B41CF" w:rsidRDefault="006B41CF" w:rsidP="00D03A31">
      <w:pPr>
        <w:spacing w:after="120"/>
        <w:ind w:firstLine="737"/>
        <w:jc w:val="both"/>
        <w:rPr>
          <w:rFonts w:ascii="Calibri" w:hAnsi="Calibri"/>
          <w:sz w:val="22"/>
          <w:szCs w:val="22"/>
        </w:rPr>
      </w:pPr>
    </w:p>
    <w:p w14:paraId="4AFD2305" w14:textId="77777777" w:rsidR="006B41CF" w:rsidRDefault="006B41CF" w:rsidP="006B41CF">
      <w:pPr>
        <w:ind w:left="-284" w:right="8" w:firstLine="1004"/>
        <w:jc w:val="both"/>
        <w:rPr>
          <w:rFonts w:ascii="Calibri" w:hAnsi="Calibri" w:cs="Calibri"/>
          <w:sz w:val="22"/>
          <w:szCs w:val="22"/>
        </w:rPr>
      </w:pPr>
      <w:r w:rsidRPr="00351606">
        <w:rPr>
          <w:rFonts w:ascii="Calibri" w:hAnsi="Calibri" w:cs="Calibri"/>
          <w:sz w:val="22"/>
          <w:szCs w:val="22"/>
        </w:rPr>
        <w:t>Atnaujint</w:t>
      </w:r>
      <w:r>
        <w:rPr>
          <w:rFonts w:ascii="Calibri" w:hAnsi="Calibri" w:cs="Calibri"/>
          <w:sz w:val="22"/>
          <w:szCs w:val="22"/>
        </w:rPr>
        <w:t>os Skelbiamos apklausos sąlygos ir jos 4 priedas „Sutarties projektas“, 5 priedas</w:t>
      </w:r>
      <w:r w:rsidRPr="00351606">
        <w:rPr>
          <w:rFonts w:ascii="Calibri" w:hAnsi="Calibri" w:cs="Calibri"/>
          <w:sz w:val="22"/>
          <w:szCs w:val="22"/>
        </w:rPr>
        <w:t xml:space="preserve"> </w:t>
      </w:r>
      <w:r>
        <w:rPr>
          <w:rFonts w:ascii="Calibri" w:hAnsi="Calibri" w:cs="Calibri"/>
          <w:sz w:val="22"/>
          <w:szCs w:val="22"/>
        </w:rPr>
        <w:t>„T</w:t>
      </w:r>
      <w:r w:rsidRPr="00351606">
        <w:rPr>
          <w:rFonts w:ascii="Calibri" w:hAnsi="Calibri" w:cs="Calibri"/>
          <w:sz w:val="22"/>
          <w:szCs w:val="22"/>
        </w:rPr>
        <w:t>echninė specifikacij</w:t>
      </w:r>
      <w:r>
        <w:rPr>
          <w:rFonts w:ascii="Calibri" w:hAnsi="Calibri" w:cs="Calibri"/>
          <w:sz w:val="22"/>
          <w:szCs w:val="22"/>
        </w:rPr>
        <w:t>a“ ir 7 priedas „</w:t>
      </w:r>
      <w:r w:rsidRPr="001717AC">
        <w:rPr>
          <w:rFonts w:ascii="Calibri" w:hAnsi="Calibri" w:cs="Calibri"/>
          <w:sz w:val="22"/>
          <w:szCs w:val="22"/>
        </w:rPr>
        <w:t>Sąlygos, kuriomis draudžiamas ir ribojamas tiekėjų dalyvavimas pirkime</w:t>
      </w:r>
      <w:r>
        <w:rPr>
          <w:rFonts w:ascii="Calibri" w:hAnsi="Calibri" w:cs="Calibri"/>
          <w:sz w:val="22"/>
          <w:szCs w:val="22"/>
        </w:rPr>
        <w:t>“</w:t>
      </w:r>
      <w:r w:rsidRPr="00351606">
        <w:rPr>
          <w:rFonts w:ascii="Calibri" w:hAnsi="Calibri" w:cs="Calibri"/>
          <w:sz w:val="22"/>
          <w:szCs w:val="22"/>
        </w:rPr>
        <w:t xml:space="preserve"> yra sudėtinė </w:t>
      </w:r>
      <w:r>
        <w:rPr>
          <w:rFonts w:ascii="Calibri" w:hAnsi="Calibri" w:cs="Calibri"/>
          <w:sz w:val="22"/>
          <w:szCs w:val="22"/>
        </w:rPr>
        <w:t>P</w:t>
      </w:r>
      <w:r w:rsidRPr="00351606">
        <w:rPr>
          <w:rFonts w:ascii="Calibri" w:hAnsi="Calibri" w:cs="Calibri"/>
          <w:sz w:val="22"/>
          <w:szCs w:val="22"/>
        </w:rPr>
        <w:t>irkimo dokumentų dalis, kuri</w:t>
      </w:r>
      <w:r>
        <w:rPr>
          <w:rFonts w:ascii="Calibri" w:hAnsi="Calibri" w:cs="Calibri"/>
          <w:sz w:val="22"/>
          <w:szCs w:val="22"/>
        </w:rPr>
        <w:t>ais</w:t>
      </w:r>
      <w:r w:rsidRPr="00351606">
        <w:rPr>
          <w:rFonts w:ascii="Calibri" w:hAnsi="Calibri" w:cs="Calibri"/>
          <w:sz w:val="22"/>
          <w:szCs w:val="22"/>
        </w:rPr>
        <w:t xml:space="preserve"> tiekėjai turi vadovautis rengdami ir teikdami pasiūlymus.</w:t>
      </w:r>
    </w:p>
    <w:p w14:paraId="6C35450A" w14:textId="77777777" w:rsidR="006B41CF" w:rsidRPr="00331A44" w:rsidRDefault="006B41CF" w:rsidP="006B41CF">
      <w:pPr>
        <w:ind w:left="-284" w:right="8" w:firstLine="1004"/>
        <w:jc w:val="both"/>
        <w:rPr>
          <w:rFonts w:ascii="Calibri" w:hAnsi="Calibri" w:cs="Calibri"/>
          <w:b/>
          <w:bCs/>
          <w:sz w:val="22"/>
          <w:szCs w:val="22"/>
        </w:rPr>
      </w:pPr>
      <w:r>
        <w:rPr>
          <w:rFonts w:ascii="Calibri" w:hAnsi="Calibri" w:cs="Calibri"/>
          <w:sz w:val="22"/>
          <w:szCs w:val="22"/>
        </w:rPr>
        <w:t xml:space="preserve">Atsižvelgiant į tai, kad atlikti Pirkimo dokumentų pakeitimai ir tikslinimai, vadovaujantis Skelbiamos apklausos sąlygų 4.4 punktu, </w:t>
      </w:r>
      <w:r w:rsidRPr="00331A44">
        <w:rPr>
          <w:rFonts w:ascii="Calibri" w:hAnsi="Calibri" w:cs="Calibri"/>
          <w:b/>
          <w:bCs/>
          <w:sz w:val="22"/>
          <w:szCs w:val="22"/>
        </w:rPr>
        <w:t>pasiūlymų pateikimo terminas nukeliamas iš 2026 m. liepos 8 d. 9:00 val. į 2026 m. liepos 16 d. 9:00 val.</w:t>
      </w:r>
    </w:p>
    <w:p w14:paraId="52A682BF" w14:textId="77777777" w:rsidR="006B41CF" w:rsidRDefault="006B41CF" w:rsidP="006B41CF">
      <w:pPr>
        <w:ind w:left="-284" w:right="-694" w:firstLine="1004"/>
        <w:jc w:val="both"/>
        <w:rPr>
          <w:rFonts w:ascii="Calibri" w:hAnsi="Calibri" w:cs="Calibri"/>
          <w:sz w:val="22"/>
          <w:szCs w:val="22"/>
        </w:rPr>
      </w:pPr>
    </w:p>
    <w:p w14:paraId="58F2CBCD" w14:textId="77777777" w:rsidR="006B41CF" w:rsidRDefault="006B41CF" w:rsidP="006B41CF">
      <w:pPr>
        <w:ind w:left="-284" w:right="-694" w:firstLine="1004"/>
        <w:jc w:val="both"/>
        <w:rPr>
          <w:rFonts w:ascii="Calibri" w:hAnsi="Calibri" w:cs="Calibri"/>
          <w:sz w:val="22"/>
          <w:szCs w:val="22"/>
        </w:rPr>
      </w:pPr>
    </w:p>
    <w:p w14:paraId="7F9A5613" w14:textId="05683EB6" w:rsidR="006B6B83" w:rsidRDefault="006B6B83" w:rsidP="006B41CF">
      <w:pPr>
        <w:ind w:left="-284" w:right="-694" w:firstLine="1004"/>
        <w:jc w:val="both"/>
        <w:rPr>
          <w:rFonts w:ascii="Calibri" w:hAnsi="Calibri" w:cs="Calibri"/>
          <w:sz w:val="22"/>
          <w:szCs w:val="22"/>
        </w:rPr>
      </w:pPr>
      <w:r>
        <w:rPr>
          <w:rFonts w:ascii="Calibri" w:hAnsi="Calibri" w:cs="Calibri"/>
          <w:sz w:val="22"/>
          <w:szCs w:val="22"/>
        </w:rPr>
        <w:t>PRIDEDAMA:</w:t>
      </w:r>
    </w:p>
    <w:p w14:paraId="5FCD49EA" w14:textId="0AD12F3A" w:rsidR="006B6B83" w:rsidRDefault="006B6B83" w:rsidP="006B6B83">
      <w:pPr>
        <w:pStyle w:val="ListParagraph"/>
        <w:numPr>
          <w:ilvl w:val="0"/>
          <w:numId w:val="21"/>
        </w:numPr>
        <w:ind w:right="-694"/>
        <w:jc w:val="both"/>
        <w:rPr>
          <w:rFonts w:ascii="Calibri" w:hAnsi="Calibri" w:cs="Calibri"/>
          <w:sz w:val="22"/>
          <w:szCs w:val="22"/>
        </w:rPr>
      </w:pPr>
      <w:r>
        <w:rPr>
          <w:rFonts w:ascii="Calibri" w:hAnsi="Calibri" w:cs="Calibri"/>
          <w:sz w:val="22"/>
          <w:szCs w:val="22"/>
        </w:rPr>
        <w:t>Skelbiamos apklausos sąlygos</w:t>
      </w:r>
      <w:r>
        <w:rPr>
          <w:rFonts w:ascii="Calibri" w:hAnsi="Calibri" w:cs="Calibri"/>
          <w:sz w:val="22"/>
          <w:szCs w:val="22"/>
        </w:rPr>
        <w:t xml:space="preserve"> (aktualios nuo 2026-07-01).</w:t>
      </w:r>
    </w:p>
    <w:p w14:paraId="1E8D5D93" w14:textId="77531F85" w:rsidR="006B6B83" w:rsidRDefault="006B6B83" w:rsidP="006B6B83">
      <w:pPr>
        <w:pStyle w:val="ListParagraph"/>
        <w:numPr>
          <w:ilvl w:val="0"/>
          <w:numId w:val="21"/>
        </w:numPr>
        <w:ind w:right="-694"/>
        <w:jc w:val="both"/>
        <w:rPr>
          <w:rFonts w:ascii="Calibri" w:hAnsi="Calibri" w:cs="Calibri"/>
          <w:sz w:val="22"/>
          <w:szCs w:val="22"/>
        </w:rPr>
      </w:pPr>
      <w:r>
        <w:rPr>
          <w:rFonts w:ascii="Calibri" w:hAnsi="Calibri" w:cs="Calibri"/>
          <w:sz w:val="22"/>
          <w:szCs w:val="22"/>
        </w:rPr>
        <w:t>4 priedas „Sutarties projektas“</w:t>
      </w:r>
      <w:r>
        <w:rPr>
          <w:rFonts w:ascii="Calibri" w:hAnsi="Calibri" w:cs="Calibri"/>
          <w:sz w:val="22"/>
          <w:szCs w:val="22"/>
        </w:rPr>
        <w:t xml:space="preserve"> (aktualus nuo 2026-07-01).</w:t>
      </w:r>
    </w:p>
    <w:p w14:paraId="07CE15DC" w14:textId="3FF39F75" w:rsidR="006B6B83" w:rsidRDefault="006B6B83" w:rsidP="006B6B83">
      <w:pPr>
        <w:pStyle w:val="ListParagraph"/>
        <w:numPr>
          <w:ilvl w:val="0"/>
          <w:numId w:val="21"/>
        </w:numPr>
        <w:ind w:right="-694"/>
        <w:jc w:val="both"/>
        <w:rPr>
          <w:rFonts w:ascii="Calibri" w:hAnsi="Calibri" w:cs="Calibri"/>
          <w:sz w:val="22"/>
          <w:szCs w:val="22"/>
        </w:rPr>
      </w:pPr>
      <w:r>
        <w:rPr>
          <w:rFonts w:ascii="Calibri" w:hAnsi="Calibri" w:cs="Calibri"/>
          <w:sz w:val="22"/>
          <w:szCs w:val="22"/>
        </w:rPr>
        <w:t>5 priedas</w:t>
      </w:r>
      <w:r w:rsidRPr="00351606">
        <w:rPr>
          <w:rFonts w:ascii="Calibri" w:hAnsi="Calibri" w:cs="Calibri"/>
          <w:sz w:val="22"/>
          <w:szCs w:val="22"/>
        </w:rPr>
        <w:t xml:space="preserve"> </w:t>
      </w:r>
      <w:r>
        <w:rPr>
          <w:rFonts w:ascii="Calibri" w:hAnsi="Calibri" w:cs="Calibri"/>
          <w:sz w:val="22"/>
          <w:szCs w:val="22"/>
        </w:rPr>
        <w:t>„T</w:t>
      </w:r>
      <w:r w:rsidRPr="00351606">
        <w:rPr>
          <w:rFonts w:ascii="Calibri" w:hAnsi="Calibri" w:cs="Calibri"/>
          <w:sz w:val="22"/>
          <w:szCs w:val="22"/>
        </w:rPr>
        <w:t>echninė specifikacij</w:t>
      </w:r>
      <w:r>
        <w:rPr>
          <w:rFonts w:ascii="Calibri" w:hAnsi="Calibri" w:cs="Calibri"/>
          <w:sz w:val="22"/>
          <w:szCs w:val="22"/>
        </w:rPr>
        <w:t>a“</w:t>
      </w:r>
      <w:r>
        <w:rPr>
          <w:rFonts w:ascii="Calibri" w:hAnsi="Calibri" w:cs="Calibri"/>
          <w:sz w:val="22"/>
          <w:szCs w:val="22"/>
        </w:rPr>
        <w:t xml:space="preserve"> </w:t>
      </w:r>
      <w:r>
        <w:rPr>
          <w:rFonts w:ascii="Calibri" w:hAnsi="Calibri" w:cs="Calibri"/>
          <w:sz w:val="22"/>
          <w:szCs w:val="22"/>
        </w:rPr>
        <w:t>(aktualus nuo 2026-07-01)</w:t>
      </w:r>
      <w:r>
        <w:rPr>
          <w:rFonts w:ascii="Calibri" w:hAnsi="Calibri" w:cs="Calibri"/>
          <w:sz w:val="22"/>
          <w:szCs w:val="22"/>
        </w:rPr>
        <w:t>.</w:t>
      </w:r>
    </w:p>
    <w:p w14:paraId="023526A4" w14:textId="2D0C7F1D" w:rsidR="006B6B83" w:rsidRPr="006B6B83" w:rsidRDefault="006B6B83" w:rsidP="006B6B83">
      <w:pPr>
        <w:pStyle w:val="ListParagraph"/>
        <w:numPr>
          <w:ilvl w:val="0"/>
          <w:numId w:val="21"/>
        </w:numPr>
        <w:ind w:right="8"/>
        <w:jc w:val="both"/>
        <w:rPr>
          <w:rFonts w:ascii="Calibri" w:hAnsi="Calibri" w:cs="Calibri"/>
          <w:sz w:val="22"/>
          <w:szCs w:val="22"/>
        </w:rPr>
      </w:pPr>
      <w:r>
        <w:rPr>
          <w:rFonts w:ascii="Calibri" w:hAnsi="Calibri" w:cs="Calibri"/>
          <w:sz w:val="22"/>
          <w:szCs w:val="22"/>
        </w:rPr>
        <w:t>7 priedas „</w:t>
      </w:r>
      <w:r w:rsidRPr="001717AC">
        <w:rPr>
          <w:rFonts w:ascii="Calibri" w:hAnsi="Calibri" w:cs="Calibri"/>
          <w:sz w:val="22"/>
          <w:szCs w:val="22"/>
        </w:rPr>
        <w:t>Sąlygos, kuriomis draudžiamas ir ribojamas tiekėjų dalyvavimas pirkime</w:t>
      </w:r>
      <w:r>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(aktualus nuo 2026-07-01)</w:t>
      </w:r>
    </w:p>
    <w:p w14:paraId="13B1AFA2" w14:textId="77777777" w:rsidR="006B6B83" w:rsidRDefault="006B6B83" w:rsidP="006B41CF">
      <w:pPr>
        <w:ind w:left="-284" w:right="-694" w:firstLine="1004"/>
        <w:jc w:val="both"/>
        <w:rPr>
          <w:rFonts w:ascii="Calibri" w:hAnsi="Calibri" w:cs="Calibri"/>
          <w:sz w:val="22"/>
          <w:szCs w:val="22"/>
        </w:rPr>
      </w:pPr>
    </w:p>
    <w:p w14:paraId="2B98B2D5" w14:textId="77777777" w:rsidR="006B6B83" w:rsidRDefault="006B6B83" w:rsidP="006B41CF">
      <w:pPr>
        <w:ind w:left="-284" w:right="-694" w:firstLine="1004"/>
        <w:jc w:val="both"/>
        <w:rPr>
          <w:rFonts w:ascii="Calibri" w:hAnsi="Calibri" w:cs="Calibri"/>
          <w:sz w:val="22"/>
          <w:szCs w:val="22"/>
        </w:rPr>
      </w:pPr>
    </w:p>
    <w:p w14:paraId="75815F52" w14:textId="77777777" w:rsidR="006B41CF" w:rsidRDefault="006B41CF" w:rsidP="006B41CF">
      <w:pPr>
        <w:ind w:left="-284" w:right="-694" w:firstLine="14"/>
        <w:jc w:val="both"/>
        <w:rPr>
          <w:rFonts w:ascii="Calibri" w:hAnsi="Calibri" w:cs="Calibri"/>
          <w:sz w:val="22"/>
          <w:szCs w:val="22"/>
        </w:rPr>
      </w:pPr>
      <w:r>
        <w:rPr>
          <w:rFonts w:ascii="Calibri" w:hAnsi="Calibri" w:cs="Calibri"/>
          <w:sz w:val="22"/>
          <w:szCs w:val="22"/>
        </w:rPr>
        <w:t>Pirkimų projektų vadovė</w:t>
      </w:r>
    </w:p>
    <w:p w14:paraId="7F32C38C" w14:textId="77777777" w:rsidR="006B41CF" w:rsidRDefault="006B41CF" w:rsidP="006B41CF">
      <w:pPr>
        <w:ind w:left="-284" w:right="-694" w:firstLine="14"/>
        <w:jc w:val="both"/>
        <w:rPr>
          <w:rFonts w:ascii="Calibri" w:hAnsi="Calibri" w:cs="Calibri"/>
          <w:sz w:val="22"/>
          <w:szCs w:val="22"/>
        </w:rPr>
      </w:pPr>
      <w:r>
        <w:rPr>
          <w:rFonts w:ascii="Calibri" w:hAnsi="Calibri" w:cs="Calibri"/>
          <w:sz w:val="22"/>
          <w:szCs w:val="22"/>
        </w:rPr>
        <w:t>Asta Veličkienė</w:t>
      </w:r>
    </w:p>
    <w:p w14:paraId="5984CE50" w14:textId="77777777" w:rsidR="006B41CF" w:rsidRPr="00351606" w:rsidRDefault="006B41CF" w:rsidP="006B41CF">
      <w:pPr>
        <w:ind w:left="-284" w:right="-694" w:firstLine="14"/>
        <w:jc w:val="both"/>
        <w:rPr>
          <w:sz w:val="22"/>
          <w:szCs w:val="22"/>
        </w:rPr>
      </w:pPr>
      <w:r>
        <w:rPr>
          <w:rFonts w:ascii="Calibri" w:hAnsi="Calibri" w:cs="Calibri"/>
          <w:sz w:val="22"/>
          <w:szCs w:val="22"/>
        </w:rPr>
        <w:t>+37061030996</w:t>
      </w:r>
    </w:p>
    <w:p w14:paraId="3A077415" w14:textId="77777777" w:rsidR="006B41CF" w:rsidRDefault="006B41CF" w:rsidP="00D03A31">
      <w:pPr>
        <w:spacing w:after="120"/>
        <w:ind w:firstLine="737"/>
        <w:jc w:val="both"/>
        <w:rPr>
          <w:rFonts w:ascii="Calibri" w:hAnsi="Calibri"/>
          <w:sz w:val="22"/>
          <w:szCs w:val="22"/>
        </w:rPr>
      </w:pPr>
    </w:p>
    <w:p w14:paraId="5DDB8244" w14:textId="77777777" w:rsidR="007E22E9" w:rsidRDefault="007E22E9" w:rsidP="007E22E9">
      <w:pPr>
        <w:pStyle w:val="ListParagraph"/>
        <w:ind w:left="-90" w:firstLine="720"/>
        <w:jc w:val="both"/>
        <w:rPr>
          <w:rFonts w:asciiTheme="minorHAnsi" w:hAnsiTheme="minorHAnsi" w:cstheme="minorHAnsi"/>
          <w:bCs/>
          <w:sz w:val="22"/>
          <w:szCs w:val="22"/>
        </w:rPr>
      </w:pPr>
    </w:p>
    <w:p w14:paraId="4E48415A" w14:textId="77777777" w:rsidR="0064594F" w:rsidRDefault="0064594F" w:rsidP="0064594F">
      <w:pPr>
        <w:spacing w:after="120"/>
        <w:jc w:val="both"/>
        <w:rPr>
          <w:rFonts w:ascii="Calibri" w:hAnsi="Calibri"/>
          <w:sz w:val="22"/>
          <w:szCs w:val="22"/>
        </w:rPr>
      </w:pPr>
    </w:p>
    <w:p w14:paraId="284036B0" w14:textId="77777777" w:rsidR="0064594F" w:rsidRDefault="0064594F" w:rsidP="0064594F">
      <w:pPr>
        <w:spacing w:after="120"/>
        <w:jc w:val="both"/>
        <w:rPr>
          <w:rFonts w:ascii="Calibri" w:hAnsi="Calibri"/>
          <w:sz w:val="22"/>
          <w:szCs w:val="22"/>
        </w:rPr>
      </w:pPr>
    </w:p>
    <w:sectPr w:rsidR="0064594F" w:rsidSect="00D161B8">
      <w:pgSz w:w="11906" w:h="16838"/>
      <w:pgMar w:top="127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HelveticaLT">
    <w:altName w:val="Arial"/>
    <w:charset w:val="00"/>
    <w:family w:val="swiss"/>
    <w:pitch w:val="variable"/>
    <w:sig w:usb0="00000003" w:usb1="00000000" w:usb2="00000000" w:usb3="00000000" w:csb0="00000001" w:csb1="00000000"/>
  </w:font>
  <w:font w:name="opensans-regular-webfont">
    <w:altName w:val="Times New Roman"/>
    <w:panose1 w:val="00000000000000000000"/>
    <w:charset w:val="00"/>
    <w:family w:val="roman"/>
    <w:notTrueType/>
    <w:pitch w:val="default"/>
  </w:font>
  <w:font w:name="CourierLT">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FE7"/>
    <w:multiLevelType w:val="hybridMultilevel"/>
    <w:tmpl w:val="3E76AFFA"/>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2F40286"/>
    <w:multiLevelType w:val="hybridMultilevel"/>
    <w:tmpl w:val="112AB416"/>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235BFF"/>
    <w:multiLevelType w:val="hybridMultilevel"/>
    <w:tmpl w:val="F702C334"/>
    <w:lvl w:ilvl="0" w:tplc="1160F81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961F5F"/>
    <w:multiLevelType w:val="hybridMultilevel"/>
    <w:tmpl w:val="FEEA0086"/>
    <w:lvl w:ilvl="0" w:tplc="0D6AFE8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05930CB4"/>
    <w:multiLevelType w:val="hybridMultilevel"/>
    <w:tmpl w:val="FDD2F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9E30EC"/>
    <w:multiLevelType w:val="hybridMultilevel"/>
    <w:tmpl w:val="F56AA5E0"/>
    <w:lvl w:ilvl="0" w:tplc="F8FC8600">
      <w:start w:val="1"/>
      <w:numFmt w:val="bullet"/>
      <w:lvlText w:val=""/>
      <w:lvlJc w:val="left"/>
      <w:pPr>
        <w:ind w:left="720" w:hanging="360"/>
      </w:pPr>
      <w:rPr>
        <w:rFonts w:ascii="Symbol" w:hAnsi="Symbol"/>
      </w:rPr>
    </w:lvl>
    <w:lvl w:ilvl="1" w:tplc="5380B0BE">
      <w:start w:val="1"/>
      <w:numFmt w:val="bullet"/>
      <w:lvlText w:val=""/>
      <w:lvlJc w:val="left"/>
      <w:pPr>
        <w:ind w:left="720" w:hanging="360"/>
      </w:pPr>
      <w:rPr>
        <w:rFonts w:ascii="Symbol" w:hAnsi="Symbol"/>
      </w:rPr>
    </w:lvl>
    <w:lvl w:ilvl="2" w:tplc="03A29B40">
      <w:start w:val="1"/>
      <w:numFmt w:val="bullet"/>
      <w:lvlText w:val=""/>
      <w:lvlJc w:val="left"/>
      <w:pPr>
        <w:ind w:left="720" w:hanging="360"/>
      </w:pPr>
      <w:rPr>
        <w:rFonts w:ascii="Symbol" w:hAnsi="Symbol"/>
      </w:rPr>
    </w:lvl>
    <w:lvl w:ilvl="3" w:tplc="5756074C">
      <w:start w:val="1"/>
      <w:numFmt w:val="bullet"/>
      <w:lvlText w:val=""/>
      <w:lvlJc w:val="left"/>
      <w:pPr>
        <w:ind w:left="720" w:hanging="360"/>
      </w:pPr>
      <w:rPr>
        <w:rFonts w:ascii="Symbol" w:hAnsi="Symbol"/>
      </w:rPr>
    </w:lvl>
    <w:lvl w:ilvl="4" w:tplc="50962110">
      <w:start w:val="1"/>
      <w:numFmt w:val="bullet"/>
      <w:lvlText w:val=""/>
      <w:lvlJc w:val="left"/>
      <w:pPr>
        <w:ind w:left="720" w:hanging="360"/>
      </w:pPr>
      <w:rPr>
        <w:rFonts w:ascii="Symbol" w:hAnsi="Symbol"/>
      </w:rPr>
    </w:lvl>
    <w:lvl w:ilvl="5" w:tplc="EF727110">
      <w:start w:val="1"/>
      <w:numFmt w:val="bullet"/>
      <w:lvlText w:val=""/>
      <w:lvlJc w:val="left"/>
      <w:pPr>
        <w:ind w:left="720" w:hanging="360"/>
      </w:pPr>
      <w:rPr>
        <w:rFonts w:ascii="Symbol" w:hAnsi="Symbol"/>
      </w:rPr>
    </w:lvl>
    <w:lvl w:ilvl="6" w:tplc="09542AC2">
      <w:start w:val="1"/>
      <w:numFmt w:val="bullet"/>
      <w:lvlText w:val=""/>
      <w:lvlJc w:val="left"/>
      <w:pPr>
        <w:ind w:left="720" w:hanging="360"/>
      </w:pPr>
      <w:rPr>
        <w:rFonts w:ascii="Symbol" w:hAnsi="Symbol"/>
      </w:rPr>
    </w:lvl>
    <w:lvl w:ilvl="7" w:tplc="C71CF642">
      <w:start w:val="1"/>
      <w:numFmt w:val="bullet"/>
      <w:lvlText w:val=""/>
      <w:lvlJc w:val="left"/>
      <w:pPr>
        <w:ind w:left="720" w:hanging="360"/>
      </w:pPr>
      <w:rPr>
        <w:rFonts w:ascii="Symbol" w:hAnsi="Symbol"/>
      </w:rPr>
    </w:lvl>
    <w:lvl w:ilvl="8" w:tplc="CC046B56">
      <w:start w:val="1"/>
      <w:numFmt w:val="bullet"/>
      <w:lvlText w:val=""/>
      <w:lvlJc w:val="left"/>
      <w:pPr>
        <w:ind w:left="720" w:hanging="360"/>
      </w:pPr>
      <w:rPr>
        <w:rFonts w:ascii="Symbol" w:hAnsi="Symbol"/>
      </w:rPr>
    </w:lvl>
  </w:abstractNum>
  <w:abstractNum w:abstractNumId="6" w15:restartNumberingAfterBreak="0">
    <w:nsid w:val="0CDF673D"/>
    <w:multiLevelType w:val="hybridMultilevel"/>
    <w:tmpl w:val="95ECFA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F815C9"/>
    <w:multiLevelType w:val="hybridMultilevel"/>
    <w:tmpl w:val="6F0C99F8"/>
    <w:lvl w:ilvl="0" w:tplc="35B6C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5C6096"/>
    <w:multiLevelType w:val="hybridMultilevel"/>
    <w:tmpl w:val="4322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902D81"/>
    <w:multiLevelType w:val="hybridMultilevel"/>
    <w:tmpl w:val="F96A01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D713D1"/>
    <w:multiLevelType w:val="hybridMultilevel"/>
    <w:tmpl w:val="E0D4B1FA"/>
    <w:lvl w:ilvl="0" w:tplc="04270001">
      <w:start w:val="1"/>
      <w:numFmt w:val="bullet"/>
      <w:lvlText w:val=""/>
      <w:lvlJc w:val="left"/>
      <w:pPr>
        <w:ind w:left="2007" w:hanging="360"/>
      </w:pPr>
      <w:rPr>
        <w:rFonts w:ascii="Symbol" w:hAnsi="Symbol"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1" w15:restartNumberingAfterBreak="0">
    <w:nsid w:val="28395B06"/>
    <w:multiLevelType w:val="hybridMultilevel"/>
    <w:tmpl w:val="B66AAB3A"/>
    <w:lvl w:ilvl="0" w:tplc="51DA8FC0">
      <w:start w:val="1"/>
      <w:numFmt w:val="decimal"/>
      <w:lvlText w:val="%1."/>
      <w:lvlJc w:val="left"/>
      <w:pPr>
        <w:ind w:left="1097" w:hanging="360"/>
      </w:pPr>
      <w:rPr>
        <w:rFonts w:hint="default"/>
        <w:b w:val="0"/>
        <w:bCs/>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2AE1318F"/>
    <w:multiLevelType w:val="hybridMultilevel"/>
    <w:tmpl w:val="8FD6858C"/>
    <w:lvl w:ilvl="0" w:tplc="0427000F">
      <w:start w:val="1"/>
      <w:numFmt w:val="decimal"/>
      <w:lvlText w:val="%1."/>
      <w:lvlJc w:val="left"/>
      <w:pPr>
        <w:ind w:left="720" w:hanging="360"/>
      </w:pPr>
    </w:lvl>
    <w:lvl w:ilvl="1" w:tplc="DD827D9A">
      <w:start w:val="1"/>
      <w:numFmt w:val="lowerLetter"/>
      <w:lvlText w:val="%2."/>
      <w:lvlJc w:val="left"/>
      <w:pPr>
        <w:ind w:left="1440" w:hanging="360"/>
      </w:pPr>
      <w:rPr>
        <w:rFonts w:ascii="Aptos" w:eastAsia="Times New Roman" w:hAnsi="Aptos" w:cs="Apto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6F55AE8"/>
    <w:multiLevelType w:val="hybridMultilevel"/>
    <w:tmpl w:val="E5E4E98A"/>
    <w:lvl w:ilvl="0" w:tplc="3C700C9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4B694D3F"/>
    <w:multiLevelType w:val="hybridMultilevel"/>
    <w:tmpl w:val="DBB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D76374"/>
    <w:multiLevelType w:val="hybridMultilevel"/>
    <w:tmpl w:val="C1C2E964"/>
    <w:lvl w:ilvl="0" w:tplc="7670177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6" w15:restartNumberingAfterBreak="0">
    <w:nsid w:val="5CC132FA"/>
    <w:multiLevelType w:val="hybridMultilevel"/>
    <w:tmpl w:val="030424A4"/>
    <w:lvl w:ilvl="0" w:tplc="D5965FA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7" w15:restartNumberingAfterBreak="0">
    <w:nsid w:val="5E756BC3"/>
    <w:multiLevelType w:val="hybridMultilevel"/>
    <w:tmpl w:val="7A4E84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F93C1B"/>
    <w:multiLevelType w:val="hybridMultilevel"/>
    <w:tmpl w:val="ECF89BF2"/>
    <w:lvl w:ilvl="0" w:tplc="04270001">
      <w:start w:val="1"/>
      <w:numFmt w:val="bullet"/>
      <w:lvlText w:val=""/>
      <w:lvlJc w:val="left"/>
      <w:pPr>
        <w:ind w:left="2007" w:hanging="360"/>
      </w:pPr>
      <w:rPr>
        <w:rFonts w:ascii="Symbol" w:hAnsi="Symbol"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9" w15:restartNumberingAfterBreak="0">
    <w:nsid w:val="717D292D"/>
    <w:multiLevelType w:val="hybridMultilevel"/>
    <w:tmpl w:val="33CC68A8"/>
    <w:lvl w:ilvl="0" w:tplc="A4A287D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0" w15:restartNumberingAfterBreak="0">
    <w:nsid w:val="766D07D7"/>
    <w:multiLevelType w:val="hybridMultilevel"/>
    <w:tmpl w:val="FBB4C3F8"/>
    <w:lvl w:ilvl="0" w:tplc="9FC4C42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1633485936">
    <w:abstractNumId w:val="2"/>
  </w:num>
  <w:num w:numId="2" w16cid:durableId="385834409">
    <w:abstractNumId w:val="3"/>
  </w:num>
  <w:num w:numId="3" w16cid:durableId="1692337473">
    <w:abstractNumId w:val="16"/>
  </w:num>
  <w:num w:numId="4" w16cid:durableId="622731158">
    <w:abstractNumId w:val="15"/>
  </w:num>
  <w:num w:numId="5" w16cid:durableId="1892645995">
    <w:abstractNumId w:val="8"/>
  </w:num>
  <w:num w:numId="6" w16cid:durableId="1052927522">
    <w:abstractNumId w:val="13"/>
  </w:num>
  <w:num w:numId="7" w16cid:durableId="2132236398">
    <w:abstractNumId w:val="14"/>
  </w:num>
  <w:num w:numId="8" w16cid:durableId="293340431">
    <w:abstractNumId w:val="0"/>
  </w:num>
  <w:num w:numId="9" w16cid:durableId="1025600942">
    <w:abstractNumId w:val="9"/>
  </w:num>
  <w:num w:numId="10" w16cid:durableId="18435429">
    <w:abstractNumId w:val="19"/>
  </w:num>
  <w:num w:numId="11" w16cid:durableId="716198590">
    <w:abstractNumId w:val="11"/>
  </w:num>
  <w:num w:numId="12" w16cid:durableId="1399785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6471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5292982">
    <w:abstractNumId w:val="18"/>
  </w:num>
  <w:num w:numId="15" w16cid:durableId="1937397318">
    <w:abstractNumId w:val="4"/>
  </w:num>
  <w:num w:numId="16" w16cid:durableId="2033872866">
    <w:abstractNumId w:val="1"/>
  </w:num>
  <w:num w:numId="17" w16cid:durableId="1655601419">
    <w:abstractNumId w:val="10"/>
  </w:num>
  <w:num w:numId="18" w16cid:durableId="833453613">
    <w:abstractNumId w:val="5"/>
  </w:num>
  <w:num w:numId="19" w16cid:durableId="2002001339">
    <w:abstractNumId w:val="20"/>
  </w:num>
  <w:num w:numId="20" w16cid:durableId="1066757986">
    <w:abstractNumId w:val="6"/>
  </w:num>
  <w:num w:numId="21" w16cid:durableId="1533226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D7"/>
    <w:rsid w:val="00004597"/>
    <w:rsid w:val="00006E15"/>
    <w:rsid w:val="0001073F"/>
    <w:rsid w:val="00020418"/>
    <w:rsid w:val="00020B14"/>
    <w:rsid w:val="000217A9"/>
    <w:rsid w:val="00023B21"/>
    <w:rsid w:val="00025285"/>
    <w:rsid w:val="00032550"/>
    <w:rsid w:val="00044161"/>
    <w:rsid w:val="000459BE"/>
    <w:rsid w:val="000477D3"/>
    <w:rsid w:val="00053DC8"/>
    <w:rsid w:val="00061C83"/>
    <w:rsid w:val="0007700A"/>
    <w:rsid w:val="0007734E"/>
    <w:rsid w:val="0008194E"/>
    <w:rsid w:val="00083534"/>
    <w:rsid w:val="00092AE8"/>
    <w:rsid w:val="000A26F0"/>
    <w:rsid w:val="000B37C2"/>
    <w:rsid w:val="000B5CC9"/>
    <w:rsid w:val="000C0198"/>
    <w:rsid w:val="000C159C"/>
    <w:rsid w:val="000C35B4"/>
    <w:rsid w:val="000C420B"/>
    <w:rsid w:val="000C4CD8"/>
    <w:rsid w:val="000D30B2"/>
    <w:rsid w:val="000D340C"/>
    <w:rsid w:val="000D34E7"/>
    <w:rsid w:val="000D47CA"/>
    <w:rsid w:val="000E55C1"/>
    <w:rsid w:val="000F2289"/>
    <w:rsid w:val="000F78EF"/>
    <w:rsid w:val="00127576"/>
    <w:rsid w:val="001506ED"/>
    <w:rsid w:val="001520C6"/>
    <w:rsid w:val="00155F94"/>
    <w:rsid w:val="00165747"/>
    <w:rsid w:val="00196429"/>
    <w:rsid w:val="001A0981"/>
    <w:rsid w:val="001A13D8"/>
    <w:rsid w:val="001A36A7"/>
    <w:rsid w:val="001A4BDA"/>
    <w:rsid w:val="001A57D7"/>
    <w:rsid w:val="001B5808"/>
    <w:rsid w:val="001E3A74"/>
    <w:rsid w:val="001E4378"/>
    <w:rsid w:val="001E49F9"/>
    <w:rsid w:val="001E7243"/>
    <w:rsid w:val="002047B4"/>
    <w:rsid w:val="00215B08"/>
    <w:rsid w:val="002245F5"/>
    <w:rsid w:val="00230B37"/>
    <w:rsid w:val="00230BF2"/>
    <w:rsid w:val="00232EFF"/>
    <w:rsid w:val="002404DF"/>
    <w:rsid w:val="0025764F"/>
    <w:rsid w:val="002765D0"/>
    <w:rsid w:val="002811DC"/>
    <w:rsid w:val="002A1354"/>
    <w:rsid w:val="002A19FF"/>
    <w:rsid w:val="002A7612"/>
    <w:rsid w:val="002B11E1"/>
    <w:rsid w:val="002C195B"/>
    <w:rsid w:val="002C3AB3"/>
    <w:rsid w:val="002C67C7"/>
    <w:rsid w:val="002C71F3"/>
    <w:rsid w:val="002D5E36"/>
    <w:rsid w:val="002E33B0"/>
    <w:rsid w:val="002E7227"/>
    <w:rsid w:val="002F1648"/>
    <w:rsid w:val="002F6BD5"/>
    <w:rsid w:val="002F6C2A"/>
    <w:rsid w:val="00303FC7"/>
    <w:rsid w:val="00321CCC"/>
    <w:rsid w:val="00326788"/>
    <w:rsid w:val="00327F34"/>
    <w:rsid w:val="003304D5"/>
    <w:rsid w:val="00331A44"/>
    <w:rsid w:val="00332573"/>
    <w:rsid w:val="003405FD"/>
    <w:rsid w:val="00340AE4"/>
    <w:rsid w:val="00341FBB"/>
    <w:rsid w:val="00352CA2"/>
    <w:rsid w:val="003943D1"/>
    <w:rsid w:val="00395605"/>
    <w:rsid w:val="003A2114"/>
    <w:rsid w:val="003A2131"/>
    <w:rsid w:val="003B18D5"/>
    <w:rsid w:val="003C52F7"/>
    <w:rsid w:val="003C678E"/>
    <w:rsid w:val="003D0559"/>
    <w:rsid w:val="003D2035"/>
    <w:rsid w:val="003E2F8C"/>
    <w:rsid w:val="003E6794"/>
    <w:rsid w:val="003F10D8"/>
    <w:rsid w:val="00402248"/>
    <w:rsid w:val="00403FBD"/>
    <w:rsid w:val="00407202"/>
    <w:rsid w:val="00411699"/>
    <w:rsid w:val="004161D0"/>
    <w:rsid w:val="00425880"/>
    <w:rsid w:val="0042727C"/>
    <w:rsid w:val="004331F2"/>
    <w:rsid w:val="004365EB"/>
    <w:rsid w:val="004423E6"/>
    <w:rsid w:val="00443221"/>
    <w:rsid w:val="0044404F"/>
    <w:rsid w:val="004441A7"/>
    <w:rsid w:val="00446BDD"/>
    <w:rsid w:val="00474BFE"/>
    <w:rsid w:val="00496CD8"/>
    <w:rsid w:val="004A374F"/>
    <w:rsid w:val="004A5C85"/>
    <w:rsid w:val="004B15E9"/>
    <w:rsid w:val="004B3D0B"/>
    <w:rsid w:val="004C529C"/>
    <w:rsid w:val="004C5761"/>
    <w:rsid w:val="004D49C6"/>
    <w:rsid w:val="004E3BCC"/>
    <w:rsid w:val="004F710D"/>
    <w:rsid w:val="004F7666"/>
    <w:rsid w:val="005039C0"/>
    <w:rsid w:val="00504105"/>
    <w:rsid w:val="005065B8"/>
    <w:rsid w:val="00507028"/>
    <w:rsid w:val="00510410"/>
    <w:rsid w:val="00512EDB"/>
    <w:rsid w:val="005204D0"/>
    <w:rsid w:val="00521021"/>
    <w:rsid w:val="00522E2B"/>
    <w:rsid w:val="0052487C"/>
    <w:rsid w:val="00525146"/>
    <w:rsid w:val="005367CF"/>
    <w:rsid w:val="0054514B"/>
    <w:rsid w:val="00550CB1"/>
    <w:rsid w:val="00551495"/>
    <w:rsid w:val="00551DAA"/>
    <w:rsid w:val="00553B79"/>
    <w:rsid w:val="0056096E"/>
    <w:rsid w:val="00561771"/>
    <w:rsid w:val="00576E87"/>
    <w:rsid w:val="0058072E"/>
    <w:rsid w:val="005B45FA"/>
    <w:rsid w:val="005C0797"/>
    <w:rsid w:val="005D04AE"/>
    <w:rsid w:val="005D4C29"/>
    <w:rsid w:val="005D4C7A"/>
    <w:rsid w:val="005D56A9"/>
    <w:rsid w:val="005D5D4B"/>
    <w:rsid w:val="005E1542"/>
    <w:rsid w:val="005E771A"/>
    <w:rsid w:val="005F0810"/>
    <w:rsid w:val="005F2446"/>
    <w:rsid w:val="005F42EF"/>
    <w:rsid w:val="00604DB3"/>
    <w:rsid w:val="00607DE6"/>
    <w:rsid w:val="0061225C"/>
    <w:rsid w:val="00623B53"/>
    <w:rsid w:val="006302C4"/>
    <w:rsid w:val="006311EB"/>
    <w:rsid w:val="0064594F"/>
    <w:rsid w:val="00653D35"/>
    <w:rsid w:val="0065461B"/>
    <w:rsid w:val="00661B1E"/>
    <w:rsid w:val="006641BF"/>
    <w:rsid w:val="00666A12"/>
    <w:rsid w:val="00666B58"/>
    <w:rsid w:val="00666F88"/>
    <w:rsid w:val="00671308"/>
    <w:rsid w:val="00671CC5"/>
    <w:rsid w:val="00672EF6"/>
    <w:rsid w:val="00684108"/>
    <w:rsid w:val="00697009"/>
    <w:rsid w:val="006A1E45"/>
    <w:rsid w:val="006A65C1"/>
    <w:rsid w:val="006B41CF"/>
    <w:rsid w:val="006B530C"/>
    <w:rsid w:val="006B6B83"/>
    <w:rsid w:val="006C19AF"/>
    <w:rsid w:val="006C1B9D"/>
    <w:rsid w:val="006C340D"/>
    <w:rsid w:val="006D7355"/>
    <w:rsid w:val="00703C88"/>
    <w:rsid w:val="00712799"/>
    <w:rsid w:val="00721623"/>
    <w:rsid w:val="00721F99"/>
    <w:rsid w:val="00726732"/>
    <w:rsid w:val="00734E2B"/>
    <w:rsid w:val="0074351B"/>
    <w:rsid w:val="00754E36"/>
    <w:rsid w:val="00765F2F"/>
    <w:rsid w:val="00766653"/>
    <w:rsid w:val="00793A4F"/>
    <w:rsid w:val="00794E00"/>
    <w:rsid w:val="007A5605"/>
    <w:rsid w:val="007A6B1C"/>
    <w:rsid w:val="007B4E82"/>
    <w:rsid w:val="007E22E9"/>
    <w:rsid w:val="007E7163"/>
    <w:rsid w:val="007E7AD0"/>
    <w:rsid w:val="007F111F"/>
    <w:rsid w:val="00801419"/>
    <w:rsid w:val="00802DAC"/>
    <w:rsid w:val="0080431E"/>
    <w:rsid w:val="00810D94"/>
    <w:rsid w:val="008255D1"/>
    <w:rsid w:val="00843481"/>
    <w:rsid w:val="00860FEF"/>
    <w:rsid w:val="008712CF"/>
    <w:rsid w:val="00877025"/>
    <w:rsid w:val="008843B0"/>
    <w:rsid w:val="00885181"/>
    <w:rsid w:val="00885BE5"/>
    <w:rsid w:val="00890B07"/>
    <w:rsid w:val="00890FC0"/>
    <w:rsid w:val="00892094"/>
    <w:rsid w:val="0089632C"/>
    <w:rsid w:val="008B2753"/>
    <w:rsid w:val="008B3842"/>
    <w:rsid w:val="008B4321"/>
    <w:rsid w:val="008B4D11"/>
    <w:rsid w:val="008C5BF2"/>
    <w:rsid w:val="008D2022"/>
    <w:rsid w:val="008D59B4"/>
    <w:rsid w:val="008E3741"/>
    <w:rsid w:val="008E6498"/>
    <w:rsid w:val="008F059D"/>
    <w:rsid w:val="00913DBB"/>
    <w:rsid w:val="0091473A"/>
    <w:rsid w:val="0091701C"/>
    <w:rsid w:val="009267D9"/>
    <w:rsid w:val="00937167"/>
    <w:rsid w:val="00941108"/>
    <w:rsid w:val="00944C81"/>
    <w:rsid w:val="00945698"/>
    <w:rsid w:val="00951C84"/>
    <w:rsid w:val="00954AA6"/>
    <w:rsid w:val="00954F62"/>
    <w:rsid w:val="00960186"/>
    <w:rsid w:val="00961D49"/>
    <w:rsid w:val="0096411C"/>
    <w:rsid w:val="00966220"/>
    <w:rsid w:val="009665BB"/>
    <w:rsid w:val="00967297"/>
    <w:rsid w:val="009802DA"/>
    <w:rsid w:val="00992ED8"/>
    <w:rsid w:val="009966A8"/>
    <w:rsid w:val="009B0B54"/>
    <w:rsid w:val="009B0D3B"/>
    <w:rsid w:val="009B0F05"/>
    <w:rsid w:val="009B3EDA"/>
    <w:rsid w:val="009C1BCD"/>
    <w:rsid w:val="009C2CD8"/>
    <w:rsid w:val="009D188F"/>
    <w:rsid w:val="009D3C80"/>
    <w:rsid w:val="009E21FE"/>
    <w:rsid w:val="009E3F4C"/>
    <w:rsid w:val="009F6467"/>
    <w:rsid w:val="009F6B88"/>
    <w:rsid w:val="009F7CF1"/>
    <w:rsid w:val="00A02F16"/>
    <w:rsid w:val="00A07880"/>
    <w:rsid w:val="00A11627"/>
    <w:rsid w:val="00A15C24"/>
    <w:rsid w:val="00A2170F"/>
    <w:rsid w:val="00A260FE"/>
    <w:rsid w:val="00A333AB"/>
    <w:rsid w:val="00A42003"/>
    <w:rsid w:val="00A53D5D"/>
    <w:rsid w:val="00A73DA4"/>
    <w:rsid w:val="00A751CE"/>
    <w:rsid w:val="00A754BD"/>
    <w:rsid w:val="00A761EE"/>
    <w:rsid w:val="00A7750A"/>
    <w:rsid w:val="00A83E9E"/>
    <w:rsid w:val="00A8490A"/>
    <w:rsid w:val="00A95D79"/>
    <w:rsid w:val="00AA12F4"/>
    <w:rsid w:val="00AA40DA"/>
    <w:rsid w:val="00AA7934"/>
    <w:rsid w:val="00AB1CD4"/>
    <w:rsid w:val="00AC0624"/>
    <w:rsid w:val="00AE38F3"/>
    <w:rsid w:val="00B0318F"/>
    <w:rsid w:val="00B21F3D"/>
    <w:rsid w:val="00B22B36"/>
    <w:rsid w:val="00B24FFE"/>
    <w:rsid w:val="00B30F7B"/>
    <w:rsid w:val="00B37936"/>
    <w:rsid w:val="00B44606"/>
    <w:rsid w:val="00B466DA"/>
    <w:rsid w:val="00B47CF7"/>
    <w:rsid w:val="00B60A93"/>
    <w:rsid w:val="00B62568"/>
    <w:rsid w:val="00B63F9D"/>
    <w:rsid w:val="00B674DA"/>
    <w:rsid w:val="00B84F41"/>
    <w:rsid w:val="00B94FFB"/>
    <w:rsid w:val="00B97950"/>
    <w:rsid w:val="00BA1106"/>
    <w:rsid w:val="00BA539E"/>
    <w:rsid w:val="00BA798D"/>
    <w:rsid w:val="00BC1EBE"/>
    <w:rsid w:val="00BC2B9F"/>
    <w:rsid w:val="00BC431B"/>
    <w:rsid w:val="00BD1FA6"/>
    <w:rsid w:val="00BE05DB"/>
    <w:rsid w:val="00BE186E"/>
    <w:rsid w:val="00BE6B03"/>
    <w:rsid w:val="00BE6BE3"/>
    <w:rsid w:val="00BF1493"/>
    <w:rsid w:val="00BF2694"/>
    <w:rsid w:val="00C113C4"/>
    <w:rsid w:val="00C22335"/>
    <w:rsid w:val="00C25B56"/>
    <w:rsid w:val="00C27FDB"/>
    <w:rsid w:val="00C30486"/>
    <w:rsid w:val="00C46C8A"/>
    <w:rsid w:val="00C50C08"/>
    <w:rsid w:val="00C536A9"/>
    <w:rsid w:val="00C54681"/>
    <w:rsid w:val="00C62834"/>
    <w:rsid w:val="00C64B0A"/>
    <w:rsid w:val="00C654BD"/>
    <w:rsid w:val="00C77272"/>
    <w:rsid w:val="00C825D6"/>
    <w:rsid w:val="00C8355C"/>
    <w:rsid w:val="00C84AB3"/>
    <w:rsid w:val="00C9562C"/>
    <w:rsid w:val="00CB0D44"/>
    <w:rsid w:val="00CB4049"/>
    <w:rsid w:val="00CC548E"/>
    <w:rsid w:val="00CC692E"/>
    <w:rsid w:val="00CD329A"/>
    <w:rsid w:val="00CE03DA"/>
    <w:rsid w:val="00CE1A8F"/>
    <w:rsid w:val="00CE52F3"/>
    <w:rsid w:val="00CF1996"/>
    <w:rsid w:val="00CF3F12"/>
    <w:rsid w:val="00D000C7"/>
    <w:rsid w:val="00D03A31"/>
    <w:rsid w:val="00D07B63"/>
    <w:rsid w:val="00D120E3"/>
    <w:rsid w:val="00D152FC"/>
    <w:rsid w:val="00D161B8"/>
    <w:rsid w:val="00D34E0E"/>
    <w:rsid w:val="00D4400F"/>
    <w:rsid w:val="00D461DF"/>
    <w:rsid w:val="00D505E6"/>
    <w:rsid w:val="00D553CD"/>
    <w:rsid w:val="00D571A2"/>
    <w:rsid w:val="00D57EB0"/>
    <w:rsid w:val="00D60D38"/>
    <w:rsid w:val="00D705F7"/>
    <w:rsid w:val="00D76DFF"/>
    <w:rsid w:val="00D816FF"/>
    <w:rsid w:val="00D86FAC"/>
    <w:rsid w:val="00D90E02"/>
    <w:rsid w:val="00D910F6"/>
    <w:rsid w:val="00D94773"/>
    <w:rsid w:val="00DA0C1F"/>
    <w:rsid w:val="00DA64A3"/>
    <w:rsid w:val="00DA7AA0"/>
    <w:rsid w:val="00DB7010"/>
    <w:rsid w:val="00DB76CF"/>
    <w:rsid w:val="00DC4E00"/>
    <w:rsid w:val="00DC58AC"/>
    <w:rsid w:val="00DD1D36"/>
    <w:rsid w:val="00DE55B7"/>
    <w:rsid w:val="00DF5B6E"/>
    <w:rsid w:val="00E01EA9"/>
    <w:rsid w:val="00E150D9"/>
    <w:rsid w:val="00E15264"/>
    <w:rsid w:val="00E21DFF"/>
    <w:rsid w:val="00E26AC9"/>
    <w:rsid w:val="00E33B8C"/>
    <w:rsid w:val="00E35C30"/>
    <w:rsid w:val="00E42C56"/>
    <w:rsid w:val="00E43453"/>
    <w:rsid w:val="00E50A6E"/>
    <w:rsid w:val="00E544E8"/>
    <w:rsid w:val="00E60EC0"/>
    <w:rsid w:val="00E6174A"/>
    <w:rsid w:val="00E62088"/>
    <w:rsid w:val="00E64838"/>
    <w:rsid w:val="00E651E2"/>
    <w:rsid w:val="00E83493"/>
    <w:rsid w:val="00E85451"/>
    <w:rsid w:val="00E90F96"/>
    <w:rsid w:val="00E94AB3"/>
    <w:rsid w:val="00E97313"/>
    <w:rsid w:val="00E97729"/>
    <w:rsid w:val="00EA2681"/>
    <w:rsid w:val="00EA42E7"/>
    <w:rsid w:val="00EA5321"/>
    <w:rsid w:val="00EB0138"/>
    <w:rsid w:val="00EB1E39"/>
    <w:rsid w:val="00EC1A72"/>
    <w:rsid w:val="00EC639C"/>
    <w:rsid w:val="00ED7F3C"/>
    <w:rsid w:val="00EE78FA"/>
    <w:rsid w:val="00EF5EFC"/>
    <w:rsid w:val="00F0139A"/>
    <w:rsid w:val="00F05158"/>
    <w:rsid w:val="00F0692C"/>
    <w:rsid w:val="00F1071A"/>
    <w:rsid w:val="00F139E6"/>
    <w:rsid w:val="00F1643B"/>
    <w:rsid w:val="00F1746C"/>
    <w:rsid w:val="00F31607"/>
    <w:rsid w:val="00F36345"/>
    <w:rsid w:val="00F3767B"/>
    <w:rsid w:val="00F37CAB"/>
    <w:rsid w:val="00F37D7F"/>
    <w:rsid w:val="00F42DD4"/>
    <w:rsid w:val="00F528D5"/>
    <w:rsid w:val="00F5495D"/>
    <w:rsid w:val="00F6099F"/>
    <w:rsid w:val="00F76B54"/>
    <w:rsid w:val="00F818EE"/>
    <w:rsid w:val="00F83FC5"/>
    <w:rsid w:val="00F84614"/>
    <w:rsid w:val="00F9209F"/>
    <w:rsid w:val="00FA587D"/>
    <w:rsid w:val="00FB0418"/>
    <w:rsid w:val="00FB2D7E"/>
    <w:rsid w:val="00FC3CC5"/>
    <w:rsid w:val="00FC5E27"/>
    <w:rsid w:val="00FC6216"/>
    <w:rsid w:val="00FD73B3"/>
    <w:rsid w:val="00FE0A21"/>
    <w:rsid w:val="00FE4EB0"/>
    <w:rsid w:val="00FE5F5F"/>
    <w:rsid w:val="00FE67AB"/>
    <w:rsid w:val="00FF2010"/>
    <w:rsid w:val="00FF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585B"/>
  <w15:chartTrackingRefBased/>
  <w15:docId w15:val="{A9B8484C-22F0-4F17-A552-C162D54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A57D7"/>
    <w:pPr>
      <w:spacing w:before="120"/>
      <w:jc w:val="center"/>
    </w:pPr>
    <w:rPr>
      <w:rFonts w:ascii="TimesLT" w:hAnsi="TimesLT"/>
      <w:b/>
    </w:rPr>
  </w:style>
  <w:style w:type="paragraph" w:styleId="Revision">
    <w:name w:val="Revision"/>
    <w:hidden/>
    <w:uiPriority w:val="99"/>
    <w:semiHidden/>
    <w:rsid w:val="00A8490A"/>
    <w:pPr>
      <w:spacing w:after="0" w:line="240" w:lineRule="auto"/>
    </w:pPr>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A8490A"/>
    <w:pPr>
      <w:ind w:left="720"/>
      <w:contextualSpacing/>
    </w:pPr>
  </w:style>
  <w:style w:type="table" w:styleId="TableGrid">
    <w:name w:val="Table Grid"/>
    <w:basedOn w:val="TableNormal"/>
    <w:uiPriority w:val="39"/>
    <w:rsid w:val="0032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767B"/>
    <w:rPr>
      <w:b/>
      <w:bCs/>
    </w:rPr>
  </w:style>
  <w:style w:type="character" w:customStyle="1" w:styleId="paratext">
    <w:name w:val="paratext"/>
    <w:basedOn w:val="DefaultParagraphFont"/>
    <w:rsid w:val="00F3767B"/>
  </w:style>
  <w:style w:type="paragraph" w:styleId="NormalWeb">
    <w:name w:val="Normal (Web)"/>
    <w:basedOn w:val="Normal"/>
    <w:uiPriority w:val="99"/>
    <w:semiHidden/>
    <w:unhideWhenUsed/>
    <w:rsid w:val="00F3767B"/>
    <w:pPr>
      <w:spacing w:before="100" w:beforeAutospacing="1" w:after="100" w:afterAutospacing="1"/>
    </w:pPr>
    <w:rPr>
      <w:lang w:eastAsia="lt-LT"/>
    </w:rPr>
  </w:style>
  <w:style w:type="character" w:styleId="Hyperlink">
    <w:name w:val="Hyperlink"/>
    <w:basedOn w:val="DefaultParagraphFont"/>
    <w:uiPriority w:val="99"/>
    <w:semiHidden/>
    <w:unhideWhenUsed/>
    <w:rsid w:val="00F3767B"/>
    <w:rPr>
      <w:color w:val="0000FF"/>
      <w:u w:val="single"/>
    </w:rPr>
  </w:style>
  <w:style w:type="character" w:styleId="Emphasis">
    <w:name w:val="Emphasis"/>
    <w:basedOn w:val="DefaultParagraphFont"/>
    <w:uiPriority w:val="20"/>
    <w:qFormat/>
    <w:rsid w:val="00F3767B"/>
    <w:rPr>
      <w:i/>
      <w:iCs/>
    </w:rPr>
  </w:style>
  <w:style w:type="character" w:styleId="CommentReference">
    <w:name w:val="annotation reference"/>
    <w:basedOn w:val="DefaultParagraphFont"/>
    <w:uiPriority w:val="99"/>
    <w:semiHidden/>
    <w:unhideWhenUsed/>
    <w:rsid w:val="00D505E6"/>
    <w:rPr>
      <w:sz w:val="16"/>
      <w:szCs w:val="16"/>
    </w:rPr>
  </w:style>
  <w:style w:type="paragraph" w:styleId="CommentText">
    <w:name w:val="annotation text"/>
    <w:basedOn w:val="Normal"/>
    <w:link w:val="CommentTextChar"/>
    <w:uiPriority w:val="99"/>
    <w:unhideWhenUsed/>
    <w:rsid w:val="00D505E6"/>
    <w:rPr>
      <w:sz w:val="20"/>
      <w:szCs w:val="20"/>
    </w:rPr>
  </w:style>
  <w:style w:type="character" w:customStyle="1" w:styleId="CommentTextChar">
    <w:name w:val="Comment Text Char"/>
    <w:basedOn w:val="DefaultParagraphFont"/>
    <w:link w:val="CommentText"/>
    <w:uiPriority w:val="99"/>
    <w:rsid w:val="00D5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5E6"/>
    <w:rPr>
      <w:b/>
      <w:bCs/>
    </w:rPr>
  </w:style>
  <w:style w:type="character" w:customStyle="1" w:styleId="CommentSubjectChar">
    <w:name w:val="Comment Subject Char"/>
    <w:basedOn w:val="CommentTextChar"/>
    <w:link w:val="CommentSubject"/>
    <w:uiPriority w:val="99"/>
    <w:semiHidden/>
    <w:rsid w:val="00D505E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99"/>
    <w:rsid w:val="00661B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9E3F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168">
      <w:bodyDiv w:val="1"/>
      <w:marLeft w:val="0"/>
      <w:marRight w:val="0"/>
      <w:marTop w:val="0"/>
      <w:marBottom w:val="0"/>
      <w:divBdr>
        <w:top w:val="none" w:sz="0" w:space="0" w:color="auto"/>
        <w:left w:val="none" w:sz="0" w:space="0" w:color="auto"/>
        <w:bottom w:val="none" w:sz="0" w:space="0" w:color="auto"/>
        <w:right w:val="none" w:sz="0" w:space="0" w:color="auto"/>
      </w:divBdr>
    </w:div>
    <w:div w:id="214390639">
      <w:bodyDiv w:val="1"/>
      <w:marLeft w:val="0"/>
      <w:marRight w:val="0"/>
      <w:marTop w:val="0"/>
      <w:marBottom w:val="0"/>
      <w:divBdr>
        <w:top w:val="none" w:sz="0" w:space="0" w:color="auto"/>
        <w:left w:val="none" w:sz="0" w:space="0" w:color="auto"/>
        <w:bottom w:val="none" w:sz="0" w:space="0" w:color="auto"/>
        <w:right w:val="none" w:sz="0" w:space="0" w:color="auto"/>
      </w:divBdr>
    </w:div>
    <w:div w:id="474225989">
      <w:bodyDiv w:val="1"/>
      <w:marLeft w:val="0"/>
      <w:marRight w:val="0"/>
      <w:marTop w:val="0"/>
      <w:marBottom w:val="0"/>
      <w:divBdr>
        <w:top w:val="none" w:sz="0" w:space="0" w:color="auto"/>
        <w:left w:val="none" w:sz="0" w:space="0" w:color="auto"/>
        <w:bottom w:val="none" w:sz="0" w:space="0" w:color="auto"/>
        <w:right w:val="none" w:sz="0" w:space="0" w:color="auto"/>
      </w:divBdr>
    </w:div>
    <w:div w:id="1469400237">
      <w:bodyDiv w:val="1"/>
      <w:marLeft w:val="0"/>
      <w:marRight w:val="0"/>
      <w:marTop w:val="0"/>
      <w:marBottom w:val="0"/>
      <w:divBdr>
        <w:top w:val="none" w:sz="0" w:space="0" w:color="auto"/>
        <w:left w:val="none" w:sz="0" w:space="0" w:color="auto"/>
        <w:bottom w:val="none" w:sz="0" w:space="0" w:color="auto"/>
        <w:right w:val="none" w:sz="0" w:space="0" w:color="auto"/>
      </w:divBdr>
    </w:div>
    <w:div w:id="18862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B6B9-27AB-49AF-99A8-14C35C4B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7944</Words>
  <Characters>4529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5</cp:revision>
  <dcterms:created xsi:type="dcterms:W3CDTF">2026-07-01T08:15:00Z</dcterms:created>
  <dcterms:modified xsi:type="dcterms:W3CDTF">2026-07-01T08:20:00Z</dcterms:modified>
</cp:coreProperties>
</file>