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85B1E" w14:textId="77777777" w:rsidR="008B0A7C" w:rsidRPr="008B0A7C" w:rsidRDefault="008B0A7C" w:rsidP="008B0A7C">
      <w:pPr>
        <w:rPr>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9014"/>
      </w:tblGrid>
      <w:tr w:rsidR="008B0A7C" w:rsidRPr="00AB431D" w14:paraId="0E824049" w14:textId="77777777" w:rsidTr="00F637AF">
        <w:tc>
          <w:tcPr>
            <w:tcW w:w="620" w:type="dxa"/>
            <w:tcMar>
              <w:top w:w="0" w:type="dxa"/>
              <w:left w:w="108" w:type="dxa"/>
              <w:bottom w:w="0" w:type="dxa"/>
              <w:right w:w="108" w:type="dxa"/>
            </w:tcMar>
          </w:tcPr>
          <w:p w14:paraId="785C5441" w14:textId="37F11C6F" w:rsidR="008B0A7C" w:rsidRPr="00AD4F44" w:rsidRDefault="008B0A7C" w:rsidP="008B0A7C">
            <w:r w:rsidRPr="00AD4F44">
              <w:t>1.</w:t>
            </w:r>
          </w:p>
        </w:tc>
        <w:tc>
          <w:tcPr>
            <w:tcW w:w="9014" w:type="dxa"/>
            <w:tcMar>
              <w:top w:w="0" w:type="dxa"/>
              <w:left w:w="108" w:type="dxa"/>
              <w:bottom w:w="0" w:type="dxa"/>
              <w:right w:w="108" w:type="dxa"/>
            </w:tcMar>
          </w:tcPr>
          <w:p w14:paraId="075395AB" w14:textId="1B173670" w:rsidR="00AD4F44" w:rsidRPr="00AD4F44" w:rsidRDefault="00AD4F44" w:rsidP="00AD4F44">
            <w:r w:rsidRPr="00AD4F44">
              <w:t>Tiekėjas per pastaruosius 3 (trejus) metus arba per laiką nuo tiekėjo įregistravimo dienos (jeigu tiekėjas vykdė veiklą trumpiau nei 3 (</w:t>
            </w:r>
            <w:r w:rsidRPr="00AD4F44">
              <w:t xml:space="preserve">trejus) metus) turi būti parengęs bent vieną metodiką ar tyrimą ar studiją </w:t>
            </w:r>
            <w:r w:rsidRPr="00AD4F44">
              <w:rPr>
                <w:b/>
                <w:bCs/>
              </w:rPr>
              <w:t>organizacijų saugumo ir</w:t>
            </w:r>
            <w:r w:rsidR="009A1786">
              <w:rPr>
                <w:b/>
                <w:bCs/>
              </w:rPr>
              <w:t xml:space="preserve"> (ar)</w:t>
            </w:r>
            <w:r w:rsidRPr="00AD4F44">
              <w:rPr>
                <w:b/>
                <w:bCs/>
              </w:rPr>
              <w:t xml:space="preserve"> grėsmių valdymo ir</w:t>
            </w:r>
            <w:r w:rsidR="009A1786">
              <w:rPr>
                <w:b/>
                <w:bCs/>
              </w:rPr>
              <w:t xml:space="preserve"> (</w:t>
            </w:r>
            <w:r w:rsidRPr="00AD4F44">
              <w:rPr>
                <w:b/>
                <w:bCs/>
              </w:rPr>
              <w:t>ar</w:t>
            </w:r>
            <w:r w:rsidR="009A1786">
              <w:rPr>
                <w:b/>
                <w:bCs/>
              </w:rPr>
              <w:t>)</w:t>
            </w:r>
            <w:r w:rsidRPr="00AD4F44">
              <w:rPr>
                <w:b/>
                <w:bCs/>
              </w:rPr>
              <w:t xml:space="preserve"> kritinių situacijų valdymo srityse</w:t>
            </w:r>
            <w:r w:rsidRPr="00AD4F44">
              <w:t xml:space="preserve"> ir kurios vertė ne mažesnė kaip 12 000,00 Eur be PVM.</w:t>
            </w:r>
          </w:p>
          <w:p w14:paraId="2CA1757F" w14:textId="77777777" w:rsidR="00AD4F44" w:rsidRPr="00AD4F44" w:rsidRDefault="00AD4F44" w:rsidP="00AD4F44">
            <w:pPr>
              <w:rPr>
                <w:i/>
                <w:iCs/>
              </w:rPr>
            </w:pPr>
          </w:p>
          <w:p w14:paraId="492561B4" w14:textId="77777777" w:rsidR="00AD4F44" w:rsidRPr="00AD4F44" w:rsidRDefault="00AD4F44" w:rsidP="00AD4F44">
            <w:pPr>
              <w:rPr>
                <w:i/>
                <w:iCs/>
              </w:rPr>
            </w:pPr>
            <w:r w:rsidRPr="00AD4F44">
              <w:rPr>
                <w:i/>
                <w:iCs/>
              </w:rPr>
              <w:t>* Šį rezultatą tiekėjas gali būti pasiekęs pagal vieną ar kelias sutartis, sudarytas dėl tos pačios metodikos ar tyrimo ar studijos.</w:t>
            </w:r>
          </w:p>
          <w:p w14:paraId="3A2204B1" w14:textId="64901CDC" w:rsidR="00AD4F44" w:rsidRPr="00AD4F44" w:rsidRDefault="00AD4F44" w:rsidP="00AD4F44">
            <w:r w:rsidRPr="00AD4F44">
              <w:rPr>
                <w:i/>
                <w:iCs/>
              </w:rPr>
              <w:t>Jei informacija teikiama pagal tebevykdomas sutartis, laikoma, kad patirtis yra įgyta, jei iki pasiūlymo pateikimo datos jau yra parengta metodika ar tyrimas ar studija, bei paslaugų suteikta už ne mažesnę kaip 12 000,00 Eur be PVM vertę ir šios paslaugos yra priimtos užsakovo kaip tinkamos.</w:t>
            </w:r>
          </w:p>
          <w:p w14:paraId="254977B6" w14:textId="4C1CC8E3" w:rsidR="008B0A7C" w:rsidRPr="00AD4F44" w:rsidRDefault="008B0A7C" w:rsidP="00EF0668"/>
        </w:tc>
      </w:tr>
      <w:tr w:rsidR="008B0A7C" w:rsidRPr="00AB431D" w14:paraId="73C2207A" w14:textId="77777777" w:rsidTr="00F637AF">
        <w:trPr>
          <w:trHeight w:val="3150"/>
        </w:trPr>
        <w:tc>
          <w:tcPr>
            <w:tcW w:w="620" w:type="dxa"/>
            <w:tcMar>
              <w:top w:w="0" w:type="dxa"/>
              <w:left w:w="108" w:type="dxa"/>
              <w:bottom w:w="0" w:type="dxa"/>
              <w:right w:w="108" w:type="dxa"/>
            </w:tcMar>
          </w:tcPr>
          <w:p w14:paraId="35E8E8B7" w14:textId="03632FDB" w:rsidR="008B0A7C" w:rsidRPr="00AD5409" w:rsidRDefault="008B0A7C" w:rsidP="008B0A7C">
            <w:r w:rsidRPr="00AD5409">
              <w:t>2.</w:t>
            </w:r>
          </w:p>
        </w:tc>
        <w:tc>
          <w:tcPr>
            <w:tcW w:w="9014" w:type="dxa"/>
            <w:tcMar>
              <w:top w:w="0" w:type="dxa"/>
              <w:left w:w="108" w:type="dxa"/>
              <w:bottom w:w="0" w:type="dxa"/>
              <w:right w:w="108" w:type="dxa"/>
            </w:tcMar>
          </w:tcPr>
          <w:p w14:paraId="43349729" w14:textId="12FF5715" w:rsidR="008B0A7C" w:rsidRPr="00AD5409" w:rsidRDefault="006A7E0E" w:rsidP="00BA3815">
            <w:r w:rsidRPr="00AD5409">
              <w:t>Paslaugos t</w:t>
            </w:r>
            <w:r w:rsidR="008B0A7C" w:rsidRPr="00AD5409">
              <w:t xml:space="preserve">iekėjas privalo užtikrinti pakankamą kvalifikuotų </w:t>
            </w:r>
            <w:r w:rsidR="00515A43" w:rsidRPr="00AD5409">
              <w:t>ekspertų</w:t>
            </w:r>
            <w:r w:rsidR="008B0A7C" w:rsidRPr="00AD5409">
              <w:t xml:space="preserve">*, turinčių būtinas žinias bei patirtį </w:t>
            </w:r>
            <w:r w:rsidR="00BA3815" w:rsidRPr="00AD5409">
              <w:t>laiku ir kokybiškai suteikti paslaugas pagal techninėje specifikacijoje nurodytas sąlygas, skaičių</w:t>
            </w:r>
            <w:r w:rsidR="008B0A7C" w:rsidRPr="00AD5409">
              <w:t xml:space="preserve">. </w:t>
            </w:r>
            <w:r w:rsidRPr="00AD5409">
              <w:t>Paslaugos t</w:t>
            </w:r>
            <w:r w:rsidR="008B0A7C" w:rsidRPr="00AD5409">
              <w:t xml:space="preserve">iekėjas turi </w:t>
            </w:r>
            <w:r w:rsidR="008B0A7C" w:rsidRPr="00AD5409">
              <w:rPr>
                <w:b/>
                <w:bCs/>
              </w:rPr>
              <w:t xml:space="preserve">pasiūlyti ne mažiau kaip </w:t>
            </w:r>
            <w:r w:rsidR="00515A43" w:rsidRPr="00AD5409">
              <w:rPr>
                <w:b/>
                <w:bCs/>
              </w:rPr>
              <w:t>3</w:t>
            </w:r>
            <w:r w:rsidR="008B0A7C" w:rsidRPr="00AD5409">
              <w:rPr>
                <w:b/>
                <w:bCs/>
              </w:rPr>
              <w:t xml:space="preserve"> </w:t>
            </w:r>
            <w:r w:rsidR="00515A43" w:rsidRPr="00AD5409">
              <w:rPr>
                <w:b/>
                <w:bCs/>
              </w:rPr>
              <w:t>ekspertus</w:t>
            </w:r>
            <w:r w:rsidR="008B0A7C" w:rsidRPr="00AD5409">
              <w:t>, atitinkančius keliamus reikalavimus:</w:t>
            </w:r>
          </w:p>
          <w:p w14:paraId="04CDA45C" w14:textId="5854DFF5" w:rsidR="008B0A7C" w:rsidRPr="00AD5409" w:rsidRDefault="008B0A7C" w:rsidP="008B0A7C">
            <w:pPr>
              <w:rPr>
                <w:i/>
                <w:iCs/>
              </w:rPr>
            </w:pPr>
            <w:r w:rsidRPr="00AD5409">
              <w:rPr>
                <w:i/>
                <w:iCs/>
              </w:rPr>
              <w:t xml:space="preserve">*Siūlomi </w:t>
            </w:r>
            <w:r w:rsidR="00515A43" w:rsidRPr="00AD5409">
              <w:rPr>
                <w:i/>
                <w:iCs/>
              </w:rPr>
              <w:t>ekspertai</w:t>
            </w:r>
            <w:r w:rsidRPr="00AD5409">
              <w:rPr>
                <w:i/>
                <w:iCs/>
              </w:rPr>
              <w:t xml:space="preserve"> turi mokėti lietuvių kalbą</w:t>
            </w:r>
            <w:r w:rsidR="00AE26E5" w:rsidRPr="00AD5409">
              <w:rPr>
                <w:i/>
                <w:iCs/>
              </w:rPr>
              <w:t xml:space="preserve"> ne žemesniu kaip C1 lygiu</w:t>
            </w:r>
            <w:r w:rsidRPr="00AD5409">
              <w:rPr>
                <w:i/>
                <w:iCs/>
              </w:rPr>
              <w:t xml:space="preserve">. Tuo atveju, jei </w:t>
            </w:r>
            <w:r w:rsidR="00515A43" w:rsidRPr="00AD5409">
              <w:rPr>
                <w:i/>
                <w:iCs/>
              </w:rPr>
              <w:t>ekspertas</w:t>
            </w:r>
            <w:r w:rsidRPr="00AD5409">
              <w:rPr>
                <w:i/>
                <w:iCs/>
              </w:rPr>
              <w:t xml:space="preserve"> nemoka lietuvių kalbos, reikalavimas gali būti tenkinamas numatant vertimo žodžiu ir raštu paslaugas, išlaidos vertimo paslaugoms turės būti įskaičiuotos į bendrą pasiūlymo kainą.</w:t>
            </w:r>
          </w:p>
          <w:p w14:paraId="1A66C5E2" w14:textId="26446DDA" w:rsidR="008B0A7C" w:rsidRPr="00AD5409" w:rsidRDefault="00EF0668" w:rsidP="008B0A7C">
            <w:r w:rsidRPr="00AD5409">
              <w:rPr>
                <w:b/>
                <w:bCs/>
              </w:rPr>
              <w:t>ekspertų komandoje</w:t>
            </w:r>
            <w:r w:rsidR="008B0A7C" w:rsidRPr="00AD5409">
              <w:rPr>
                <w:b/>
                <w:bCs/>
              </w:rPr>
              <w:t xml:space="preserve"> </w:t>
            </w:r>
            <w:r w:rsidRPr="00AD5409">
              <w:rPr>
                <w:b/>
                <w:bCs/>
              </w:rPr>
              <w:t>turi būti ne mažiau kaip po vieną ekspertą</w:t>
            </w:r>
            <w:r w:rsidR="008B0A7C" w:rsidRPr="00AD5409">
              <w:rPr>
                <w:b/>
                <w:bCs/>
              </w:rPr>
              <w:t>:</w:t>
            </w:r>
          </w:p>
        </w:tc>
      </w:tr>
      <w:tr w:rsidR="008B0A7C" w:rsidRPr="00AB431D" w14:paraId="57A482A1" w14:textId="77777777" w:rsidTr="00F637AF">
        <w:tc>
          <w:tcPr>
            <w:tcW w:w="620" w:type="dxa"/>
            <w:tcMar>
              <w:top w:w="0" w:type="dxa"/>
              <w:left w:w="108" w:type="dxa"/>
              <w:bottom w:w="0" w:type="dxa"/>
              <w:right w:w="108" w:type="dxa"/>
            </w:tcMar>
          </w:tcPr>
          <w:p w14:paraId="7964DD0E" w14:textId="31B5FDF2" w:rsidR="008B0A7C" w:rsidRPr="00CF4E7A" w:rsidRDefault="008B0A7C" w:rsidP="008B0A7C">
            <w:r w:rsidRPr="00CF4E7A">
              <w:t>2.1.</w:t>
            </w:r>
          </w:p>
        </w:tc>
        <w:tc>
          <w:tcPr>
            <w:tcW w:w="9014" w:type="dxa"/>
            <w:tcMar>
              <w:top w:w="0" w:type="dxa"/>
              <w:left w:w="108" w:type="dxa"/>
              <w:bottom w:w="0" w:type="dxa"/>
              <w:right w:w="108" w:type="dxa"/>
            </w:tcMar>
            <w:hideMark/>
          </w:tcPr>
          <w:p w14:paraId="2D81624A" w14:textId="71E4BC0E" w:rsidR="008B0A7C" w:rsidRPr="00CF4E7A" w:rsidRDefault="00F637AF" w:rsidP="00F637AF">
            <w:r w:rsidRPr="00CF4E7A">
              <w:t>psichologijos srities ekspert</w:t>
            </w:r>
            <w:r w:rsidR="006E787E" w:rsidRPr="00CF4E7A">
              <w:t>ą</w:t>
            </w:r>
            <w:r w:rsidRPr="00CF4E7A">
              <w:t>, turint</w:t>
            </w:r>
            <w:r w:rsidR="006E787E" w:rsidRPr="00CF4E7A">
              <w:t>į</w:t>
            </w:r>
            <w:r w:rsidRPr="00CF4E7A">
              <w:t xml:space="preserve"> </w:t>
            </w:r>
            <w:r w:rsidR="008B0A7C" w:rsidRPr="00CF4E7A">
              <w:t>socialinių mokslų psichologijos krypties aukštąjį universitetinį arba jam prilygintą išsilavinimą (ne žemesnį kaip magistro arba jam prilygintą kvalifikacinį laipsnį)</w:t>
            </w:r>
            <w:r w:rsidRPr="00CF4E7A">
              <w:t xml:space="preserve"> bei </w:t>
            </w:r>
            <w:r w:rsidR="00AE26E5" w:rsidRPr="00CF4E7A">
              <w:t xml:space="preserve">ne mažiau kaip 3 (trejų) metų </w:t>
            </w:r>
            <w:r w:rsidRPr="00CF4E7A">
              <w:t>patirt</w:t>
            </w:r>
            <w:r w:rsidR="00AE26E5" w:rsidRPr="00CF4E7A">
              <w:t>į</w:t>
            </w:r>
            <w:r w:rsidRPr="00CF4E7A">
              <w:t xml:space="preserve"> organizacijų psichologijos</w:t>
            </w:r>
            <w:r w:rsidR="009A1786" w:rsidRPr="00CF4E7A">
              <w:t xml:space="preserve"> ir (ar)</w:t>
            </w:r>
            <w:r w:rsidRPr="00CF4E7A">
              <w:t xml:space="preserve"> krizių</w:t>
            </w:r>
            <w:r w:rsidR="00CF4E7A" w:rsidRPr="00CF4E7A">
              <w:t xml:space="preserve"> organizacijose</w:t>
            </w:r>
            <w:r w:rsidRPr="00CF4E7A">
              <w:t xml:space="preserve"> intervencijos ir (ar) darbuotojų atsparumo </w:t>
            </w:r>
            <w:r w:rsidR="00CF4E7A" w:rsidRPr="00CF4E7A">
              <w:t xml:space="preserve">grėsmėms </w:t>
            </w:r>
            <w:r w:rsidRPr="00CF4E7A">
              <w:t>srityje;</w:t>
            </w:r>
          </w:p>
        </w:tc>
      </w:tr>
      <w:tr w:rsidR="008B0A7C" w:rsidRPr="00AB431D" w14:paraId="370DA351" w14:textId="77777777" w:rsidTr="00F637AF">
        <w:tc>
          <w:tcPr>
            <w:tcW w:w="620" w:type="dxa"/>
            <w:tcMar>
              <w:top w:w="0" w:type="dxa"/>
              <w:left w:w="108" w:type="dxa"/>
              <w:bottom w:w="0" w:type="dxa"/>
              <w:right w:w="108" w:type="dxa"/>
            </w:tcMar>
          </w:tcPr>
          <w:p w14:paraId="5D343AD8" w14:textId="013511FC" w:rsidR="008B0A7C" w:rsidRPr="00341B9A" w:rsidRDefault="008B0A7C" w:rsidP="008B0A7C">
            <w:r w:rsidRPr="00341B9A">
              <w:t>2.2.</w:t>
            </w:r>
          </w:p>
        </w:tc>
        <w:tc>
          <w:tcPr>
            <w:tcW w:w="9014" w:type="dxa"/>
            <w:tcMar>
              <w:top w:w="0" w:type="dxa"/>
              <w:left w:w="108" w:type="dxa"/>
              <w:bottom w:w="0" w:type="dxa"/>
              <w:right w:w="108" w:type="dxa"/>
            </w:tcMar>
            <w:hideMark/>
          </w:tcPr>
          <w:p w14:paraId="7B3187B2" w14:textId="0DD3A413" w:rsidR="00F637AF" w:rsidRPr="00341B9A" w:rsidRDefault="00F637AF" w:rsidP="00AE26E5">
            <w:r w:rsidRPr="00341B9A">
              <w:t>teisės ekspert</w:t>
            </w:r>
            <w:r w:rsidR="006E787E" w:rsidRPr="00341B9A">
              <w:t>ą</w:t>
            </w:r>
            <w:r w:rsidRPr="00341B9A">
              <w:t>, turint</w:t>
            </w:r>
            <w:r w:rsidR="006E787E" w:rsidRPr="00341B9A">
              <w:t>į</w:t>
            </w:r>
            <w:r w:rsidRPr="00341B9A">
              <w:t xml:space="preserve"> socialinių mokslų teisės krypties aukštąjį universitetinį arba jam prilygintą išsilavinimą (ne žemesnį kaip magistro arba jam prilygintą kvalifikacinį laipsnį)</w:t>
            </w:r>
            <w:r w:rsidR="00624A24" w:rsidRPr="00341B9A">
              <w:t xml:space="preserve"> bei </w:t>
            </w:r>
            <w:r w:rsidR="00AE26E5" w:rsidRPr="00341B9A">
              <w:t>ne mažiau kaip 3 (trejų) metų</w:t>
            </w:r>
            <w:r w:rsidR="00341B9A" w:rsidRPr="00341B9A">
              <w:t xml:space="preserve"> teisinio</w:t>
            </w:r>
            <w:r w:rsidR="00AE26E5" w:rsidRPr="00341B9A">
              <w:t xml:space="preserve"> patirtį</w:t>
            </w:r>
            <w:r w:rsidR="00624A24" w:rsidRPr="00341B9A">
              <w:t xml:space="preserve"> darbo su teisėsaugos institucijomis srityje</w:t>
            </w:r>
            <w:r w:rsidRPr="00341B9A">
              <w:t>;</w:t>
            </w:r>
          </w:p>
          <w:p w14:paraId="37C260F0" w14:textId="66827F57" w:rsidR="008B0A7C" w:rsidRPr="00341B9A" w:rsidRDefault="008B0A7C" w:rsidP="008B0A7C"/>
        </w:tc>
      </w:tr>
      <w:tr w:rsidR="008B0A7C" w:rsidRPr="00AB431D" w14:paraId="7CF6D3A1" w14:textId="77777777" w:rsidTr="00F637AF">
        <w:tc>
          <w:tcPr>
            <w:tcW w:w="620" w:type="dxa"/>
            <w:tcMar>
              <w:top w:w="0" w:type="dxa"/>
              <w:left w:w="108" w:type="dxa"/>
              <w:bottom w:w="0" w:type="dxa"/>
              <w:right w:w="108" w:type="dxa"/>
            </w:tcMar>
          </w:tcPr>
          <w:p w14:paraId="213F22E2" w14:textId="2F0FD4F2" w:rsidR="008B0A7C" w:rsidRPr="001A7C69" w:rsidRDefault="008B0A7C" w:rsidP="008B0A7C">
            <w:r w:rsidRPr="001A7C69">
              <w:t>2.3.</w:t>
            </w:r>
          </w:p>
        </w:tc>
        <w:tc>
          <w:tcPr>
            <w:tcW w:w="9014" w:type="dxa"/>
            <w:tcMar>
              <w:top w:w="0" w:type="dxa"/>
              <w:left w:w="108" w:type="dxa"/>
              <w:bottom w:w="0" w:type="dxa"/>
              <w:right w:w="108" w:type="dxa"/>
            </w:tcMar>
            <w:hideMark/>
          </w:tcPr>
          <w:p w14:paraId="0E2A0462" w14:textId="6F0F59E6" w:rsidR="008B0A7C" w:rsidRPr="001A7C69" w:rsidRDefault="00F637AF" w:rsidP="00AE26E5">
            <w:r w:rsidRPr="001A7C69">
              <w:t>ekspert</w:t>
            </w:r>
            <w:r w:rsidR="006E787E" w:rsidRPr="001A7C69">
              <w:t>ą</w:t>
            </w:r>
            <w:r w:rsidRPr="001A7C69">
              <w:t>, turint</w:t>
            </w:r>
            <w:r w:rsidR="006E787E" w:rsidRPr="001A7C69">
              <w:t>į</w:t>
            </w:r>
            <w:r w:rsidRPr="001A7C69">
              <w:t xml:space="preserve"> </w:t>
            </w:r>
            <w:r w:rsidR="00AE26E5" w:rsidRPr="001A7C69">
              <w:t xml:space="preserve">ne mažiau kaip 3 (trejų) metų </w:t>
            </w:r>
            <w:r w:rsidRPr="001A7C69">
              <w:t>patirt</w:t>
            </w:r>
            <w:r w:rsidR="00AE26E5" w:rsidRPr="001A7C69">
              <w:t>į</w:t>
            </w:r>
            <w:r w:rsidRPr="001A7C69">
              <w:t xml:space="preserve"> organizacijų saugumo ir (ar) grėsmių</w:t>
            </w:r>
            <w:r w:rsidR="001A7C69" w:rsidRPr="001A7C69">
              <w:t xml:space="preserve"> valdymo ir</w:t>
            </w:r>
            <w:r w:rsidR="009B1795">
              <w:t xml:space="preserve"> </w:t>
            </w:r>
            <w:r w:rsidR="001A7C69" w:rsidRPr="001A7C69">
              <w:t>(ar)</w:t>
            </w:r>
            <w:r w:rsidRPr="001A7C69">
              <w:t xml:space="preserve"> kritinių situacijų valdymo srityje.</w:t>
            </w:r>
          </w:p>
        </w:tc>
      </w:tr>
    </w:tbl>
    <w:p w14:paraId="75633728" w14:textId="77777777" w:rsidR="00A91360" w:rsidRDefault="00A91360"/>
    <w:sectPr w:rsidR="00A91360" w:rsidSect="008B0A7C">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D43E3" w14:textId="77777777" w:rsidR="00251B62" w:rsidRDefault="00251B62">
      <w:pPr>
        <w:spacing w:after="0" w:line="240" w:lineRule="auto"/>
      </w:pPr>
      <w:r>
        <w:separator/>
      </w:r>
    </w:p>
  </w:endnote>
  <w:endnote w:type="continuationSeparator" w:id="0">
    <w:p w14:paraId="089C075A" w14:textId="77777777" w:rsidR="00251B62" w:rsidRDefault="00251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5620896"/>
      <w:docPartObj>
        <w:docPartGallery w:val="Page Numbers (Bottom of Page)"/>
        <w:docPartUnique/>
      </w:docPartObj>
    </w:sdtPr>
    <w:sdtContent>
      <w:p w14:paraId="277CDE69" w14:textId="77777777" w:rsidR="008B0A7C" w:rsidRDefault="008B0A7C">
        <w:pPr>
          <w:pStyle w:val="Footer"/>
          <w:jc w:val="center"/>
        </w:pPr>
        <w:r>
          <w:fldChar w:fldCharType="begin"/>
        </w:r>
        <w:r>
          <w:instrText>PAGE   \* MERGEFORMAT</w:instrText>
        </w:r>
        <w:r>
          <w:fldChar w:fldCharType="separate"/>
        </w:r>
        <w:r>
          <w:t>2</w:t>
        </w:r>
        <w:r>
          <w:fldChar w:fldCharType="end"/>
        </w:r>
      </w:p>
    </w:sdtContent>
  </w:sdt>
  <w:p w14:paraId="7C6D2AAC" w14:textId="77777777" w:rsidR="008B0A7C" w:rsidRDefault="008B0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8D09E" w14:textId="77777777" w:rsidR="00251B62" w:rsidRDefault="00251B62">
      <w:pPr>
        <w:spacing w:after="0" w:line="240" w:lineRule="auto"/>
      </w:pPr>
      <w:r>
        <w:separator/>
      </w:r>
    </w:p>
  </w:footnote>
  <w:footnote w:type="continuationSeparator" w:id="0">
    <w:p w14:paraId="7579B349" w14:textId="77777777" w:rsidR="00251B62" w:rsidRDefault="00251B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53FD"/>
    <w:multiLevelType w:val="hybridMultilevel"/>
    <w:tmpl w:val="A6708388"/>
    <w:lvl w:ilvl="0" w:tplc="A1D6358E">
      <w:start w:val="1"/>
      <w:numFmt w:val="bullet"/>
      <w:lvlText w:val=""/>
      <w:lvlJc w:val="left"/>
      <w:pPr>
        <w:ind w:left="1080" w:hanging="360"/>
      </w:pPr>
      <w:rPr>
        <w:rFonts w:ascii="Symbol" w:hAnsi="Symbol"/>
      </w:rPr>
    </w:lvl>
    <w:lvl w:ilvl="1" w:tplc="0FF8DADC">
      <w:start w:val="1"/>
      <w:numFmt w:val="bullet"/>
      <w:lvlText w:val=""/>
      <w:lvlJc w:val="left"/>
      <w:pPr>
        <w:ind w:left="1080" w:hanging="360"/>
      </w:pPr>
      <w:rPr>
        <w:rFonts w:ascii="Symbol" w:hAnsi="Symbol"/>
      </w:rPr>
    </w:lvl>
    <w:lvl w:ilvl="2" w:tplc="B1582C70">
      <w:start w:val="1"/>
      <w:numFmt w:val="bullet"/>
      <w:lvlText w:val=""/>
      <w:lvlJc w:val="left"/>
      <w:pPr>
        <w:ind w:left="1080" w:hanging="360"/>
      </w:pPr>
      <w:rPr>
        <w:rFonts w:ascii="Symbol" w:hAnsi="Symbol"/>
      </w:rPr>
    </w:lvl>
    <w:lvl w:ilvl="3" w:tplc="2A94DB9A">
      <w:start w:val="1"/>
      <w:numFmt w:val="bullet"/>
      <w:lvlText w:val=""/>
      <w:lvlJc w:val="left"/>
      <w:pPr>
        <w:ind w:left="1080" w:hanging="360"/>
      </w:pPr>
      <w:rPr>
        <w:rFonts w:ascii="Symbol" w:hAnsi="Symbol"/>
      </w:rPr>
    </w:lvl>
    <w:lvl w:ilvl="4" w:tplc="54FEFE72">
      <w:start w:val="1"/>
      <w:numFmt w:val="bullet"/>
      <w:lvlText w:val=""/>
      <w:lvlJc w:val="left"/>
      <w:pPr>
        <w:ind w:left="1080" w:hanging="360"/>
      </w:pPr>
      <w:rPr>
        <w:rFonts w:ascii="Symbol" w:hAnsi="Symbol"/>
      </w:rPr>
    </w:lvl>
    <w:lvl w:ilvl="5" w:tplc="FCF85A6C">
      <w:start w:val="1"/>
      <w:numFmt w:val="bullet"/>
      <w:lvlText w:val=""/>
      <w:lvlJc w:val="left"/>
      <w:pPr>
        <w:ind w:left="1080" w:hanging="360"/>
      </w:pPr>
      <w:rPr>
        <w:rFonts w:ascii="Symbol" w:hAnsi="Symbol"/>
      </w:rPr>
    </w:lvl>
    <w:lvl w:ilvl="6" w:tplc="37807846">
      <w:start w:val="1"/>
      <w:numFmt w:val="bullet"/>
      <w:lvlText w:val=""/>
      <w:lvlJc w:val="left"/>
      <w:pPr>
        <w:ind w:left="1080" w:hanging="360"/>
      </w:pPr>
      <w:rPr>
        <w:rFonts w:ascii="Symbol" w:hAnsi="Symbol"/>
      </w:rPr>
    </w:lvl>
    <w:lvl w:ilvl="7" w:tplc="A29A9DB4">
      <w:start w:val="1"/>
      <w:numFmt w:val="bullet"/>
      <w:lvlText w:val=""/>
      <w:lvlJc w:val="left"/>
      <w:pPr>
        <w:ind w:left="1080" w:hanging="360"/>
      </w:pPr>
      <w:rPr>
        <w:rFonts w:ascii="Symbol" w:hAnsi="Symbol"/>
      </w:rPr>
    </w:lvl>
    <w:lvl w:ilvl="8" w:tplc="A4864700">
      <w:start w:val="1"/>
      <w:numFmt w:val="bullet"/>
      <w:lvlText w:val=""/>
      <w:lvlJc w:val="left"/>
      <w:pPr>
        <w:ind w:left="1080" w:hanging="360"/>
      </w:pPr>
      <w:rPr>
        <w:rFonts w:ascii="Symbol" w:hAnsi="Symbol"/>
      </w:rPr>
    </w:lvl>
  </w:abstractNum>
  <w:abstractNum w:abstractNumId="1" w15:restartNumberingAfterBreak="0">
    <w:nsid w:val="693C7678"/>
    <w:multiLevelType w:val="multilevel"/>
    <w:tmpl w:val="3DFC4B58"/>
    <w:lvl w:ilvl="0">
      <w:start w:val="3"/>
      <w:numFmt w:val="decimal"/>
      <w:lvlText w:val="%1."/>
      <w:lvlJc w:val="left"/>
      <w:pPr>
        <w:ind w:left="540" w:hanging="540"/>
      </w:pPr>
    </w:lvl>
    <w:lvl w:ilvl="1">
      <w:start w:val="7"/>
      <w:numFmt w:val="decimal"/>
      <w:lvlText w:val="%1.%2."/>
      <w:lvlJc w:val="left"/>
      <w:pPr>
        <w:ind w:left="810" w:hanging="54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num w:numId="1" w16cid:durableId="463041573">
    <w:abstractNumId w:val="0"/>
  </w:num>
  <w:num w:numId="2" w16cid:durableId="1102728148">
    <w:abstractNumId w:val="1"/>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A7C"/>
    <w:rsid w:val="00023AFB"/>
    <w:rsid w:val="00062691"/>
    <w:rsid w:val="00086422"/>
    <w:rsid w:val="000D57FC"/>
    <w:rsid w:val="001342B2"/>
    <w:rsid w:val="001A7C69"/>
    <w:rsid w:val="00251B62"/>
    <w:rsid w:val="00341B9A"/>
    <w:rsid w:val="003525ED"/>
    <w:rsid w:val="003C2949"/>
    <w:rsid w:val="003D3359"/>
    <w:rsid w:val="00515A43"/>
    <w:rsid w:val="0054526F"/>
    <w:rsid w:val="005F57C7"/>
    <w:rsid w:val="00624A24"/>
    <w:rsid w:val="006A7E0E"/>
    <w:rsid w:val="006E787E"/>
    <w:rsid w:val="007C5B09"/>
    <w:rsid w:val="00833206"/>
    <w:rsid w:val="008B0A7C"/>
    <w:rsid w:val="00970873"/>
    <w:rsid w:val="009A1786"/>
    <w:rsid w:val="009B1795"/>
    <w:rsid w:val="00A91360"/>
    <w:rsid w:val="00AB431D"/>
    <w:rsid w:val="00AD4F44"/>
    <w:rsid w:val="00AD5409"/>
    <w:rsid w:val="00AE26E5"/>
    <w:rsid w:val="00AF29FD"/>
    <w:rsid w:val="00B44661"/>
    <w:rsid w:val="00B64D12"/>
    <w:rsid w:val="00BA3815"/>
    <w:rsid w:val="00C200F7"/>
    <w:rsid w:val="00CE41AB"/>
    <w:rsid w:val="00CF4E7A"/>
    <w:rsid w:val="00DF6417"/>
    <w:rsid w:val="00E72E8E"/>
    <w:rsid w:val="00EC5A30"/>
    <w:rsid w:val="00EF0668"/>
    <w:rsid w:val="00F637AF"/>
    <w:rsid w:val="00F91D90"/>
    <w:rsid w:val="00F97AD2"/>
    <w:rsid w:val="00FF08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C0538"/>
  <w15:chartTrackingRefBased/>
  <w15:docId w15:val="{A5FAEC2C-72D1-42DB-81AD-2B4A20EBF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0A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0A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0A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0A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0A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0A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A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A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A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A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0A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0A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0A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0A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0A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A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A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A7C"/>
    <w:rPr>
      <w:rFonts w:eastAsiaTheme="majorEastAsia" w:cstheme="majorBidi"/>
      <w:color w:val="272727" w:themeColor="text1" w:themeTint="D8"/>
    </w:rPr>
  </w:style>
  <w:style w:type="paragraph" w:styleId="Title">
    <w:name w:val="Title"/>
    <w:basedOn w:val="Normal"/>
    <w:next w:val="Normal"/>
    <w:link w:val="TitleChar"/>
    <w:uiPriority w:val="10"/>
    <w:qFormat/>
    <w:rsid w:val="008B0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A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A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A7C"/>
    <w:pPr>
      <w:spacing w:before="160"/>
      <w:jc w:val="center"/>
    </w:pPr>
    <w:rPr>
      <w:i/>
      <w:iCs/>
      <w:color w:val="404040" w:themeColor="text1" w:themeTint="BF"/>
    </w:rPr>
  </w:style>
  <w:style w:type="character" w:customStyle="1" w:styleId="QuoteChar">
    <w:name w:val="Quote Char"/>
    <w:basedOn w:val="DefaultParagraphFont"/>
    <w:link w:val="Quote"/>
    <w:uiPriority w:val="29"/>
    <w:rsid w:val="008B0A7C"/>
    <w:rPr>
      <w:i/>
      <w:iCs/>
      <w:color w:val="404040" w:themeColor="text1" w:themeTint="BF"/>
    </w:rPr>
  </w:style>
  <w:style w:type="paragraph" w:styleId="ListParagraph">
    <w:name w:val="List Paragraph"/>
    <w:basedOn w:val="Normal"/>
    <w:uiPriority w:val="34"/>
    <w:qFormat/>
    <w:rsid w:val="008B0A7C"/>
    <w:pPr>
      <w:ind w:left="720"/>
      <w:contextualSpacing/>
    </w:pPr>
  </w:style>
  <w:style w:type="character" w:styleId="IntenseEmphasis">
    <w:name w:val="Intense Emphasis"/>
    <w:basedOn w:val="DefaultParagraphFont"/>
    <w:uiPriority w:val="21"/>
    <w:qFormat/>
    <w:rsid w:val="008B0A7C"/>
    <w:rPr>
      <w:i/>
      <w:iCs/>
      <w:color w:val="0F4761" w:themeColor="accent1" w:themeShade="BF"/>
    </w:rPr>
  </w:style>
  <w:style w:type="paragraph" w:styleId="IntenseQuote">
    <w:name w:val="Intense Quote"/>
    <w:basedOn w:val="Normal"/>
    <w:next w:val="Normal"/>
    <w:link w:val="IntenseQuoteChar"/>
    <w:uiPriority w:val="30"/>
    <w:qFormat/>
    <w:rsid w:val="008B0A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0A7C"/>
    <w:rPr>
      <w:i/>
      <w:iCs/>
      <w:color w:val="0F4761" w:themeColor="accent1" w:themeShade="BF"/>
    </w:rPr>
  </w:style>
  <w:style w:type="character" w:styleId="IntenseReference">
    <w:name w:val="Intense Reference"/>
    <w:basedOn w:val="DefaultParagraphFont"/>
    <w:uiPriority w:val="32"/>
    <w:qFormat/>
    <w:rsid w:val="008B0A7C"/>
    <w:rPr>
      <w:b/>
      <w:bCs/>
      <w:smallCaps/>
      <w:color w:val="0F4761" w:themeColor="accent1" w:themeShade="BF"/>
      <w:spacing w:val="5"/>
    </w:rPr>
  </w:style>
  <w:style w:type="paragraph" w:styleId="Footer">
    <w:name w:val="footer"/>
    <w:basedOn w:val="Normal"/>
    <w:link w:val="FooterChar"/>
    <w:uiPriority w:val="99"/>
    <w:semiHidden/>
    <w:unhideWhenUsed/>
    <w:rsid w:val="008B0A7C"/>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8B0A7C"/>
  </w:style>
  <w:style w:type="character" w:styleId="CommentReference">
    <w:name w:val="annotation reference"/>
    <w:basedOn w:val="DefaultParagraphFont"/>
    <w:uiPriority w:val="99"/>
    <w:semiHidden/>
    <w:unhideWhenUsed/>
    <w:rsid w:val="008B0A7C"/>
    <w:rPr>
      <w:sz w:val="16"/>
      <w:szCs w:val="16"/>
    </w:rPr>
  </w:style>
  <w:style w:type="paragraph" w:styleId="CommentText">
    <w:name w:val="annotation text"/>
    <w:basedOn w:val="Normal"/>
    <w:link w:val="CommentTextChar"/>
    <w:uiPriority w:val="99"/>
    <w:unhideWhenUsed/>
    <w:rsid w:val="008B0A7C"/>
    <w:pPr>
      <w:spacing w:after="0" w:line="240" w:lineRule="auto"/>
    </w:pPr>
    <w:rPr>
      <w:rFonts w:ascii="Times New Roman" w:eastAsia="Times New Roman" w:hAnsi="Times New Roman" w:cs="Times New Roman"/>
      <w:sz w:val="20"/>
      <w:szCs w:val="20"/>
      <w:lang w:val="en-US"/>
      <w14:ligatures w14:val="none"/>
    </w:rPr>
  </w:style>
  <w:style w:type="character" w:customStyle="1" w:styleId="CommentTextChar">
    <w:name w:val="Comment Text Char"/>
    <w:basedOn w:val="DefaultParagraphFont"/>
    <w:link w:val="CommentText"/>
    <w:uiPriority w:val="99"/>
    <w:rsid w:val="008B0A7C"/>
    <w:rPr>
      <w:rFonts w:ascii="Times New Roman" w:eastAsia="Times New Roman" w:hAnsi="Times New Roman" w:cs="Times New Roman"/>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624A24"/>
    <w:pPr>
      <w:spacing w:after="160"/>
    </w:pPr>
    <w:rPr>
      <w:rFonts w:asciiTheme="minorHAnsi" w:eastAsiaTheme="minorHAnsi" w:hAnsiTheme="minorHAnsi" w:cstheme="minorBidi"/>
      <w:b/>
      <w:bCs/>
      <w:lang w:val="lt-LT"/>
      <w14:ligatures w14:val="standardContextual"/>
    </w:rPr>
  </w:style>
  <w:style w:type="character" w:customStyle="1" w:styleId="CommentSubjectChar">
    <w:name w:val="Comment Subject Char"/>
    <w:basedOn w:val="CommentTextChar"/>
    <w:link w:val="CommentSubject"/>
    <w:uiPriority w:val="99"/>
    <w:semiHidden/>
    <w:rsid w:val="00624A24"/>
    <w:rPr>
      <w:rFonts w:ascii="Times New Roman" w:eastAsia="Times New Roman" w:hAnsi="Times New Roman" w:cs="Times New Roman"/>
      <w:b/>
      <w:bCs/>
      <w:sz w:val="20"/>
      <w:szCs w:val="20"/>
      <w:lang w:val="en-US"/>
      <w14:ligatures w14:val="none"/>
    </w:rPr>
  </w:style>
  <w:style w:type="paragraph" w:styleId="Revision">
    <w:name w:val="Revision"/>
    <w:hidden/>
    <w:uiPriority w:val="99"/>
    <w:semiHidden/>
    <w:rsid w:val="00AD4F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C2C7F-00A6-4EAB-BC32-E2CAFDE6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1434</Words>
  <Characters>818</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Skersienė</dc:creator>
  <cp:keywords/>
  <dc:description/>
  <cp:lastModifiedBy>Eglė Gaidelytė-Karpavičienė</cp:lastModifiedBy>
  <cp:revision>16</cp:revision>
  <dcterms:created xsi:type="dcterms:W3CDTF">2026-06-18T12:00:00Z</dcterms:created>
  <dcterms:modified xsi:type="dcterms:W3CDTF">2026-07-01T08:27:00Z</dcterms:modified>
</cp:coreProperties>
</file>