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5F436BC9"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940423">
        <w:rPr>
          <w:rFonts w:ascii="Times New Roman" w:eastAsia="Arial Unicode MS" w:hAnsi="Times New Roman" w:cs="Times New Roman"/>
          <w:color w:val="000000"/>
          <w:kern w:val="0"/>
          <w:sz w:val="24"/>
          <w:szCs w:val="24"/>
          <w:bdr w:val="nil"/>
          <w14:ligatures w14:val="none"/>
        </w:rPr>
        <w:t>7</w:t>
      </w:r>
      <w:r w:rsidRPr="00886350">
        <w:rPr>
          <w:rFonts w:ascii="Times New Roman" w:eastAsia="Arial Unicode MS" w:hAnsi="Times New Roman" w:cs="Times New Roman"/>
          <w:color w:val="000000"/>
          <w:kern w:val="0"/>
          <w:sz w:val="24"/>
          <w:szCs w:val="24"/>
          <w:bdr w:val="nil"/>
          <w14:ligatures w14:val="none"/>
        </w:rPr>
        <w:t>-</w:t>
      </w:r>
      <w:r w:rsidR="0044787F">
        <w:rPr>
          <w:rFonts w:ascii="Times New Roman" w:eastAsia="Arial Unicode MS" w:hAnsi="Times New Roman" w:cs="Times New Roman"/>
          <w:color w:val="000000"/>
          <w:kern w:val="0"/>
          <w:sz w:val="24"/>
          <w:szCs w:val="24"/>
          <w:bdr w:val="nil"/>
          <w14:ligatures w14:val="none"/>
        </w:rPr>
        <w:t>0</w:t>
      </w:r>
      <w:r w:rsidR="0098234A">
        <w:rPr>
          <w:rFonts w:ascii="Times New Roman" w:eastAsia="Arial Unicode MS" w:hAnsi="Times New Roman" w:cs="Times New Roman"/>
          <w:color w:val="000000"/>
          <w:kern w:val="0"/>
          <w:sz w:val="24"/>
          <w:szCs w:val="24"/>
          <w:bdr w:val="nil"/>
          <w14:ligatures w14:val="none"/>
        </w:rPr>
        <w:t>2</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21E70FD2" w:rsidR="00B81FDE" w:rsidRDefault="0094042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 xml:space="preserve">STOMOS PRIEŽIŪROS </w:t>
      </w:r>
      <w:r w:rsidR="00FE0ABB">
        <w:rPr>
          <w:rFonts w:ascii="Times New Roman" w:hAnsi="Times New Roman" w:cs="Times New Roman"/>
          <w:b/>
          <w:bCs/>
          <w:sz w:val="24"/>
          <w:szCs w:val="24"/>
        </w:rPr>
        <w:t>PRIEMONIŲ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F29EAA1"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940423">
        <w:rPr>
          <w:rFonts w:ascii="Times New Roman" w:hAnsi="Times New Roman" w:cs="Times New Roman"/>
          <w:b/>
          <w:bCs/>
          <w:i/>
          <w:iCs/>
          <w:color w:val="000000"/>
          <w:kern w:val="0"/>
          <w:sz w:val="24"/>
          <w:szCs w:val="24"/>
        </w:rPr>
        <w:t>stomos priežiūros</w:t>
      </w:r>
      <w:r w:rsidR="00FE0ABB">
        <w:rPr>
          <w:rFonts w:ascii="Times New Roman" w:hAnsi="Times New Roman" w:cs="Times New Roman"/>
          <w:b/>
          <w:bCs/>
          <w:i/>
          <w:iCs/>
          <w:color w:val="000000"/>
          <w:kern w:val="0"/>
          <w:sz w:val="24"/>
          <w:szCs w:val="24"/>
        </w:rPr>
        <w:t xml:space="preserve">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002F01BF"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940423">
        <w:rPr>
          <w:rFonts w:ascii="Times New Roman" w:hAnsi="Times New Roman" w:cs="Times New Roman"/>
          <w:i/>
          <w:iCs/>
          <w:color w:val="000000"/>
          <w:kern w:val="0"/>
          <w:sz w:val="24"/>
          <w:szCs w:val="24"/>
        </w:rPr>
        <w:t>2100,00</w:t>
      </w:r>
      <w:r w:rsidR="00E32DD7">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940423">
        <w:rPr>
          <w:rFonts w:ascii="Times New Roman" w:hAnsi="Times New Roman" w:cs="Times New Roman"/>
          <w:i/>
          <w:iCs/>
          <w:color w:val="000000"/>
          <w:kern w:val="0"/>
          <w:sz w:val="24"/>
          <w:szCs w:val="24"/>
        </w:rPr>
        <w:t>du tūkstančiai vienas šimtas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5459446B" w14:textId="77777777" w:rsidR="0044787F" w:rsidRDefault="0044787F" w:rsidP="0044787F">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1B573779" w14:textId="77777777" w:rsidR="0044787F" w:rsidRPr="00C539BA" w:rsidRDefault="0044787F" w:rsidP="0044787F">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2BEEC2E" w14:textId="758E535C" w:rsidR="00940423" w:rsidRPr="00940423" w:rsidRDefault="00940423" w:rsidP="00940423">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940423">
        <w:rPr>
          <w:rFonts w:ascii="Times New Roman" w:eastAsia="Calibri" w:hAnsi="Times New Roman" w:cs="Times New Roman"/>
          <w:sz w:val="24"/>
          <w:szCs w:val="24"/>
        </w:rPr>
        <w:t xml:space="preserve">1. Techninės specifikacijos lentelėje nurodytas prognozuojamas </w:t>
      </w:r>
      <w:r w:rsidR="00576CD5">
        <w:rPr>
          <w:rFonts w:ascii="Times New Roman" w:eastAsia="Calibri" w:hAnsi="Times New Roman" w:cs="Times New Roman"/>
          <w:bCs/>
          <w:sz w:val="24"/>
          <w:szCs w:val="24"/>
        </w:rPr>
        <w:t>stomos priežiūros</w:t>
      </w:r>
      <w:r w:rsidRPr="00940423">
        <w:rPr>
          <w:rFonts w:ascii="Times New Roman" w:eastAsia="Calibri" w:hAnsi="Times New Roman" w:cs="Times New Roman"/>
          <w:bCs/>
          <w:sz w:val="24"/>
          <w:szCs w:val="24"/>
        </w:rPr>
        <w:t xml:space="preserve"> priemonių</w:t>
      </w:r>
      <w:r w:rsidRPr="00940423">
        <w:rPr>
          <w:rFonts w:ascii="Times New Roman" w:eastAsia="Calibri" w:hAnsi="Times New Roman" w:cs="Times New Roman"/>
          <w:sz w:val="24"/>
          <w:szCs w:val="24"/>
        </w:rPr>
        <w:t xml:space="preserve"> poreikis 24 mėn. </w:t>
      </w:r>
      <w:r w:rsidRPr="00940423">
        <w:rPr>
          <w:rFonts w:ascii="Times New Roman" w:eastAsia="Times New Roman" w:hAnsi="Times New Roman" w:cs="Times New Roman"/>
          <w:kern w:val="0"/>
          <w:sz w:val="24"/>
          <w:szCs w:val="24"/>
          <w:lang w:eastAsia="ar-SA"/>
          <w14:ligatures w14:val="none"/>
        </w:rPr>
        <w:t>Įsipareigojimas nupirkti ne mažiau 70 proc. prekių.</w:t>
      </w:r>
    </w:p>
    <w:p w14:paraId="11776054" w14:textId="77777777" w:rsidR="00940423" w:rsidRPr="00940423" w:rsidRDefault="00940423" w:rsidP="00940423">
      <w:pPr>
        <w:tabs>
          <w:tab w:val="left" w:pos="7230"/>
        </w:tabs>
        <w:spacing w:after="0" w:line="240" w:lineRule="auto"/>
        <w:ind w:firstLine="567"/>
        <w:jc w:val="both"/>
        <w:rPr>
          <w:rFonts w:ascii="Times New Roman" w:eastAsia="Calibri" w:hAnsi="Times New Roman" w:cs="Times New Roman"/>
          <w:bCs/>
          <w:sz w:val="24"/>
          <w:szCs w:val="24"/>
        </w:rPr>
      </w:pPr>
      <w:r w:rsidRPr="00940423">
        <w:rPr>
          <w:rFonts w:ascii="Times New Roman" w:eastAsia="Calibri" w:hAnsi="Times New Roman" w:cs="Times New Roman"/>
          <w:bCs/>
          <w:sz w:val="24"/>
          <w:szCs w:val="24"/>
        </w:rPr>
        <w:t xml:space="preserve">2. Sutartis sudaroma 24 mėn. </w:t>
      </w:r>
    </w:p>
    <w:p w14:paraId="2BB73229" w14:textId="77777777" w:rsidR="00940423" w:rsidRPr="00940423" w:rsidRDefault="00940423" w:rsidP="00940423">
      <w:pPr>
        <w:tabs>
          <w:tab w:val="left" w:pos="7230"/>
        </w:tabs>
        <w:spacing w:after="0" w:line="240" w:lineRule="auto"/>
        <w:ind w:firstLine="567"/>
        <w:jc w:val="both"/>
        <w:rPr>
          <w:rFonts w:ascii="Times New Roman" w:eastAsia="Calibri" w:hAnsi="Times New Roman" w:cs="Times New Roman"/>
          <w:bCs/>
          <w:sz w:val="24"/>
          <w:szCs w:val="24"/>
        </w:rPr>
      </w:pPr>
      <w:r w:rsidRPr="00940423">
        <w:rPr>
          <w:rFonts w:ascii="Times New Roman" w:eastAsia="Calibri" w:hAnsi="Times New Roman" w:cs="Times New Roman"/>
          <w:bCs/>
          <w:sz w:val="24"/>
          <w:szCs w:val="24"/>
        </w:rPr>
        <w:t>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markiruoti,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2E0C18DA" w14:textId="77777777" w:rsidR="00940423" w:rsidRPr="00940423" w:rsidRDefault="00940423" w:rsidP="00940423">
      <w:pPr>
        <w:tabs>
          <w:tab w:val="left" w:pos="7230"/>
        </w:tabs>
        <w:spacing w:after="0" w:line="240" w:lineRule="auto"/>
        <w:ind w:firstLine="567"/>
        <w:jc w:val="both"/>
        <w:rPr>
          <w:rFonts w:ascii="Times New Roman" w:eastAsia="Calibri" w:hAnsi="Times New Roman" w:cs="Times New Roman"/>
          <w:bCs/>
          <w:sz w:val="24"/>
          <w:szCs w:val="24"/>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1"/>
        <w:gridCol w:w="5355"/>
      </w:tblGrid>
      <w:tr w:rsidR="00940423" w:rsidRPr="00940423" w14:paraId="34F2D9F5"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vAlign w:val="center"/>
          </w:tcPr>
          <w:p w14:paraId="21222163" w14:textId="77777777" w:rsidR="00940423" w:rsidRPr="00940423" w:rsidRDefault="00940423" w:rsidP="00940423">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r w:rsidRPr="00940423">
              <w:rPr>
                <w:rFonts w:ascii="Times New Roman" w:eastAsia="Times New Roman" w:hAnsi="Times New Roman" w:cs="Times New Roman"/>
                <w:b/>
                <w:bCs/>
                <w:noProof/>
                <w:kern w:val="0"/>
                <w:sz w:val="24"/>
                <w:szCs w:val="24"/>
                <w:lang w:eastAsia="ar-SA"/>
                <w14:ligatures w14:val="none"/>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567A3AA" w14:textId="77777777" w:rsidR="00940423" w:rsidRPr="00940423" w:rsidRDefault="00940423" w:rsidP="00940423">
            <w:pPr>
              <w:suppressAutoHyphens/>
              <w:spacing w:after="0" w:line="240" w:lineRule="auto"/>
              <w:jc w:val="center"/>
              <w:rPr>
                <w:rFonts w:ascii="Times New Roman" w:eastAsia="Calibri" w:hAnsi="Times New Roman" w:cs="Times New Roman"/>
                <w:b/>
                <w:bCs/>
                <w:sz w:val="24"/>
                <w:szCs w:val="24"/>
              </w:rPr>
            </w:pPr>
            <w:r w:rsidRPr="00940423">
              <w:rPr>
                <w:rFonts w:ascii="Times New Roman" w:eastAsia="Calibri" w:hAnsi="Times New Roman" w:cs="Times New Roman"/>
                <w:b/>
                <w:bCs/>
                <w:sz w:val="24"/>
                <w:szCs w:val="24"/>
              </w:rPr>
              <w:t>Prekės pavadinimas</w:t>
            </w:r>
          </w:p>
        </w:tc>
        <w:tc>
          <w:tcPr>
            <w:tcW w:w="5355" w:type="dxa"/>
            <w:tcBorders>
              <w:top w:val="single" w:sz="4" w:space="0" w:color="auto"/>
              <w:left w:val="single" w:sz="4" w:space="0" w:color="auto"/>
              <w:bottom w:val="single" w:sz="4" w:space="0" w:color="auto"/>
              <w:right w:val="single" w:sz="4" w:space="0" w:color="auto"/>
            </w:tcBorders>
            <w:vAlign w:val="center"/>
          </w:tcPr>
          <w:p w14:paraId="63FE7C49" w14:textId="77777777" w:rsidR="00940423" w:rsidRPr="00940423" w:rsidRDefault="00940423" w:rsidP="00940423">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b/>
                <w:bCs/>
                <w:noProof/>
                <w:kern w:val="0"/>
                <w:sz w:val="24"/>
                <w:szCs w:val="24"/>
                <w:lang w:eastAsia="ar-SA"/>
                <w14:ligatures w14:val="none"/>
              </w:rPr>
              <w:t>Būtinos sąlygos</w:t>
            </w:r>
          </w:p>
        </w:tc>
      </w:tr>
      <w:tr w:rsidR="00940423" w:rsidRPr="00940423" w14:paraId="1EF29344"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63A052E2"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898A1DD"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45 mm ± 7 mm</w:t>
            </w:r>
          </w:p>
        </w:tc>
        <w:tc>
          <w:tcPr>
            <w:tcW w:w="5355" w:type="dxa"/>
            <w:tcBorders>
              <w:top w:val="single" w:sz="4" w:space="0" w:color="auto"/>
              <w:left w:val="single" w:sz="4" w:space="0" w:color="auto"/>
              <w:bottom w:val="single" w:sz="4" w:space="0" w:color="auto"/>
              <w:right w:val="single" w:sz="4" w:space="0" w:color="auto"/>
            </w:tcBorders>
          </w:tcPr>
          <w:p w14:paraId="32865522"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45 mm ± 7 mm.</w:t>
            </w:r>
          </w:p>
          <w:p w14:paraId="667CB584"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Išgaubta.</w:t>
            </w:r>
          </w:p>
          <w:p w14:paraId="594C83AF"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6764BEA4"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AF7BE81"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5B084A94"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6821F66A"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57 mm ± 7 mm</w:t>
            </w:r>
          </w:p>
        </w:tc>
        <w:tc>
          <w:tcPr>
            <w:tcW w:w="5355" w:type="dxa"/>
            <w:tcBorders>
              <w:top w:val="single" w:sz="4" w:space="0" w:color="auto"/>
              <w:left w:val="single" w:sz="4" w:space="0" w:color="auto"/>
              <w:bottom w:val="single" w:sz="4" w:space="0" w:color="auto"/>
              <w:right w:val="single" w:sz="4" w:space="0" w:color="auto"/>
            </w:tcBorders>
          </w:tcPr>
          <w:p w14:paraId="79F73ADD"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 xml:space="preserve">Žiedo dydis 57 mm ± 7 mm. </w:t>
            </w:r>
          </w:p>
          <w:p w14:paraId="1C9A21E1"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Išgaubta.</w:t>
            </w:r>
          </w:p>
          <w:p w14:paraId="6012764D"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3F513F57"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43A3E047"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7D5422CB"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FC7ADF9"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45 mm ± 7 mm</w:t>
            </w:r>
          </w:p>
        </w:tc>
        <w:tc>
          <w:tcPr>
            <w:tcW w:w="5355" w:type="dxa"/>
            <w:tcBorders>
              <w:top w:val="single" w:sz="4" w:space="0" w:color="auto"/>
              <w:left w:val="single" w:sz="4" w:space="0" w:color="auto"/>
              <w:bottom w:val="single" w:sz="4" w:space="0" w:color="auto"/>
              <w:right w:val="single" w:sz="4" w:space="0" w:color="auto"/>
            </w:tcBorders>
          </w:tcPr>
          <w:p w14:paraId="4A69F668"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45 mm ± 7 mm.</w:t>
            </w:r>
          </w:p>
          <w:p w14:paraId="5E1EE286"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Lygi.</w:t>
            </w:r>
          </w:p>
          <w:p w14:paraId="61E51A5A"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2D30C936"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6713A5ED"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00DFDE76"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2766001A"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57 mm ± 7 mm</w:t>
            </w:r>
          </w:p>
        </w:tc>
        <w:tc>
          <w:tcPr>
            <w:tcW w:w="5355" w:type="dxa"/>
            <w:tcBorders>
              <w:top w:val="single" w:sz="4" w:space="0" w:color="auto"/>
              <w:left w:val="single" w:sz="4" w:space="0" w:color="auto"/>
              <w:bottom w:val="single" w:sz="4" w:space="0" w:color="auto"/>
              <w:right w:val="single" w:sz="4" w:space="0" w:color="auto"/>
            </w:tcBorders>
          </w:tcPr>
          <w:p w14:paraId="0F1EB7DF"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57 mm ± 7 mm.</w:t>
            </w:r>
          </w:p>
          <w:p w14:paraId="28809D7F"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Lygi.</w:t>
            </w:r>
          </w:p>
          <w:p w14:paraId="6926EB29"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15187A2C"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43DE087"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77D15AEC"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359A0A2B"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32 mm ± 7 mm</w:t>
            </w:r>
          </w:p>
        </w:tc>
        <w:tc>
          <w:tcPr>
            <w:tcW w:w="5355" w:type="dxa"/>
            <w:tcBorders>
              <w:top w:val="single" w:sz="4" w:space="0" w:color="auto"/>
              <w:left w:val="single" w:sz="4" w:space="0" w:color="auto"/>
              <w:bottom w:val="single" w:sz="4" w:space="0" w:color="auto"/>
              <w:right w:val="single" w:sz="4" w:space="0" w:color="auto"/>
            </w:tcBorders>
          </w:tcPr>
          <w:p w14:paraId="7184E5F7"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Žiedo dydis 32 mm ± 7 mm.</w:t>
            </w:r>
          </w:p>
          <w:p w14:paraId="1277267A"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Lanksti.</w:t>
            </w:r>
          </w:p>
          <w:p w14:paraId="000BBF9C"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Lygi.</w:t>
            </w:r>
          </w:p>
          <w:p w14:paraId="5DC27A5E"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08DD58EC"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p w14:paraId="2EA8FEA6" w14:textId="77777777" w:rsidR="00940423" w:rsidRPr="00940423" w:rsidRDefault="00940423" w:rsidP="00940423">
            <w:pPr>
              <w:suppressAutoHyphens/>
              <w:spacing w:after="0" w:line="240" w:lineRule="auto"/>
              <w:ind w:hanging="98"/>
              <w:rPr>
                <w:rFonts w:ascii="Times New Roman" w:eastAsia="Times New Roman" w:hAnsi="Times New Roman" w:cs="Times New Roman"/>
                <w:noProof/>
                <w:kern w:val="0"/>
                <w:sz w:val="24"/>
                <w:szCs w:val="24"/>
                <w:lang w:eastAsia="ar-SA"/>
                <w14:ligatures w14:val="none"/>
              </w:rPr>
            </w:pPr>
          </w:p>
        </w:tc>
      </w:tr>
      <w:tr w:rsidR="00940423" w:rsidRPr="00940423" w14:paraId="304887EB"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74DB53B0"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D266D11"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rinktuvo maišas, žiedo dydis 32 mm ± 7 mm</w:t>
            </w:r>
          </w:p>
        </w:tc>
        <w:tc>
          <w:tcPr>
            <w:tcW w:w="5355" w:type="dxa"/>
            <w:tcBorders>
              <w:top w:val="single" w:sz="4" w:space="0" w:color="auto"/>
              <w:left w:val="single" w:sz="4" w:space="0" w:color="auto"/>
              <w:bottom w:val="single" w:sz="4" w:space="0" w:color="auto"/>
              <w:right w:val="single" w:sz="4" w:space="0" w:color="auto"/>
            </w:tcBorders>
          </w:tcPr>
          <w:p w14:paraId="6632EED4"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Žiedo dydis 32 mm ± 7 mm.</w:t>
            </w:r>
          </w:p>
          <w:p w14:paraId="4B012A0F"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Išleidžiamas maišelis.</w:t>
            </w:r>
          </w:p>
          <w:p w14:paraId="06B762A3"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Su filtru.</w:t>
            </w:r>
          </w:p>
          <w:p w14:paraId="444FAAE1"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Lipniais užsegimais.</w:t>
            </w:r>
          </w:p>
          <w:p w14:paraId="3F5B6543"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0528437"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69930E45"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49976D58"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rinktuvo maišas, žiedo dydis 45 mm ± 7 mm</w:t>
            </w:r>
          </w:p>
        </w:tc>
        <w:tc>
          <w:tcPr>
            <w:tcW w:w="5355" w:type="dxa"/>
            <w:tcBorders>
              <w:top w:val="single" w:sz="4" w:space="0" w:color="auto"/>
              <w:left w:val="single" w:sz="4" w:space="0" w:color="auto"/>
              <w:bottom w:val="single" w:sz="4" w:space="0" w:color="auto"/>
              <w:right w:val="single" w:sz="4" w:space="0" w:color="auto"/>
            </w:tcBorders>
          </w:tcPr>
          <w:p w14:paraId="514AA19C"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Žiedo dydis 45 mm ± 7 mm.</w:t>
            </w:r>
          </w:p>
          <w:p w14:paraId="3726B2F1"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Su filtru.</w:t>
            </w:r>
          </w:p>
          <w:p w14:paraId="62AB9626"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Lipniais užsegimais.</w:t>
            </w:r>
          </w:p>
          <w:p w14:paraId="6BAC1E66"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Išleidžiamas maišelis.</w:t>
            </w:r>
          </w:p>
          <w:p w14:paraId="45170CCA"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033F1304"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18A6FBDD"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59190482"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rinktuvo maišas, žiedo dydis 57 mm ± 7 mm</w:t>
            </w:r>
          </w:p>
        </w:tc>
        <w:tc>
          <w:tcPr>
            <w:tcW w:w="5355" w:type="dxa"/>
            <w:tcBorders>
              <w:top w:val="single" w:sz="4" w:space="0" w:color="auto"/>
              <w:left w:val="single" w:sz="4" w:space="0" w:color="auto"/>
              <w:bottom w:val="single" w:sz="4" w:space="0" w:color="auto"/>
              <w:right w:val="single" w:sz="4" w:space="0" w:color="auto"/>
            </w:tcBorders>
          </w:tcPr>
          <w:p w14:paraId="2FCEC40C"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57 mm ± 7 mm.</w:t>
            </w:r>
          </w:p>
          <w:p w14:paraId="2A43CB84"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Su filtru.</w:t>
            </w:r>
          </w:p>
          <w:p w14:paraId="05E3418D"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Lipniais užsegimais.</w:t>
            </w:r>
          </w:p>
          <w:p w14:paraId="7A567358"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Išleidžiamas maišelis.</w:t>
            </w:r>
          </w:p>
          <w:p w14:paraId="6193EEDA"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325701D"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25C9308F"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3258A8F5"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rinktuvas, dydis nuo 25 mm ± 7 mm iki 90 mm ± 7 mm</w:t>
            </w:r>
          </w:p>
        </w:tc>
        <w:tc>
          <w:tcPr>
            <w:tcW w:w="5355" w:type="dxa"/>
            <w:tcBorders>
              <w:top w:val="single" w:sz="4" w:space="0" w:color="auto"/>
              <w:left w:val="single" w:sz="4" w:space="0" w:color="auto"/>
              <w:bottom w:val="single" w:sz="4" w:space="0" w:color="auto"/>
              <w:right w:val="single" w:sz="4" w:space="0" w:color="auto"/>
            </w:tcBorders>
          </w:tcPr>
          <w:p w14:paraId="0E5682AB"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Dydis nuo 25 mm ± 7 mm iki 90 mm ± 7 mm.</w:t>
            </w:r>
          </w:p>
          <w:p w14:paraId="27DF8E6C"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Vienos dalies atviras.</w:t>
            </w:r>
          </w:p>
          <w:p w14:paraId="466796D5"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Lanksti lygi plokštelė ir maišelis sujungti kartu.</w:t>
            </w:r>
          </w:p>
          <w:p w14:paraId="0F123BCE"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Su filtru.</w:t>
            </w:r>
          </w:p>
          <w:p w14:paraId="498CF9D2"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Lipniais užsegimais.</w:t>
            </w:r>
          </w:p>
          <w:p w14:paraId="4058B8AB"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 iki 90 mm ± 7 mm.</w:t>
            </w:r>
          </w:p>
          <w:p w14:paraId="26B1479F"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Išleidžiamas maišelis.</w:t>
            </w:r>
          </w:p>
          <w:p w14:paraId="7A156DE2"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FD672DD"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6E4AC97F"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4620F97C"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lt-LT"/>
                <w14:ligatures w14:val="none"/>
              </w:rPr>
              <w:t xml:space="preserve">Peristominės odos priežiūros apsauginiai milteliai. </w:t>
            </w:r>
            <w:r w:rsidRPr="00940423">
              <w:rPr>
                <w:rFonts w:ascii="Times New Roman" w:eastAsia="Times New Roman" w:hAnsi="Times New Roman" w:cs="Times New Roman"/>
                <w:i/>
                <w:iCs/>
                <w:noProof/>
                <w:kern w:val="0"/>
                <w:sz w:val="24"/>
                <w:szCs w:val="24"/>
                <w:lang w:eastAsia="ar-SA"/>
                <w14:ligatures w14:val="none"/>
              </w:rPr>
              <w:t>Pakuotės dydis intervale nuo 25g iki 35g</w:t>
            </w:r>
          </w:p>
        </w:tc>
        <w:tc>
          <w:tcPr>
            <w:tcW w:w="5355" w:type="dxa"/>
            <w:tcBorders>
              <w:top w:val="single" w:sz="4" w:space="0" w:color="auto"/>
              <w:left w:val="single" w:sz="4" w:space="0" w:color="auto"/>
              <w:bottom w:val="single" w:sz="4" w:space="0" w:color="auto"/>
              <w:right w:val="single" w:sz="4" w:space="0" w:color="auto"/>
            </w:tcBorders>
          </w:tcPr>
          <w:p w14:paraId="7A0FD6B2"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Pakuotės dydis intervale nuo 25g iki 35g.</w:t>
            </w:r>
          </w:p>
          <w:p w14:paraId="4CAC63E6"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lt-LT"/>
                <w14:ligatures w14:val="none"/>
              </w:rPr>
              <w:t>Gydomosios paskirties peristominės odos paraudimams ir žaizdoms.</w:t>
            </w:r>
          </w:p>
          <w:p w14:paraId="0C814480"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lt-LT"/>
                <w14:ligatures w14:val="none"/>
              </w:rPr>
              <w:t>Tinka naudoti esant suformuotai kolostomai, ileostomai, urostomai.</w:t>
            </w:r>
          </w:p>
          <w:p w14:paraId="562DA316"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bl>
    <w:p w14:paraId="5BDE6FEC"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162B8CD"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4F5AE14"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DC9C581"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1B72BFE"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5689D5D"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6F3CD27"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181541F2"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8C9972C"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968D073"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BB04DC2"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4CF176F7"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1D2BA5E9"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4749510C"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6189429A" w14:textId="2E888B00"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FC5C00B"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940423">
        <w:rPr>
          <w:rFonts w:ascii="Times New Roman" w:eastAsia="Lucida Sans Unicode" w:hAnsi="Times New Roman" w:cs="Times New Roman"/>
          <w:b/>
          <w:sz w:val="24"/>
          <w:szCs w:val="24"/>
          <w14:ligatures w14:val="none"/>
        </w:rPr>
        <w:t>STOMOS PRIEŽIŪROS</w:t>
      </w:r>
      <w:r w:rsidR="00FE0ABB">
        <w:rPr>
          <w:rFonts w:ascii="Times New Roman" w:eastAsia="Lucida Sans Unicode" w:hAnsi="Times New Roman" w:cs="Times New Roman"/>
          <w:b/>
          <w:sz w:val="24"/>
          <w:szCs w:val="24"/>
          <w14:ligatures w14:val="none"/>
        </w:rPr>
        <w:t xml:space="preserve">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1A46BD6F" w14:textId="77777777" w:rsidR="00EE5827" w:rsidRDefault="00EE5827" w:rsidP="00E32DD7">
      <w:pPr>
        <w:spacing w:after="0" w:line="240" w:lineRule="auto"/>
        <w:ind w:firstLine="709"/>
        <w:jc w:val="both"/>
        <w:rPr>
          <w:rFonts w:ascii="Times New Roman" w:eastAsia="Calibri" w:hAnsi="Times New Roman" w:cs="Times New Roman"/>
          <w:b/>
          <w:iCs/>
          <w:sz w:val="24"/>
          <w:szCs w:val="24"/>
          <w:lang w:eastAsia="lt-LT"/>
          <w14:ligatures w14:val="none"/>
        </w:rPr>
      </w:pPr>
    </w:p>
    <w:p w14:paraId="4597EB01" w14:textId="78F2EBA3"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54C30B4C"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sidR="00940423">
              <w:rPr>
                <w:rFonts w:ascii="Times New Roman" w:eastAsia="Lucida Sans Unicode" w:hAnsi="Times New Roman" w:cs="Times New Roman"/>
                <w:b/>
                <w:bCs/>
                <w:color w:val="000000"/>
                <w:sz w:val="24"/>
                <w:szCs w:val="24"/>
                <w:lang w:eastAsia="lt-LT"/>
                <w14:ligatures w14:val="none"/>
              </w:rPr>
              <w:t>/g</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940423" w:rsidRPr="008F2250" w14:paraId="0AD3297A" w14:textId="77777777" w:rsidTr="00E32DD7">
        <w:trPr>
          <w:trHeight w:val="698"/>
          <w:jc w:val="center"/>
        </w:trPr>
        <w:tc>
          <w:tcPr>
            <w:tcW w:w="1080" w:type="dxa"/>
          </w:tcPr>
          <w:p w14:paraId="7DF4FB67" w14:textId="77777777" w:rsidR="00940423" w:rsidRPr="006D056C"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64488FAE" w:rsidR="00940423" w:rsidRPr="00940423" w:rsidRDefault="00940423" w:rsidP="00940423">
            <w:pPr>
              <w:rPr>
                <w:rFonts w:ascii="Times New Roman" w:hAnsi="Times New Roman" w:cs="Times New Roman"/>
                <w:i/>
                <w:iCs/>
                <w:sz w:val="24"/>
                <w:szCs w:val="24"/>
              </w:rPr>
            </w:pPr>
            <w:r w:rsidRPr="00940423">
              <w:rPr>
                <w:rFonts w:ascii="Times New Roman" w:hAnsi="Times New Roman" w:cs="Times New Roman"/>
                <w:i/>
                <w:iCs/>
                <w:noProof/>
                <w:sz w:val="24"/>
                <w:szCs w:val="24"/>
              </w:rPr>
              <w:t>Stomos plokštelė, žiedo dydis 45 mm ± 7 mm</w:t>
            </w:r>
          </w:p>
        </w:tc>
        <w:tc>
          <w:tcPr>
            <w:tcW w:w="939" w:type="dxa"/>
          </w:tcPr>
          <w:p w14:paraId="3413F183" w14:textId="0E99E5E8" w:rsidR="00940423" w:rsidRPr="008F2250" w:rsidRDefault="00940423" w:rsidP="0094042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621D2506" w:rsidR="00940423" w:rsidRPr="008F2250"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33F7D32D"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581B4244" w14:textId="77777777" w:rsidTr="00E32DD7">
        <w:trPr>
          <w:trHeight w:val="698"/>
          <w:jc w:val="center"/>
        </w:trPr>
        <w:tc>
          <w:tcPr>
            <w:tcW w:w="1080" w:type="dxa"/>
          </w:tcPr>
          <w:p w14:paraId="7B8934E2" w14:textId="70A5AF50"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59BEC0F4" w14:textId="3F78FE0F" w:rsidR="00940423" w:rsidRPr="00940423" w:rsidRDefault="00940423" w:rsidP="00940423">
            <w:pPr>
              <w:rPr>
                <w:rStyle w:val="markedcontent"/>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57 mm ± 7 mm</w:t>
            </w:r>
          </w:p>
        </w:tc>
        <w:tc>
          <w:tcPr>
            <w:tcW w:w="939" w:type="dxa"/>
          </w:tcPr>
          <w:p w14:paraId="05FD3E6A" w14:textId="276E9A52" w:rsidR="00940423" w:rsidRDefault="00940423" w:rsidP="00940423">
            <w:pPr>
              <w:widowControl w:val="0"/>
              <w:suppressAutoHyphens/>
              <w:jc w:val="center"/>
              <w:rPr>
                <w:rFonts w:ascii="Times New Roman" w:eastAsia="Lucida Sans Unicode" w:hAnsi="Times New Roman" w:cs="Times New Roman"/>
                <w:sz w:val="24"/>
                <w:szCs w:val="24"/>
                <w14:ligatures w14:val="none"/>
              </w:rPr>
            </w:pPr>
            <w:r w:rsidRPr="00725198">
              <w:rPr>
                <w:rFonts w:ascii="Times New Roman" w:eastAsia="Lucida Sans Unicode" w:hAnsi="Times New Roman" w:cs="Times New Roman"/>
                <w:sz w:val="24"/>
                <w:szCs w:val="24"/>
                <w14:ligatures w14:val="none"/>
              </w:rPr>
              <w:t>vnt.</w:t>
            </w:r>
          </w:p>
        </w:tc>
        <w:tc>
          <w:tcPr>
            <w:tcW w:w="1902" w:type="dxa"/>
          </w:tcPr>
          <w:p w14:paraId="5F501FF4" w14:textId="7EB2625C"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1FE6BD5E"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1FB7DF0"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1DCC8864" w14:textId="77777777" w:rsidTr="00E32DD7">
        <w:trPr>
          <w:trHeight w:val="698"/>
          <w:jc w:val="center"/>
        </w:trPr>
        <w:tc>
          <w:tcPr>
            <w:tcW w:w="1080" w:type="dxa"/>
          </w:tcPr>
          <w:p w14:paraId="5CB176E1" w14:textId="6BF1AA5C"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3.</w:t>
            </w:r>
          </w:p>
        </w:tc>
        <w:tc>
          <w:tcPr>
            <w:tcW w:w="2317" w:type="dxa"/>
          </w:tcPr>
          <w:p w14:paraId="1F2A6CE2" w14:textId="573A1DCA" w:rsidR="00940423" w:rsidRPr="00940423" w:rsidRDefault="00940423" w:rsidP="00940423">
            <w:pPr>
              <w:rPr>
                <w:rStyle w:val="markedcontent"/>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45 mm ± 7 mm</w:t>
            </w:r>
          </w:p>
        </w:tc>
        <w:tc>
          <w:tcPr>
            <w:tcW w:w="939" w:type="dxa"/>
          </w:tcPr>
          <w:p w14:paraId="399FD718" w14:textId="5922F21C" w:rsidR="00940423" w:rsidRDefault="00940423" w:rsidP="00940423">
            <w:pPr>
              <w:widowControl w:val="0"/>
              <w:suppressAutoHyphens/>
              <w:jc w:val="center"/>
              <w:rPr>
                <w:rFonts w:ascii="Times New Roman" w:eastAsia="Lucida Sans Unicode" w:hAnsi="Times New Roman" w:cs="Times New Roman"/>
                <w:sz w:val="24"/>
                <w:szCs w:val="24"/>
                <w14:ligatures w14:val="none"/>
              </w:rPr>
            </w:pPr>
            <w:r w:rsidRPr="00725198">
              <w:rPr>
                <w:rFonts w:ascii="Times New Roman" w:eastAsia="Lucida Sans Unicode" w:hAnsi="Times New Roman" w:cs="Times New Roman"/>
                <w:sz w:val="24"/>
                <w:szCs w:val="24"/>
                <w14:ligatures w14:val="none"/>
              </w:rPr>
              <w:t>vnt.</w:t>
            </w:r>
          </w:p>
        </w:tc>
        <w:tc>
          <w:tcPr>
            <w:tcW w:w="1902" w:type="dxa"/>
          </w:tcPr>
          <w:p w14:paraId="440B8803" w14:textId="68020E42"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70</w:t>
            </w:r>
          </w:p>
        </w:tc>
        <w:tc>
          <w:tcPr>
            <w:tcW w:w="1475" w:type="dxa"/>
            <w:vAlign w:val="center"/>
          </w:tcPr>
          <w:p w14:paraId="096DC232"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2BFA93E"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0984B259" w14:textId="77777777" w:rsidTr="00E32DD7">
        <w:trPr>
          <w:trHeight w:val="698"/>
          <w:jc w:val="center"/>
        </w:trPr>
        <w:tc>
          <w:tcPr>
            <w:tcW w:w="1080" w:type="dxa"/>
          </w:tcPr>
          <w:p w14:paraId="4AC8FE25" w14:textId="4C09587A"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w:t>
            </w:r>
          </w:p>
        </w:tc>
        <w:tc>
          <w:tcPr>
            <w:tcW w:w="2317" w:type="dxa"/>
          </w:tcPr>
          <w:p w14:paraId="1BCAA9EF" w14:textId="6B95AD64"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57 mm ± 7 mm</w:t>
            </w:r>
          </w:p>
        </w:tc>
        <w:tc>
          <w:tcPr>
            <w:tcW w:w="939" w:type="dxa"/>
          </w:tcPr>
          <w:p w14:paraId="48E5FD28" w14:textId="06224431"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3A2DBE60" w14:textId="749D7181"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70</w:t>
            </w:r>
          </w:p>
        </w:tc>
        <w:tc>
          <w:tcPr>
            <w:tcW w:w="1475" w:type="dxa"/>
            <w:vAlign w:val="center"/>
          </w:tcPr>
          <w:p w14:paraId="07ED305C"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164F7D7"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692AE753" w14:textId="77777777" w:rsidTr="00E32DD7">
        <w:trPr>
          <w:trHeight w:val="698"/>
          <w:jc w:val="center"/>
        </w:trPr>
        <w:tc>
          <w:tcPr>
            <w:tcW w:w="1080" w:type="dxa"/>
          </w:tcPr>
          <w:p w14:paraId="0FEF80E6" w14:textId="55BF4870"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5.</w:t>
            </w:r>
          </w:p>
        </w:tc>
        <w:tc>
          <w:tcPr>
            <w:tcW w:w="2317" w:type="dxa"/>
          </w:tcPr>
          <w:p w14:paraId="7230A8DB" w14:textId="6829BB74"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32 mm ± 7 mm</w:t>
            </w:r>
          </w:p>
        </w:tc>
        <w:tc>
          <w:tcPr>
            <w:tcW w:w="939" w:type="dxa"/>
          </w:tcPr>
          <w:p w14:paraId="4FCAC754" w14:textId="6B9EBDDA"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314DBF67" w14:textId="5E516E18"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10</w:t>
            </w:r>
          </w:p>
        </w:tc>
        <w:tc>
          <w:tcPr>
            <w:tcW w:w="1475" w:type="dxa"/>
            <w:vAlign w:val="center"/>
          </w:tcPr>
          <w:p w14:paraId="0EB49CC0"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1EE2C6B"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1BEF4EF9" w14:textId="77777777" w:rsidTr="00E32DD7">
        <w:trPr>
          <w:trHeight w:val="698"/>
          <w:jc w:val="center"/>
        </w:trPr>
        <w:tc>
          <w:tcPr>
            <w:tcW w:w="1080" w:type="dxa"/>
          </w:tcPr>
          <w:p w14:paraId="6351D3F4" w14:textId="1D99169B"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6.</w:t>
            </w:r>
          </w:p>
        </w:tc>
        <w:tc>
          <w:tcPr>
            <w:tcW w:w="2317" w:type="dxa"/>
          </w:tcPr>
          <w:p w14:paraId="553D12E7" w14:textId="24094129"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rinktuvo maišas, žiedo dydis 32 mm ± 7 mm</w:t>
            </w:r>
          </w:p>
        </w:tc>
        <w:tc>
          <w:tcPr>
            <w:tcW w:w="939" w:type="dxa"/>
          </w:tcPr>
          <w:p w14:paraId="230B0AE6" w14:textId="43E63AEC"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79ADF15E" w14:textId="1F35A73C"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21119EDB"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C080D34"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37294E51" w14:textId="77777777" w:rsidTr="00E32DD7">
        <w:trPr>
          <w:trHeight w:val="698"/>
          <w:jc w:val="center"/>
        </w:trPr>
        <w:tc>
          <w:tcPr>
            <w:tcW w:w="1080" w:type="dxa"/>
          </w:tcPr>
          <w:p w14:paraId="12B09F73" w14:textId="7BF28BDD"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7.</w:t>
            </w:r>
          </w:p>
        </w:tc>
        <w:tc>
          <w:tcPr>
            <w:tcW w:w="2317" w:type="dxa"/>
          </w:tcPr>
          <w:p w14:paraId="1CE1B627" w14:textId="12158A94"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rinktuvo maišas, žiedo dydis 45 mm ± 7 mm</w:t>
            </w:r>
          </w:p>
        </w:tc>
        <w:tc>
          <w:tcPr>
            <w:tcW w:w="939" w:type="dxa"/>
          </w:tcPr>
          <w:p w14:paraId="1A15B290" w14:textId="726F4AC5"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4D700139" w14:textId="3C8D2471"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120</w:t>
            </w:r>
          </w:p>
        </w:tc>
        <w:tc>
          <w:tcPr>
            <w:tcW w:w="1475" w:type="dxa"/>
            <w:vAlign w:val="center"/>
          </w:tcPr>
          <w:p w14:paraId="5CEBC969"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C9ABBF3"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75EA942F" w14:textId="77777777" w:rsidTr="00E32DD7">
        <w:trPr>
          <w:trHeight w:val="698"/>
          <w:jc w:val="center"/>
        </w:trPr>
        <w:tc>
          <w:tcPr>
            <w:tcW w:w="1080" w:type="dxa"/>
          </w:tcPr>
          <w:p w14:paraId="2F7E0D98" w14:textId="6BB8A6D7"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8.</w:t>
            </w:r>
          </w:p>
        </w:tc>
        <w:tc>
          <w:tcPr>
            <w:tcW w:w="2317" w:type="dxa"/>
          </w:tcPr>
          <w:p w14:paraId="11DC3A97" w14:textId="5F720A95"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rinktuvo maišas, žiedo dydis 57 mm ± 7 mm</w:t>
            </w:r>
          </w:p>
        </w:tc>
        <w:tc>
          <w:tcPr>
            <w:tcW w:w="939" w:type="dxa"/>
          </w:tcPr>
          <w:p w14:paraId="48C07970" w14:textId="32945C02"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1AFF9B93" w14:textId="41BF2BD0"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100</w:t>
            </w:r>
          </w:p>
        </w:tc>
        <w:tc>
          <w:tcPr>
            <w:tcW w:w="1475" w:type="dxa"/>
            <w:vAlign w:val="center"/>
          </w:tcPr>
          <w:p w14:paraId="5B0020BB"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EF486F8"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1745E265" w14:textId="77777777" w:rsidTr="00E32DD7">
        <w:trPr>
          <w:trHeight w:val="698"/>
          <w:jc w:val="center"/>
        </w:trPr>
        <w:tc>
          <w:tcPr>
            <w:tcW w:w="1080" w:type="dxa"/>
          </w:tcPr>
          <w:p w14:paraId="453A5545" w14:textId="6EE31319"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9.</w:t>
            </w:r>
          </w:p>
        </w:tc>
        <w:tc>
          <w:tcPr>
            <w:tcW w:w="2317" w:type="dxa"/>
          </w:tcPr>
          <w:p w14:paraId="69E6223D" w14:textId="350CE686"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rinktuvas, dydis nuo 25 mm ± 7 mm iki 90 mm ± 7 mm</w:t>
            </w:r>
          </w:p>
        </w:tc>
        <w:tc>
          <w:tcPr>
            <w:tcW w:w="939" w:type="dxa"/>
          </w:tcPr>
          <w:p w14:paraId="3CBC66C3" w14:textId="009A76B2"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22BF1032" w14:textId="710DDB4D"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400</w:t>
            </w:r>
          </w:p>
        </w:tc>
        <w:tc>
          <w:tcPr>
            <w:tcW w:w="1475" w:type="dxa"/>
            <w:vAlign w:val="center"/>
          </w:tcPr>
          <w:p w14:paraId="16DD2156"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C54AB8C"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0D3361B0" w14:textId="77777777" w:rsidTr="00E32DD7">
        <w:trPr>
          <w:trHeight w:val="698"/>
          <w:jc w:val="center"/>
        </w:trPr>
        <w:tc>
          <w:tcPr>
            <w:tcW w:w="1080" w:type="dxa"/>
          </w:tcPr>
          <w:p w14:paraId="618D28C0" w14:textId="10E531CC"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10.</w:t>
            </w:r>
          </w:p>
        </w:tc>
        <w:tc>
          <w:tcPr>
            <w:tcW w:w="2317" w:type="dxa"/>
          </w:tcPr>
          <w:p w14:paraId="7F614482" w14:textId="4AF467D7"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lang w:eastAsia="lt-LT"/>
              </w:rPr>
              <w:t xml:space="preserve">Peristominės odos priežiūros apsauginiai milteliai. </w:t>
            </w:r>
            <w:r w:rsidRPr="00940423">
              <w:rPr>
                <w:rFonts w:ascii="Times New Roman" w:hAnsi="Times New Roman" w:cs="Times New Roman"/>
                <w:i/>
                <w:iCs/>
                <w:noProof/>
                <w:sz w:val="24"/>
                <w:szCs w:val="24"/>
              </w:rPr>
              <w:t>Pakuotės dydis intervale nuo 25g iki 35g</w:t>
            </w:r>
          </w:p>
        </w:tc>
        <w:tc>
          <w:tcPr>
            <w:tcW w:w="939" w:type="dxa"/>
          </w:tcPr>
          <w:p w14:paraId="518E2B9B" w14:textId="47ABAE1F"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g</w:t>
            </w:r>
            <w:r w:rsidRPr="003C7FA1">
              <w:rPr>
                <w:rFonts w:ascii="Times New Roman" w:eastAsia="Lucida Sans Unicode" w:hAnsi="Times New Roman" w:cs="Times New Roman"/>
                <w:sz w:val="24"/>
                <w:szCs w:val="24"/>
                <w14:ligatures w14:val="none"/>
              </w:rPr>
              <w:t>.</w:t>
            </w:r>
          </w:p>
        </w:tc>
        <w:tc>
          <w:tcPr>
            <w:tcW w:w="1902" w:type="dxa"/>
          </w:tcPr>
          <w:p w14:paraId="562BC73A" w14:textId="49BA1DF9"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100</w:t>
            </w:r>
          </w:p>
        </w:tc>
        <w:tc>
          <w:tcPr>
            <w:tcW w:w="1475" w:type="dxa"/>
            <w:vAlign w:val="center"/>
          </w:tcPr>
          <w:p w14:paraId="6886E7D1"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1A781E69"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lastRenderedPageBreak/>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0599133C"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CBDE66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F4413E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BEC1673"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0E7CDD4"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ACA5DD8"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2113F0B" w14:textId="4B1F9CD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E81A34A" w:rsidR="005C6D75" w:rsidRPr="005C6D75" w:rsidRDefault="00940423"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Stomos priežiūros</w:t>
            </w:r>
            <w:r w:rsidR="00FE0ABB">
              <w:rPr>
                <w:rFonts w:ascii="Times New Roman" w:eastAsia="Times New Roman" w:hAnsi="Times New Roman" w:cs="Times New Roman"/>
                <w:b/>
                <w:bCs/>
                <w14:ligatures w14:val="none"/>
              </w:rPr>
              <w:t xml:space="preserve"> 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43D10188" w14:textId="3BEE4A98" w:rsidR="00EE5827" w:rsidRPr="0027484A" w:rsidRDefault="00EE5827" w:rsidP="00EE5827">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Violeta Eitutytė</w:t>
            </w:r>
            <w:r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Pr="005C6D75">
              <w:rPr>
                <w:rFonts w:ascii="Times New Roman" w:eastAsia="Times New Roman" w:hAnsi="Times New Roman" w:cs="Times New Roman"/>
                <w:lang w:eastAsia="ar-SA"/>
                <w14:ligatures w14:val="none"/>
              </w:rPr>
              <w:t>, el.</w:t>
            </w:r>
            <w:r>
              <w:rPr>
                <w:rFonts w:ascii="Times New Roman" w:eastAsia="Times New Roman" w:hAnsi="Times New Roman" w:cs="Times New Roman"/>
                <w:lang w:eastAsia="ar-SA"/>
                <w14:ligatures w14:val="none"/>
              </w:rPr>
              <w:t xml:space="preserve"> </w:t>
            </w:r>
            <w:r w:rsidRPr="005C6D75">
              <w:rPr>
                <w:rFonts w:ascii="Times New Roman" w:eastAsia="Times New Roman" w:hAnsi="Times New Roman" w:cs="Times New Roman"/>
                <w:lang w:eastAsia="ar-SA"/>
                <w14:ligatures w14:val="none"/>
              </w:rPr>
              <w:t xml:space="preserve">p. </w:t>
            </w:r>
            <w:hyperlink r:id="rId13" w:history="1">
              <w:r w:rsidRPr="001637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1637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Pr>
                <w:rFonts w:ascii="Times New Roman" w:eastAsia="Times New Roman" w:hAnsi="Times New Roman" w:cs="Times New Roman"/>
                <w:bCs/>
                <w:kern w:val="0"/>
                <w:sz w:val="24"/>
                <w:szCs w:val="24"/>
                <w:bdr w:val="none" w:sz="0" w:space="0" w:color="auto" w:frame="1"/>
                <w:lang w:val="en-US" w:eastAsia="zh-CN" w:bidi="hi-IN"/>
                <w14:ligatures w14:val="none"/>
              </w:rPr>
              <w:t>,</w:t>
            </w:r>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7853D9A2" w:rsidR="005C6D75" w:rsidRPr="00E32DD7" w:rsidRDefault="005C6D75"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3A0973BA"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940423">
              <w:rPr>
                <w:rFonts w:ascii="Times New Roman" w:eastAsia="Times New Roman" w:hAnsi="Times New Roman" w:cs="Times New Roman"/>
                <w:i/>
                <w14:ligatures w14:val="none"/>
              </w:rPr>
              <w:t xml:space="preserve">stomos priežiūros </w:t>
            </w:r>
            <w:r w:rsidR="00FE0ABB">
              <w:rPr>
                <w:rFonts w:ascii="Times New Roman" w:eastAsia="Times New Roman" w:hAnsi="Times New Roman" w:cs="Times New Roman"/>
                <w:i/>
                <w14:ligatures w14:val="none"/>
              </w:rPr>
              <w:t>priemon</w:t>
            </w:r>
            <w:r w:rsidR="00EE5827">
              <w:rPr>
                <w:rFonts w:ascii="Times New Roman" w:eastAsia="Times New Roman" w:hAnsi="Times New Roman" w:cs="Times New Roman"/>
                <w:i/>
                <w14:ligatures w14:val="none"/>
              </w:rPr>
              <w:t>e</w:t>
            </w:r>
            <w:r w:rsidR="00FE0ABB">
              <w:rPr>
                <w:rFonts w:ascii="Times New Roman" w:eastAsia="Times New Roman" w:hAnsi="Times New Roman" w:cs="Times New Roman"/>
                <w:i/>
                <w14:ligatures w14:val="none"/>
              </w:rPr>
              <w:t>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38BA0DA"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940423">
                    <w:rPr>
                      <w:rFonts w:ascii="Times New Roman" w:eastAsia="Times New Roman" w:hAnsi="Times New Roman" w:cs="Times New Roman"/>
                      <w14:ligatures w14:val="none"/>
                    </w:rPr>
                    <w:t>Stomos priežiūros</w:t>
                  </w:r>
                  <w:r w:rsidR="00FE0ABB">
                    <w:rPr>
                      <w:rFonts w:ascii="Times New Roman" w:eastAsia="Times New Roman" w:hAnsi="Times New Roman" w:cs="Times New Roman"/>
                      <w14:ligatures w14:val="none"/>
                    </w:rPr>
                    <w:t xml:space="preserve"> priemonės</w:t>
                  </w:r>
                  <w:r w:rsidRPr="005C6D75">
                    <w:rPr>
                      <w:rFonts w:ascii="Times New Roman" w:eastAsia="Times New Roman" w:hAnsi="Times New Roman" w:cs="Times New Roman"/>
                      <w14:ligatures w14:val="none"/>
                    </w:rPr>
                    <w:t>“ (pirkimo ID</w:t>
                  </w:r>
                  <w:r w:rsidR="00940423">
                    <w:rPr>
                      <w:rFonts w:ascii="Times New Roman" w:eastAsia="Times New Roman" w:hAnsi="Times New Roman" w:cs="Times New Roman"/>
                      <w14:ligatures w14:val="none"/>
                    </w:rPr>
                    <w:t xml:space="preserve"> </w:t>
                  </w:r>
                  <w:r w:rsidRPr="005C6D75">
                    <w:rPr>
                      <w:rFonts w:ascii="Times New Roman" w:eastAsia="Times New Roman" w:hAnsi="Times New Roman" w:cs="Times New Roman"/>
                      <w14:ligatures w14:val="none"/>
                    </w:rPr>
                    <w:t xml:space="preserve">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470F8924"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sidR="00EE5827">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sidR="00EE5827">
              <w:rPr>
                <w:rFonts w:ascii="Times New Roman" w:eastAsia="Arial" w:hAnsi="Times New Roman" w:cs="Times New Roman"/>
                <w:lang w:val="lt"/>
                <w14:ligatures w14:val="none"/>
              </w:rPr>
              <w:t>.</w:t>
            </w:r>
          </w:p>
        </w:tc>
      </w:tr>
      <w:tr w:rsidR="00EE5827" w:rsidRPr="005C6D75" w14:paraId="4704074A" w14:textId="77777777" w:rsidTr="007D0188">
        <w:trPr>
          <w:gridAfter w:val="1"/>
          <w:wAfter w:w="44" w:type="dxa"/>
          <w:trHeight w:val="300"/>
        </w:trPr>
        <w:tc>
          <w:tcPr>
            <w:tcW w:w="2411" w:type="dxa"/>
          </w:tcPr>
          <w:p w14:paraId="314786DD"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C58C256"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742448B0"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2BD70A50" w:rsidR="00EE5827" w:rsidRPr="0016012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EE5827" w:rsidRPr="005C6D75" w14:paraId="72D83082" w14:textId="77777777" w:rsidTr="007D0188">
        <w:trPr>
          <w:trHeight w:val="300"/>
        </w:trPr>
        <w:tc>
          <w:tcPr>
            <w:tcW w:w="10251" w:type="dxa"/>
            <w:gridSpan w:val="4"/>
          </w:tcPr>
          <w:p w14:paraId="00986E9D"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EE5827" w:rsidRPr="005C6D75" w14:paraId="4E9731AE" w14:textId="77777777" w:rsidTr="007D0188">
        <w:trPr>
          <w:trHeight w:val="300"/>
        </w:trPr>
        <w:tc>
          <w:tcPr>
            <w:tcW w:w="2411" w:type="dxa"/>
          </w:tcPr>
          <w:p w14:paraId="6AC9E343"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EE5827" w:rsidRPr="005C6D75" w:rsidRDefault="00EE5827" w:rsidP="00EE582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37163A83" w:rsidR="00EE5827" w:rsidRPr="005C6D75" w:rsidRDefault="00EE5827" w:rsidP="00EE582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940423" w:rsidRPr="00940423">
              <w:rPr>
                <w:rFonts w:ascii="Times New Roman" w:eastAsia="Times New Roman" w:hAnsi="Times New Roman" w:cs="Times New Roman"/>
                <w:b/>
                <w:bCs/>
                <w:color w:val="000000"/>
                <w14:ligatures w14:val="none"/>
              </w:rPr>
              <w:t>24</w:t>
            </w:r>
            <w:r w:rsidRPr="00940423">
              <w:rPr>
                <w:rFonts w:ascii="Times New Roman" w:eastAsia="Times New Roman" w:hAnsi="Times New Roman" w:cs="Times New Roman"/>
                <w:b/>
                <w:bCs/>
                <w:color w:val="000000"/>
                <w14:ligatures w14:val="none"/>
              </w:rPr>
              <w:t xml:space="preserve"> </w:t>
            </w:r>
            <w:r w:rsidRPr="005C6D75">
              <w:rPr>
                <w:rFonts w:ascii="Times New Roman" w:eastAsia="Times New Roman" w:hAnsi="Times New Roman" w:cs="Times New Roman"/>
                <w:b/>
                <w:bCs/>
                <w:color w:val="000000"/>
                <w14:ligatures w14:val="none"/>
              </w:rPr>
              <w:t>(d</w:t>
            </w:r>
            <w:r w:rsidR="00940423">
              <w:rPr>
                <w:rFonts w:ascii="Times New Roman" w:eastAsia="Times New Roman" w:hAnsi="Times New Roman" w:cs="Times New Roman"/>
                <w:b/>
                <w:bCs/>
                <w:color w:val="000000"/>
                <w14:ligatures w14:val="none"/>
              </w:rPr>
              <w:t>videšimt keturis</w:t>
            </w:r>
            <w:r w:rsidRPr="005C6D75">
              <w:rPr>
                <w:rFonts w:ascii="Times New Roman" w:eastAsia="Times New Roman" w:hAnsi="Times New Roman" w:cs="Times New Roman"/>
                <w:b/>
                <w:bCs/>
                <w:color w:val="000000"/>
                <w14:ligatures w14:val="none"/>
              </w:rPr>
              <w:t>) mėnesi</w:t>
            </w:r>
            <w:r w:rsidR="00940423">
              <w:rPr>
                <w:rFonts w:ascii="Times New Roman" w:eastAsia="Times New Roman" w:hAnsi="Times New Roman" w:cs="Times New Roman"/>
                <w:b/>
                <w:bCs/>
                <w:color w:val="000000"/>
                <w14:ligatures w14:val="none"/>
              </w:rPr>
              <w:t>us</w:t>
            </w:r>
            <w:r w:rsidRPr="005C6D75">
              <w:rPr>
                <w:rFonts w:ascii="Times New Roman" w:eastAsia="Times New Roman" w:hAnsi="Times New Roman" w:cs="Times New Roman"/>
                <w:b/>
                <w:bCs/>
                <w:color w:val="000000"/>
                <w14:ligatures w14:val="none"/>
              </w:rPr>
              <w:t>.</w:t>
            </w:r>
          </w:p>
        </w:tc>
      </w:tr>
      <w:tr w:rsidR="00EE5827" w:rsidRPr="005C6D75" w14:paraId="4D49AC1D" w14:textId="77777777" w:rsidTr="007D0188">
        <w:trPr>
          <w:trHeight w:val="704"/>
        </w:trPr>
        <w:tc>
          <w:tcPr>
            <w:tcW w:w="2411" w:type="dxa"/>
          </w:tcPr>
          <w:p w14:paraId="1959BB67"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EE5827" w:rsidRPr="005C6D75" w:rsidRDefault="00EE5827" w:rsidP="00EE5827">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EE5827" w:rsidRPr="005C6D75" w14:paraId="63DF92F3" w14:textId="77777777" w:rsidTr="007D0188">
        <w:trPr>
          <w:trHeight w:val="300"/>
        </w:trPr>
        <w:tc>
          <w:tcPr>
            <w:tcW w:w="10251" w:type="dxa"/>
            <w:gridSpan w:val="4"/>
          </w:tcPr>
          <w:p w14:paraId="1E5CA98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EE5827" w:rsidRPr="005C6D75" w14:paraId="01509C18" w14:textId="77777777" w:rsidTr="007D0188">
        <w:trPr>
          <w:trHeight w:val="300"/>
        </w:trPr>
        <w:tc>
          <w:tcPr>
            <w:tcW w:w="2411" w:type="dxa"/>
          </w:tcPr>
          <w:p w14:paraId="1315735C" w14:textId="77777777" w:rsidR="00EE5827" w:rsidRPr="005C6D75" w:rsidRDefault="00EE5827" w:rsidP="00EE5827">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EE5827" w:rsidRPr="005C6D75" w:rsidRDefault="00EE5827" w:rsidP="00EE582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EE5827" w:rsidRPr="005C6D75" w14:paraId="4967F426" w14:textId="77777777" w:rsidTr="007D0188">
        <w:trPr>
          <w:trHeight w:val="300"/>
        </w:trPr>
        <w:tc>
          <w:tcPr>
            <w:tcW w:w="2411" w:type="dxa"/>
          </w:tcPr>
          <w:p w14:paraId="0C80E6F7"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EE5827" w:rsidRPr="005C6D75" w:rsidRDefault="00EE5827" w:rsidP="00EE5827">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EE5827" w:rsidRPr="005C6D75" w:rsidRDefault="00EE5827" w:rsidP="00EE5827">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EE5827" w:rsidRPr="005C6D75" w14:paraId="1FB0F9D5" w14:textId="77777777" w:rsidTr="007D0188">
        <w:trPr>
          <w:trHeight w:val="300"/>
        </w:trPr>
        <w:tc>
          <w:tcPr>
            <w:tcW w:w="10251" w:type="dxa"/>
            <w:gridSpan w:val="4"/>
          </w:tcPr>
          <w:p w14:paraId="340E326B" w14:textId="77777777" w:rsidR="00EE5827" w:rsidRPr="005C6D75" w:rsidRDefault="00EE5827" w:rsidP="00EE5827">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EE5827" w:rsidRPr="005C6D75" w14:paraId="33F429B7" w14:textId="77777777" w:rsidTr="007D0188">
        <w:trPr>
          <w:trHeight w:val="983"/>
        </w:trPr>
        <w:tc>
          <w:tcPr>
            <w:tcW w:w="2411" w:type="dxa"/>
          </w:tcPr>
          <w:p w14:paraId="636D1461"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EE5827" w:rsidRPr="00951D41" w:rsidRDefault="00EE5827" w:rsidP="00EE5827">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EE5827" w:rsidRPr="00951D41" w:rsidRDefault="00EE5827" w:rsidP="00EE5827">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EE5827" w:rsidRPr="00951D41" w:rsidRDefault="00EE5827" w:rsidP="00EE5827">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EE5827" w:rsidRPr="00951D41" w:rsidRDefault="00EE5827" w:rsidP="00EE5827">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EE5827" w:rsidRPr="005C6D75" w:rsidRDefault="00EE5827" w:rsidP="00EE5827">
            <w:pPr>
              <w:spacing w:after="0" w:line="240" w:lineRule="auto"/>
              <w:jc w:val="both"/>
              <w:rPr>
                <w:rFonts w:ascii="Times New Roman" w:eastAsia="Times New Roman" w:hAnsi="Times New Roman" w:cs="Times New Roman"/>
                <w:b/>
                <w:bCs/>
                <w14:ligatures w14:val="none"/>
              </w:rPr>
            </w:pPr>
          </w:p>
        </w:tc>
      </w:tr>
      <w:tr w:rsidR="00EE5827" w:rsidRPr="005C6D75" w14:paraId="7AD6A5EF" w14:textId="77777777" w:rsidTr="007D0188">
        <w:trPr>
          <w:trHeight w:val="573"/>
        </w:trPr>
        <w:tc>
          <w:tcPr>
            <w:tcW w:w="2411" w:type="dxa"/>
          </w:tcPr>
          <w:p w14:paraId="38F11DD5"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EE5827" w:rsidRPr="005C6D75" w:rsidRDefault="00EE5827" w:rsidP="00EE5827">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EE5827" w:rsidRPr="005C6D75" w14:paraId="0C463CC3" w14:textId="77777777" w:rsidTr="007D0188">
        <w:trPr>
          <w:trHeight w:val="300"/>
        </w:trPr>
        <w:tc>
          <w:tcPr>
            <w:tcW w:w="10251" w:type="dxa"/>
            <w:gridSpan w:val="4"/>
          </w:tcPr>
          <w:p w14:paraId="17A8BFB5"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EE5827" w:rsidRPr="005C6D75" w14:paraId="16749F63" w14:textId="77777777" w:rsidTr="007D0188">
        <w:trPr>
          <w:trHeight w:val="485"/>
        </w:trPr>
        <w:tc>
          <w:tcPr>
            <w:tcW w:w="2411" w:type="dxa"/>
          </w:tcPr>
          <w:p w14:paraId="7D95C773"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EE5827" w:rsidRPr="005C6D75" w:rsidRDefault="00EE5827" w:rsidP="00EE582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EE5827" w:rsidRPr="005C6D75" w14:paraId="6A45303B" w14:textId="77777777" w:rsidTr="007D0188">
        <w:trPr>
          <w:trHeight w:val="167"/>
        </w:trPr>
        <w:tc>
          <w:tcPr>
            <w:tcW w:w="10251" w:type="dxa"/>
            <w:gridSpan w:val="4"/>
          </w:tcPr>
          <w:p w14:paraId="13136638"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EE5827" w:rsidRPr="005C6D75" w14:paraId="3D9894E3" w14:textId="77777777" w:rsidTr="007D0188">
        <w:trPr>
          <w:trHeight w:val="167"/>
        </w:trPr>
        <w:tc>
          <w:tcPr>
            <w:tcW w:w="2411" w:type="dxa"/>
          </w:tcPr>
          <w:p w14:paraId="7B5848FB"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EE5827" w:rsidRPr="005C6D75" w:rsidRDefault="00EE5827" w:rsidP="00EE582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EE5827" w:rsidRPr="005C6D75" w14:paraId="0DACAF3A" w14:textId="77777777" w:rsidTr="007D0188">
        <w:trPr>
          <w:trHeight w:val="167"/>
        </w:trPr>
        <w:tc>
          <w:tcPr>
            <w:tcW w:w="2411" w:type="dxa"/>
          </w:tcPr>
          <w:p w14:paraId="21949D70"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EE5827" w:rsidRPr="005C6D75" w:rsidRDefault="00EE5827" w:rsidP="00EE582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EE5827" w:rsidRPr="005C6D75" w14:paraId="69E38364" w14:textId="77777777" w:rsidTr="007D0188">
        <w:tc>
          <w:tcPr>
            <w:tcW w:w="10251" w:type="dxa"/>
            <w:gridSpan w:val="4"/>
          </w:tcPr>
          <w:p w14:paraId="34CAF9F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EE5827" w:rsidRPr="005C6D75" w14:paraId="0F3CA7CE" w14:textId="77777777" w:rsidTr="007D0188">
        <w:tc>
          <w:tcPr>
            <w:tcW w:w="4152" w:type="dxa"/>
            <w:gridSpan w:val="2"/>
          </w:tcPr>
          <w:p w14:paraId="5834824C"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EE5827" w:rsidRPr="005C6D75" w14:paraId="5336B752" w14:textId="77777777" w:rsidTr="007D0188">
        <w:trPr>
          <w:trHeight w:val="409"/>
        </w:trPr>
        <w:tc>
          <w:tcPr>
            <w:tcW w:w="4152" w:type="dxa"/>
            <w:gridSpan w:val="2"/>
            <w:vAlign w:val="center"/>
          </w:tcPr>
          <w:p w14:paraId="24FE4EB2" w14:textId="77777777" w:rsidR="00EE5827" w:rsidRPr="005C6D75" w:rsidRDefault="00EE5827" w:rsidP="00EE5827">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A330" w14:textId="77777777" w:rsidR="006A0229" w:rsidRDefault="006A0229" w:rsidP="005C6D75">
      <w:pPr>
        <w:spacing w:after="0" w:line="240" w:lineRule="auto"/>
      </w:pPr>
      <w:r>
        <w:separator/>
      </w:r>
    </w:p>
  </w:endnote>
  <w:endnote w:type="continuationSeparator" w:id="0">
    <w:p w14:paraId="28E38743" w14:textId="77777777" w:rsidR="006A0229" w:rsidRDefault="006A0229"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4C00" w14:textId="77777777" w:rsidR="006A0229" w:rsidRDefault="006A0229" w:rsidP="005C6D75">
      <w:pPr>
        <w:spacing w:after="0" w:line="240" w:lineRule="auto"/>
      </w:pPr>
      <w:r>
        <w:separator/>
      </w:r>
    </w:p>
  </w:footnote>
  <w:footnote w:type="continuationSeparator" w:id="0">
    <w:p w14:paraId="2F9D456B" w14:textId="77777777" w:rsidR="006A0229" w:rsidRDefault="006A0229"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8158EC"/>
    <w:multiLevelType w:val="hybridMultilevel"/>
    <w:tmpl w:val="40A8E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236522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61C0D"/>
    <w:rsid w:val="0007654C"/>
    <w:rsid w:val="000972A1"/>
    <w:rsid w:val="000A7EC1"/>
    <w:rsid w:val="000D39A1"/>
    <w:rsid w:val="000E1B57"/>
    <w:rsid w:val="00134C2F"/>
    <w:rsid w:val="00144769"/>
    <w:rsid w:val="0015626D"/>
    <w:rsid w:val="00160125"/>
    <w:rsid w:val="00163E11"/>
    <w:rsid w:val="00190C3E"/>
    <w:rsid w:val="00191AA7"/>
    <w:rsid w:val="00192AB7"/>
    <w:rsid w:val="001A5802"/>
    <w:rsid w:val="00250DD2"/>
    <w:rsid w:val="00254B07"/>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4787F"/>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76CD5"/>
    <w:rsid w:val="005C451C"/>
    <w:rsid w:val="005C6D75"/>
    <w:rsid w:val="005E397E"/>
    <w:rsid w:val="005F594D"/>
    <w:rsid w:val="005F7D5F"/>
    <w:rsid w:val="0062118D"/>
    <w:rsid w:val="006768FB"/>
    <w:rsid w:val="00687C79"/>
    <w:rsid w:val="00697E84"/>
    <w:rsid w:val="006A0229"/>
    <w:rsid w:val="006D69CC"/>
    <w:rsid w:val="006E465D"/>
    <w:rsid w:val="00707EAA"/>
    <w:rsid w:val="00763B86"/>
    <w:rsid w:val="00776B01"/>
    <w:rsid w:val="00786A21"/>
    <w:rsid w:val="00790F66"/>
    <w:rsid w:val="0079200A"/>
    <w:rsid w:val="007A24E7"/>
    <w:rsid w:val="007C6064"/>
    <w:rsid w:val="007F4508"/>
    <w:rsid w:val="00862B6D"/>
    <w:rsid w:val="0086537A"/>
    <w:rsid w:val="00886350"/>
    <w:rsid w:val="008D2BD8"/>
    <w:rsid w:val="008E5536"/>
    <w:rsid w:val="008F5F76"/>
    <w:rsid w:val="009037F6"/>
    <w:rsid w:val="00922C6E"/>
    <w:rsid w:val="00930393"/>
    <w:rsid w:val="00940054"/>
    <w:rsid w:val="00940423"/>
    <w:rsid w:val="00951D41"/>
    <w:rsid w:val="009571FB"/>
    <w:rsid w:val="009663D6"/>
    <w:rsid w:val="009713DA"/>
    <w:rsid w:val="0098234A"/>
    <w:rsid w:val="0098539E"/>
    <w:rsid w:val="009B022A"/>
    <w:rsid w:val="009B0608"/>
    <w:rsid w:val="009B24D2"/>
    <w:rsid w:val="009C00F0"/>
    <w:rsid w:val="009C7425"/>
    <w:rsid w:val="00A3696B"/>
    <w:rsid w:val="00A43490"/>
    <w:rsid w:val="00A548CB"/>
    <w:rsid w:val="00A82EC0"/>
    <w:rsid w:val="00A97764"/>
    <w:rsid w:val="00AA3CDA"/>
    <w:rsid w:val="00AB5D3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037A"/>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E5827"/>
    <w:rsid w:val="00EF3B5D"/>
    <w:rsid w:val="00F36F25"/>
    <w:rsid w:val="00F40FFE"/>
    <w:rsid w:val="00F5158F"/>
    <w:rsid w:val="00F54557"/>
    <w:rsid w:val="00F66207"/>
    <w:rsid w:val="00F8052A"/>
    <w:rsid w:val="00F90D95"/>
    <w:rsid w:val="00FA3647"/>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0750BC"/>
    <w:rsid w:val="00144769"/>
    <w:rsid w:val="004E03C7"/>
    <w:rsid w:val="00505130"/>
    <w:rsid w:val="00517CBC"/>
    <w:rsid w:val="007C6064"/>
    <w:rsid w:val="0086537A"/>
    <w:rsid w:val="009C7425"/>
    <w:rsid w:val="00A312B1"/>
    <w:rsid w:val="00A82EC0"/>
    <w:rsid w:val="00B469D3"/>
    <w:rsid w:val="00C6037A"/>
    <w:rsid w:val="00CA1D88"/>
    <w:rsid w:val="00CB6C73"/>
    <w:rsid w:val="00D963A1"/>
    <w:rsid w:val="00E45231"/>
    <w:rsid w:val="00EC6FE3"/>
    <w:rsid w:val="00F36F25"/>
    <w:rsid w:val="00FA3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48</Pages>
  <Words>96416</Words>
  <Characters>54958</Characters>
  <Application>Microsoft Office Word</Application>
  <DocSecurity>0</DocSecurity>
  <Lines>457</Lines>
  <Paragraphs>302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105</cp:revision>
  <dcterms:created xsi:type="dcterms:W3CDTF">2023-11-27T13:21:00Z</dcterms:created>
  <dcterms:modified xsi:type="dcterms:W3CDTF">2026-07-02T04:36:00Z</dcterms:modified>
</cp:coreProperties>
</file>