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A414" w14:textId="77777777" w:rsidR="008428EC" w:rsidRPr="00330BAA" w:rsidRDefault="008428EC" w:rsidP="008428EC">
      <w:pPr>
        <w:keepNext/>
        <w:keepLines/>
        <w:suppressAutoHyphens/>
        <w:autoSpaceDN w:val="0"/>
        <w:spacing w:before="120"/>
        <w:jc w:val="right"/>
        <w:outlineLvl w:val="1"/>
        <w:rPr>
          <w:rFonts w:ascii="Aptos" w:eastAsia="Calibri" w:hAnsi="Aptos"/>
        </w:rPr>
      </w:pPr>
      <w:bookmarkStart w:id="0" w:name="_Ref38539939"/>
      <w:bookmarkStart w:id="1" w:name="_Ref38541068"/>
      <w:bookmarkStart w:id="2" w:name="_Ref38885053"/>
      <w:bookmarkStart w:id="3" w:name="_Ref38899023"/>
      <w:bookmarkStart w:id="4" w:name="_Toc97291364"/>
      <w:r w:rsidRPr="00330BAA">
        <w:rPr>
          <w:rFonts w:ascii="Aptos" w:eastAsia="Calibri" w:hAnsi="Aptos"/>
        </w:rPr>
        <w:t>1 priedas „Techninė specifikacija“</w:t>
      </w:r>
      <w:bookmarkEnd w:id="0"/>
      <w:bookmarkEnd w:id="1"/>
      <w:bookmarkEnd w:id="2"/>
      <w:bookmarkEnd w:id="3"/>
      <w:bookmarkEnd w:id="4"/>
    </w:p>
    <w:p w14:paraId="16636F6E" w14:textId="77777777" w:rsidR="008428EC" w:rsidRPr="00330BAA" w:rsidRDefault="008428EC" w:rsidP="008428EC">
      <w:pPr>
        <w:suppressAutoHyphens/>
        <w:autoSpaceDN w:val="0"/>
        <w:spacing w:after="160" w:line="276" w:lineRule="auto"/>
        <w:rPr>
          <w:rFonts w:ascii="Aptos" w:eastAsia="Calibri" w:hAnsi="Aptos" w:cs="Arial"/>
        </w:rPr>
      </w:pPr>
    </w:p>
    <w:p w14:paraId="7FB69DEF" w14:textId="77777777" w:rsidR="008428EC" w:rsidRPr="0055727A" w:rsidRDefault="008428EC" w:rsidP="008428EC">
      <w:pPr>
        <w:suppressAutoHyphens/>
        <w:autoSpaceDN w:val="0"/>
        <w:spacing w:after="240" w:line="276" w:lineRule="auto"/>
        <w:jc w:val="center"/>
        <w:rPr>
          <w:rFonts w:ascii="Aptos" w:eastAsia="Calibri" w:hAnsi="Aptos"/>
          <w:b/>
          <w:bCs/>
          <w:caps/>
          <w:spacing w:val="20"/>
          <w:sz w:val="24"/>
          <w:szCs w:val="24"/>
        </w:rPr>
      </w:pPr>
      <w:r w:rsidRPr="0055727A">
        <w:rPr>
          <w:rFonts w:ascii="Aptos" w:eastAsia="Calibri" w:hAnsi="Aptos"/>
          <w:b/>
          <w:bCs/>
          <w:caps/>
          <w:spacing w:val="20"/>
          <w:sz w:val="24"/>
          <w:szCs w:val="24"/>
        </w:rPr>
        <w:t>TECHNINĖ SPECIFIKACIJA</w:t>
      </w:r>
    </w:p>
    <w:p w14:paraId="1BD5C4E6" w14:textId="77777777" w:rsidR="008428EC" w:rsidRPr="00330BAA" w:rsidRDefault="008428EC" w:rsidP="001C5705">
      <w:pPr>
        <w:numPr>
          <w:ilvl w:val="0"/>
          <w:numId w:val="1"/>
        </w:numPr>
        <w:tabs>
          <w:tab w:val="left" w:pos="-796"/>
        </w:tabs>
        <w:suppressAutoHyphens/>
        <w:autoSpaceDN w:val="0"/>
        <w:spacing w:before="40" w:after="40" w:line="251" w:lineRule="auto"/>
        <w:ind w:right="-567"/>
        <w:jc w:val="both"/>
        <w:rPr>
          <w:rFonts w:ascii="Aptos" w:eastAsia="Calibri" w:hAnsi="Aptos"/>
          <w:b/>
          <w:lang w:eastAsia="en-US"/>
        </w:rPr>
      </w:pPr>
      <w:r w:rsidRPr="00330BAA">
        <w:rPr>
          <w:rFonts w:ascii="Aptos" w:eastAsia="Calibri" w:hAnsi="Aptos"/>
          <w:b/>
          <w:lang w:eastAsia="en-US"/>
        </w:rPr>
        <w:t>SĄVOKOS IR SUTRUMPINIMAI</w:t>
      </w:r>
    </w:p>
    <w:p w14:paraId="72EF74C2" w14:textId="77777777" w:rsidR="008428EC" w:rsidRPr="00330BAA" w:rsidRDefault="008428EC" w:rsidP="0055727A">
      <w:pPr>
        <w:numPr>
          <w:ilvl w:val="1"/>
          <w:numId w:val="2"/>
        </w:numPr>
        <w:tabs>
          <w:tab w:val="left" w:pos="284"/>
        </w:tabs>
        <w:suppressAutoHyphens/>
        <w:autoSpaceDN w:val="0"/>
        <w:spacing w:before="40" w:after="40" w:line="251" w:lineRule="auto"/>
        <w:ind w:left="788" w:right="-567" w:hanging="431"/>
        <w:jc w:val="both"/>
        <w:rPr>
          <w:rFonts w:ascii="Aptos" w:eastAsia="Aptos" w:hAnsi="Aptos"/>
          <w:kern w:val="3"/>
          <w:lang w:eastAsia="en-US"/>
        </w:rPr>
      </w:pPr>
      <w:r w:rsidRPr="00330BAA">
        <w:rPr>
          <w:rFonts w:ascii="Aptos" w:eastAsia="Calibri" w:hAnsi="Aptos"/>
          <w:b/>
          <w:lang w:eastAsia="en-US"/>
        </w:rPr>
        <w:t xml:space="preserve">Perkančioji organizacija / Užsakovas – </w:t>
      </w:r>
      <w:r w:rsidRPr="00330BAA">
        <w:rPr>
          <w:rFonts w:ascii="Aptos" w:eastAsia="Calibri" w:hAnsi="Aptos"/>
          <w:bCs/>
          <w:lang w:eastAsia="en-US"/>
        </w:rPr>
        <w:t>UAB „Toksika“,</w:t>
      </w:r>
      <w:r w:rsidRPr="00330BAA">
        <w:rPr>
          <w:rFonts w:ascii="Aptos" w:eastAsia="Calibri" w:hAnsi="Aptos"/>
          <w:lang w:eastAsia="en-US"/>
        </w:rPr>
        <w:t xml:space="preserve"> </w:t>
      </w:r>
      <w:r w:rsidRPr="00330BAA">
        <w:rPr>
          <w:rFonts w:ascii="Aptos" w:eastAsia="Calibri" w:hAnsi="Aptos"/>
          <w:bCs/>
          <w:lang w:eastAsia="en-US"/>
        </w:rPr>
        <w:t>įm. k. 244670310, Kuro g. 15, Vilnius</w:t>
      </w:r>
    </w:p>
    <w:p w14:paraId="675F2212" w14:textId="77777777" w:rsidR="008428EC" w:rsidRPr="00330BAA" w:rsidRDefault="008428EC" w:rsidP="0055727A">
      <w:pPr>
        <w:numPr>
          <w:ilvl w:val="1"/>
          <w:numId w:val="2"/>
        </w:numPr>
        <w:tabs>
          <w:tab w:val="left" w:pos="284"/>
        </w:tabs>
        <w:suppressAutoHyphens/>
        <w:autoSpaceDN w:val="0"/>
        <w:spacing w:before="40" w:after="40" w:line="251" w:lineRule="auto"/>
        <w:ind w:left="788" w:right="-567" w:hanging="431"/>
        <w:jc w:val="both"/>
        <w:rPr>
          <w:rFonts w:ascii="Aptos" w:eastAsia="Aptos" w:hAnsi="Aptos"/>
          <w:kern w:val="3"/>
          <w:lang w:eastAsia="en-US"/>
        </w:rPr>
      </w:pPr>
      <w:r w:rsidRPr="00330BAA">
        <w:rPr>
          <w:rFonts w:ascii="Aptos" w:eastAsia="Calibri" w:hAnsi="Aptos"/>
          <w:b/>
          <w:lang w:eastAsia="en-US"/>
        </w:rPr>
        <w:t>Tiekėjas</w:t>
      </w:r>
      <w:r w:rsidRPr="00330BAA">
        <w:rPr>
          <w:rFonts w:ascii="Aptos" w:eastAsia="Calibri" w:hAnsi="Aptos"/>
          <w:bCs/>
          <w:lang w:eastAsia="en-US"/>
        </w:rPr>
        <w:t>– ūkio subjektas – fizinis asmuo, privatus juridinis asmuo, viešas juridinis asmuo, kitos organizacijos ir jų padaliniai ar tokių asmenų grupė, su kuriuo Užsakovas sudaro Sutartį.</w:t>
      </w:r>
    </w:p>
    <w:p w14:paraId="47AB0672" w14:textId="77777777" w:rsidR="008428EC" w:rsidRPr="00330BAA" w:rsidRDefault="008428EC" w:rsidP="0055727A">
      <w:pPr>
        <w:numPr>
          <w:ilvl w:val="1"/>
          <w:numId w:val="2"/>
        </w:numPr>
        <w:tabs>
          <w:tab w:val="left" w:pos="284"/>
        </w:tabs>
        <w:suppressAutoHyphens/>
        <w:autoSpaceDN w:val="0"/>
        <w:spacing w:before="40" w:after="40" w:line="251" w:lineRule="auto"/>
        <w:ind w:left="788" w:right="-567" w:hanging="431"/>
        <w:jc w:val="both"/>
        <w:rPr>
          <w:rFonts w:ascii="Aptos" w:eastAsia="Aptos" w:hAnsi="Aptos"/>
          <w:kern w:val="3"/>
          <w:lang w:eastAsia="en-US"/>
        </w:rPr>
      </w:pPr>
      <w:r w:rsidRPr="00330BAA">
        <w:rPr>
          <w:rFonts w:ascii="Aptos" w:eastAsia="Calibri" w:hAnsi="Aptos"/>
          <w:b/>
          <w:lang w:eastAsia="en-US"/>
        </w:rPr>
        <w:t>Sutartis</w:t>
      </w:r>
      <w:r w:rsidRPr="00330BAA">
        <w:rPr>
          <w:rFonts w:ascii="Aptos" w:eastAsia="Calibri" w:hAnsi="Aptos"/>
          <w:bCs/>
          <w:lang w:eastAsia="en-US"/>
        </w:rPr>
        <w:t xml:space="preserve"> – Sutartis, sudaroma tarp rangovo ir Užsakovo dėl Pirkimo objekto.</w:t>
      </w:r>
    </w:p>
    <w:p w14:paraId="07233190" w14:textId="77777777" w:rsidR="008428EC" w:rsidRPr="00330BAA" w:rsidRDefault="008428EC" w:rsidP="0055727A">
      <w:pPr>
        <w:tabs>
          <w:tab w:val="left" w:pos="284"/>
        </w:tabs>
        <w:suppressAutoHyphens/>
        <w:autoSpaceDN w:val="0"/>
        <w:spacing w:before="40" w:after="40"/>
        <w:ind w:left="788" w:right="-567"/>
        <w:jc w:val="both"/>
        <w:rPr>
          <w:rFonts w:ascii="Aptos" w:eastAsia="Calibri" w:hAnsi="Aptos"/>
          <w:bCs/>
          <w:lang w:eastAsia="en-US"/>
        </w:rPr>
      </w:pPr>
    </w:p>
    <w:p w14:paraId="6C31153C" w14:textId="77777777" w:rsidR="008428EC" w:rsidRPr="00330BAA" w:rsidRDefault="008428EC" w:rsidP="0055727A">
      <w:pPr>
        <w:numPr>
          <w:ilvl w:val="0"/>
          <w:numId w:val="2"/>
        </w:numPr>
        <w:tabs>
          <w:tab w:val="left" w:pos="-796"/>
        </w:tabs>
        <w:suppressAutoHyphens/>
        <w:autoSpaceDN w:val="0"/>
        <w:spacing w:before="40" w:after="40" w:line="251" w:lineRule="auto"/>
        <w:ind w:right="-567"/>
        <w:contextualSpacing/>
        <w:jc w:val="both"/>
        <w:rPr>
          <w:rFonts w:ascii="Aptos" w:eastAsia="Aptos" w:hAnsi="Aptos"/>
          <w:b/>
          <w:kern w:val="3"/>
          <w:lang w:eastAsia="en-US"/>
        </w:rPr>
      </w:pPr>
      <w:r w:rsidRPr="00330BAA">
        <w:rPr>
          <w:rFonts w:ascii="Aptos" w:eastAsia="Calibri" w:hAnsi="Aptos"/>
          <w:b/>
          <w:lang w:eastAsia="en-US"/>
        </w:rPr>
        <w:t>PIRKIMO OBJEKTAS</w:t>
      </w:r>
    </w:p>
    <w:p w14:paraId="32089A48" w14:textId="484179B7" w:rsidR="008428EC" w:rsidRPr="00330BAA" w:rsidRDefault="008428EC" w:rsidP="0055727A">
      <w:pPr>
        <w:numPr>
          <w:ilvl w:val="1"/>
          <w:numId w:val="2"/>
        </w:numPr>
        <w:tabs>
          <w:tab w:val="left" w:pos="-2092"/>
        </w:tabs>
        <w:suppressAutoHyphens/>
        <w:autoSpaceDN w:val="0"/>
        <w:spacing w:before="40" w:after="40" w:line="251" w:lineRule="auto"/>
        <w:ind w:right="-567"/>
        <w:contextualSpacing/>
        <w:jc w:val="both"/>
        <w:rPr>
          <w:rFonts w:ascii="Aptos" w:eastAsia="Aptos" w:hAnsi="Aptos"/>
          <w:kern w:val="3"/>
          <w:lang w:eastAsia="en-US"/>
        </w:rPr>
      </w:pPr>
      <w:r w:rsidRPr="00330BAA">
        <w:rPr>
          <w:rFonts w:ascii="Aptos" w:eastAsia="Calibri" w:hAnsi="Aptos"/>
          <w:b/>
          <w:lang w:eastAsia="en-US"/>
        </w:rPr>
        <w:t xml:space="preserve">Pirkimo objektas – </w:t>
      </w:r>
      <w:r w:rsidRPr="00330BAA">
        <w:rPr>
          <w:rFonts w:ascii="Aptos" w:eastAsia="Calibri" w:hAnsi="Aptos"/>
          <w:bCs/>
          <w:lang w:eastAsia="en-US"/>
        </w:rPr>
        <w:t xml:space="preserve">Gyvsidabrio analizatorius (toliau – Prekės), (BVPŽ kodas: 38434560-9). </w:t>
      </w:r>
    </w:p>
    <w:p w14:paraId="79A854C2" w14:textId="024ECD17" w:rsidR="008428EC" w:rsidRPr="00330BAA" w:rsidRDefault="007E56FA" w:rsidP="0055727A">
      <w:pPr>
        <w:numPr>
          <w:ilvl w:val="1"/>
          <w:numId w:val="2"/>
        </w:numPr>
        <w:tabs>
          <w:tab w:val="left" w:pos="-2092"/>
        </w:tabs>
        <w:suppressAutoHyphens/>
        <w:autoSpaceDN w:val="0"/>
        <w:spacing w:before="40" w:after="40" w:line="251" w:lineRule="auto"/>
        <w:ind w:right="-567"/>
        <w:contextualSpacing/>
        <w:jc w:val="both"/>
        <w:rPr>
          <w:rFonts w:ascii="Aptos" w:eastAsia="Arial" w:hAnsi="Aptos"/>
          <w:lang w:eastAsia="en-US"/>
        </w:rPr>
      </w:pPr>
      <w:r w:rsidRPr="00330BAA">
        <w:rPr>
          <w:rFonts w:ascii="Aptos" w:eastAsia="Arial" w:hAnsi="Aptos"/>
          <w:lang w:eastAsia="en-US"/>
        </w:rPr>
        <w:t>Perkamas gyvsidabrio analizatorius, skirtas gyvsidabrio koncentracijai nustatyti kietuose ir skystuose mėginiuose, kartu su visa būtina įranga, automatiniais mėginių padavimo įrenginiais, programine įranga, kompiuteriu, montavimu, paleidimu, mokymais ir eksploatacinių dalių rinkiniu ir</w:t>
      </w:r>
      <w:r w:rsidR="008428EC" w:rsidRPr="00330BAA">
        <w:rPr>
          <w:rFonts w:ascii="Aptos" w:eastAsia="Arial" w:hAnsi="Aptos"/>
          <w:lang w:eastAsia="en-US"/>
        </w:rPr>
        <w:t xml:space="preserve"> atitinkantis minimalius lentelėje nurodytus reikalavimus:</w:t>
      </w:r>
    </w:p>
    <w:p w14:paraId="0A37501D" w14:textId="67255FF7" w:rsidR="00C0741A" w:rsidRPr="00330BAA" w:rsidRDefault="00C0741A" w:rsidP="3929BA62">
      <w:pPr>
        <w:spacing w:line="360" w:lineRule="auto"/>
        <w:jc w:val="center"/>
        <w:rPr>
          <w:rFonts w:ascii="Aptos" w:hAnsi="Aptos"/>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478"/>
        <w:gridCol w:w="7562"/>
      </w:tblGrid>
      <w:tr w:rsidR="008428EC" w:rsidRPr="00330BAA" w14:paraId="773DE6CA" w14:textId="77777777" w:rsidTr="00B1389A">
        <w:tc>
          <w:tcPr>
            <w:tcW w:w="876" w:type="dxa"/>
            <w:shd w:val="clear" w:color="auto" w:fill="F2F2F2" w:themeFill="background1" w:themeFillShade="F2"/>
            <w:vAlign w:val="center"/>
          </w:tcPr>
          <w:p w14:paraId="5E088F5F" w14:textId="77777777" w:rsidR="008428EC" w:rsidRPr="00330BAA" w:rsidRDefault="008428EC" w:rsidP="00815467">
            <w:pPr>
              <w:contextualSpacing/>
              <w:jc w:val="center"/>
              <w:rPr>
                <w:rFonts w:ascii="Aptos" w:eastAsia="Calibri" w:hAnsi="Aptos"/>
              </w:rPr>
            </w:pPr>
            <w:r w:rsidRPr="00330BAA">
              <w:rPr>
                <w:rFonts w:ascii="Aptos" w:hAnsi="Aptos"/>
              </w:rPr>
              <w:t>Eil. Nr.</w:t>
            </w:r>
          </w:p>
        </w:tc>
        <w:tc>
          <w:tcPr>
            <w:tcW w:w="2478" w:type="dxa"/>
            <w:shd w:val="clear" w:color="auto" w:fill="F2F2F2" w:themeFill="background1" w:themeFillShade="F2"/>
            <w:vAlign w:val="center"/>
          </w:tcPr>
          <w:p w14:paraId="09711425" w14:textId="77777777" w:rsidR="008428EC" w:rsidRPr="00330BAA" w:rsidRDefault="008428EC" w:rsidP="00815467">
            <w:pPr>
              <w:jc w:val="center"/>
              <w:rPr>
                <w:rFonts w:ascii="Aptos" w:hAnsi="Aptos"/>
              </w:rPr>
            </w:pPr>
            <w:r w:rsidRPr="00330BAA">
              <w:rPr>
                <w:rFonts w:ascii="Aptos" w:hAnsi="Aptos"/>
              </w:rPr>
              <w:t>Pirkimo objekto parametras</w:t>
            </w:r>
          </w:p>
        </w:tc>
        <w:tc>
          <w:tcPr>
            <w:tcW w:w="7562" w:type="dxa"/>
            <w:shd w:val="clear" w:color="auto" w:fill="F2F2F2" w:themeFill="background1" w:themeFillShade="F2"/>
            <w:vAlign w:val="center"/>
          </w:tcPr>
          <w:p w14:paraId="521E80BE" w14:textId="77777777" w:rsidR="008428EC" w:rsidRPr="00330BAA" w:rsidRDefault="008428EC" w:rsidP="00815467">
            <w:pPr>
              <w:jc w:val="center"/>
              <w:rPr>
                <w:rFonts w:ascii="Aptos" w:hAnsi="Aptos"/>
              </w:rPr>
            </w:pPr>
            <w:r w:rsidRPr="00330BAA">
              <w:rPr>
                <w:rFonts w:ascii="Aptos" w:hAnsi="Aptos"/>
              </w:rPr>
              <w:t>Pirkimo objekto reikalaujama parametro charakteristika</w:t>
            </w:r>
          </w:p>
        </w:tc>
      </w:tr>
      <w:tr w:rsidR="008428EC" w:rsidRPr="00330BAA" w14:paraId="3EE42847" w14:textId="77777777" w:rsidTr="00B1389A">
        <w:tc>
          <w:tcPr>
            <w:tcW w:w="876" w:type="dxa"/>
            <w:shd w:val="clear" w:color="auto" w:fill="F2F2F2" w:themeFill="background1" w:themeFillShade="F2"/>
          </w:tcPr>
          <w:p w14:paraId="1CCBD78F" w14:textId="77777777" w:rsidR="008428EC" w:rsidRPr="00330BAA" w:rsidRDefault="008428EC" w:rsidP="00815467">
            <w:pPr>
              <w:contextualSpacing/>
              <w:jc w:val="center"/>
              <w:rPr>
                <w:rFonts w:ascii="Aptos" w:eastAsia="Calibri" w:hAnsi="Aptos"/>
                <w:spacing w:val="-1"/>
              </w:rPr>
            </w:pPr>
            <w:r w:rsidRPr="00330BAA">
              <w:rPr>
                <w:rFonts w:ascii="Aptos" w:eastAsia="Calibri" w:hAnsi="Aptos"/>
              </w:rPr>
              <w:t>1</w:t>
            </w:r>
          </w:p>
        </w:tc>
        <w:tc>
          <w:tcPr>
            <w:tcW w:w="2478" w:type="dxa"/>
            <w:shd w:val="clear" w:color="auto" w:fill="F2F2F2" w:themeFill="background1" w:themeFillShade="F2"/>
          </w:tcPr>
          <w:p w14:paraId="53194C4F" w14:textId="77777777" w:rsidR="008428EC" w:rsidRPr="00330BAA" w:rsidRDefault="008428EC" w:rsidP="00815467">
            <w:pPr>
              <w:jc w:val="center"/>
              <w:rPr>
                <w:rFonts w:ascii="Aptos" w:hAnsi="Aptos"/>
              </w:rPr>
            </w:pPr>
            <w:r w:rsidRPr="00330BAA">
              <w:rPr>
                <w:rFonts w:ascii="Aptos" w:eastAsia="Calibri" w:hAnsi="Aptos"/>
              </w:rPr>
              <w:t>2</w:t>
            </w:r>
          </w:p>
        </w:tc>
        <w:tc>
          <w:tcPr>
            <w:tcW w:w="7562" w:type="dxa"/>
            <w:shd w:val="clear" w:color="auto" w:fill="F2F2F2" w:themeFill="background1" w:themeFillShade="F2"/>
          </w:tcPr>
          <w:p w14:paraId="0C9157DB" w14:textId="77777777" w:rsidR="008428EC" w:rsidRPr="00330BAA" w:rsidRDefault="008428EC" w:rsidP="00815467">
            <w:pPr>
              <w:jc w:val="center"/>
              <w:rPr>
                <w:rFonts w:ascii="Aptos" w:hAnsi="Aptos"/>
                <w:spacing w:val="2"/>
              </w:rPr>
            </w:pPr>
            <w:r w:rsidRPr="00330BAA">
              <w:rPr>
                <w:rFonts w:ascii="Aptos" w:eastAsia="Calibri" w:hAnsi="Aptos"/>
              </w:rPr>
              <w:t>3</w:t>
            </w:r>
          </w:p>
        </w:tc>
      </w:tr>
      <w:tr w:rsidR="008428EC" w:rsidRPr="00330BAA" w14:paraId="78329FA2" w14:textId="77777777" w:rsidTr="00B1389A">
        <w:tc>
          <w:tcPr>
            <w:tcW w:w="876" w:type="dxa"/>
          </w:tcPr>
          <w:p w14:paraId="51E9FCB7" w14:textId="77777777" w:rsidR="008428EC" w:rsidRPr="00330BAA" w:rsidRDefault="008428EC" w:rsidP="00815467">
            <w:pPr>
              <w:contextualSpacing/>
              <w:jc w:val="center"/>
              <w:rPr>
                <w:rFonts w:ascii="Aptos" w:eastAsia="Calibri" w:hAnsi="Aptos"/>
              </w:rPr>
            </w:pPr>
            <w:r w:rsidRPr="00330BAA">
              <w:rPr>
                <w:rFonts w:ascii="Aptos" w:eastAsia="Calibri" w:hAnsi="Aptos"/>
              </w:rPr>
              <w:t>1.</w:t>
            </w:r>
          </w:p>
        </w:tc>
        <w:tc>
          <w:tcPr>
            <w:tcW w:w="2478" w:type="dxa"/>
          </w:tcPr>
          <w:p w14:paraId="1890D8EA" w14:textId="77777777" w:rsidR="008428EC" w:rsidRPr="00330BAA" w:rsidRDefault="008428EC" w:rsidP="00815467">
            <w:pPr>
              <w:jc w:val="center"/>
              <w:rPr>
                <w:rFonts w:ascii="Aptos" w:eastAsia="Calibri" w:hAnsi="Aptos"/>
              </w:rPr>
            </w:pPr>
            <w:r w:rsidRPr="00330BAA">
              <w:rPr>
                <w:rFonts w:ascii="Aptos" w:eastAsia="Calibri" w:hAnsi="Aptos"/>
              </w:rPr>
              <w:t>Gyvsidabrio analizatoriaus aprašymas</w:t>
            </w:r>
          </w:p>
        </w:tc>
        <w:tc>
          <w:tcPr>
            <w:tcW w:w="7562" w:type="dxa"/>
          </w:tcPr>
          <w:p w14:paraId="07DE5A15" w14:textId="77777777" w:rsidR="008428EC" w:rsidRPr="00330BAA" w:rsidRDefault="008428EC" w:rsidP="00815467">
            <w:pPr>
              <w:jc w:val="both"/>
              <w:rPr>
                <w:rFonts w:ascii="Aptos" w:eastAsia="Calibri" w:hAnsi="Aptos"/>
              </w:rPr>
            </w:pPr>
            <w:r w:rsidRPr="00330BAA">
              <w:rPr>
                <w:rFonts w:ascii="Aptos" w:eastAsia="Calibri" w:hAnsi="Aptos"/>
              </w:rPr>
              <w:t>Laboratorinis analizatorius su automatiniais kietų ir skystų mėginių padavimo įrenginiais (autosampleriais), analizei ir prietaiso valdymui skirta programine įranga ir personaliniu kompiuteriu.</w:t>
            </w:r>
          </w:p>
        </w:tc>
      </w:tr>
      <w:tr w:rsidR="008428EC" w:rsidRPr="00330BAA" w14:paraId="28963FD9" w14:textId="77777777" w:rsidTr="00B1389A">
        <w:tc>
          <w:tcPr>
            <w:tcW w:w="876" w:type="dxa"/>
            <w:vAlign w:val="center"/>
          </w:tcPr>
          <w:p w14:paraId="4922F90B" w14:textId="77777777" w:rsidR="008428EC" w:rsidRPr="00330BAA" w:rsidRDefault="008428EC" w:rsidP="00815467">
            <w:pPr>
              <w:contextualSpacing/>
              <w:jc w:val="center"/>
              <w:rPr>
                <w:rFonts w:ascii="Aptos" w:eastAsia="Calibri" w:hAnsi="Aptos"/>
              </w:rPr>
            </w:pPr>
            <w:r w:rsidRPr="00330BAA">
              <w:rPr>
                <w:rFonts w:ascii="Aptos" w:eastAsia="Calibri" w:hAnsi="Aptos"/>
              </w:rPr>
              <w:t>1.1</w:t>
            </w:r>
          </w:p>
        </w:tc>
        <w:tc>
          <w:tcPr>
            <w:tcW w:w="2478" w:type="dxa"/>
            <w:vAlign w:val="center"/>
          </w:tcPr>
          <w:p w14:paraId="5DB90A1D" w14:textId="77777777" w:rsidR="008428EC" w:rsidRPr="00330BAA" w:rsidRDefault="008428EC" w:rsidP="00815467">
            <w:pPr>
              <w:jc w:val="center"/>
              <w:rPr>
                <w:rFonts w:ascii="Aptos" w:hAnsi="Aptos"/>
              </w:rPr>
            </w:pPr>
            <w:r w:rsidRPr="00330BAA">
              <w:rPr>
                <w:rFonts w:ascii="Aptos" w:hAnsi="Aptos"/>
              </w:rPr>
              <w:t>Paskirtis</w:t>
            </w:r>
          </w:p>
        </w:tc>
        <w:tc>
          <w:tcPr>
            <w:tcW w:w="7562" w:type="dxa"/>
          </w:tcPr>
          <w:p w14:paraId="1EC5E2B0" w14:textId="77777777" w:rsidR="008428EC" w:rsidRPr="00330BAA" w:rsidRDefault="008428EC" w:rsidP="00815467">
            <w:pPr>
              <w:jc w:val="both"/>
              <w:rPr>
                <w:rFonts w:ascii="Aptos" w:hAnsi="Aptos"/>
              </w:rPr>
            </w:pPr>
            <w:r w:rsidRPr="00330BAA">
              <w:rPr>
                <w:rFonts w:ascii="Aptos" w:hAnsi="Aptos"/>
              </w:rPr>
              <w:t>Gyvsidabrio koncentracijos matavimas kietuose ir skystuose organiniuose, neorganiniuose mėginiuose.</w:t>
            </w:r>
          </w:p>
        </w:tc>
      </w:tr>
      <w:tr w:rsidR="008428EC" w:rsidRPr="00330BAA" w14:paraId="1413E2DE" w14:textId="77777777" w:rsidTr="00B1389A">
        <w:tc>
          <w:tcPr>
            <w:tcW w:w="876" w:type="dxa"/>
            <w:vAlign w:val="center"/>
          </w:tcPr>
          <w:p w14:paraId="271C2D5E" w14:textId="77777777" w:rsidR="008428EC" w:rsidRPr="00330BAA" w:rsidRDefault="008428EC" w:rsidP="00815467">
            <w:pPr>
              <w:contextualSpacing/>
              <w:jc w:val="center"/>
              <w:rPr>
                <w:rFonts w:ascii="Aptos" w:eastAsia="Calibri" w:hAnsi="Aptos"/>
              </w:rPr>
            </w:pPr>
            <w:r w:rsidRPr="00330BAA">
              <w:rPr>
                <w:rFonts w:ascii="Aptos" w:eastAsia="Calibri" w:hAnsi="Aptos"/>
              </w:rPr>
              <w:t>1.2</w:t>
            </w:r>
          </w:p>
        </w:tc>
        <w:tc>
          <w:tcPr>
            <w:tcW w:w="2478" w:type="dxa"/>
            <w:vAlign w:val="center"/>
          </w:tcPr>
          <w:p w14:paraId="7F053833" w14:textId="77777777" w:rsidR="008428EC" w:rsidRPr="00330BAA" w:rsidRDefault="008428EC" w:rsidP="00815467">
            <w:pPr>
              <w:jc w:val="center"/>
              <w:rPr>
                <w:rFonts w:ascii="Aptos" w:hAnsi="Aptos"/>
              </w:rPr>
            </w:pPr>
            <w:r w:rsidRPr="00330BAA">
              <w:rPr>
                <w:rFonts w:ascii="Aptos" w:hAnsi="Aptos"/>
              </w:rPr>
              <w:t>Mėginio paruošimas</w:t>
            </w:r>
          </w:p>
        </w:tc>
        <w:tc>
          <w:tcPr>
            <w:tcW w:w="7562" w:type="dxa"/>
          </w:tcPr>
          <w:p w14:paraId="064A008E" w14:textId="77777777" w:rsidR="008428EC" w:rsidRPr="00330BAA" w:rsidRDefault="008428EC" w:rsidP="00815467">
            <w:pPr>
              <w:jc w:val="both"/>
              <w:rPr>
                <w:rFonts w:ascii="Aptos" w:hAnsi="Aptos"/>
              </w:rPr>
            </w:pPr>
            <w:r w:rsidRPr="00330BAA">
              <w:rPr>
                <w:rFonts w:ascii="Aptos" w:hAnsi="Aptos"/>
              </w:rPr>
              <w:t>Kietuose mėginiuose matavimas turi būti atliekamas tiesiogiai, be išankstinio mėginio paruošimo, termiškai suardant mėginį.</w:t>
            </w:r>
          </w:p>
          <w:p w14:paraId="6003FD28" w14:textId="77777777" w:rsidR="008428EC" w:rsidRPr="00330BAA" w:rsidRDefault="008428EC" w:rsidP="00815467">
            <w:pPr>
              <w:jc w:val="both"/>
              <w:rPr>
                <w:rFonts w:ascii="Aptos" w:hAnsi="Aptos"/>
              </w:rPr>
            </w:pPr>
            <w:r w:rsidRPr="00330BAA">
              <w:rPr>
                <w:rFonts w:ascii="Aptos" w:hAnsi="Aptos"/>
              </w:rPr>
              <w:t>Skystų mėginių mineralizavimas ir redukcija iki elementinio gyvsidabrio turi būti atliekama automatizuotai skystų mėginių autosampleryje.</w:t>
            </w:r>
          </w:p>
        </w:tc>
      </w:tr>
      <w:tr w:rsidR="008428EC" w:rsidRPr="00330BAA" w14:paraId="4D7A7432" w14:textId="77777777" w:rsidTr="00B1389A">
        <w:tc>
          <w:tcPr>
            <w:tcW w:w="876" w:type="dxa"/>
            <w:vAlign w:val="center"/>
          </w:tcPr>
          <w:p w14:paraId="59F31160" w14:textId="77777777" w:rsidR="008428EC" w:rsidRPr="00330BAA" w:rsidRDefault="008428EC" w:rsidP="00815467">
            <w:pPr>
              <w:contextualSpacing/>
              <w:jc w:val="center"/>
              <w:rPr>
                <w:rFonts w:ascii="Aptos" w:eastAsia="Calibri" w:hAnsi="Aptos"/>
              </w:rPr>
            </w:pPr>
            <w:r w:rsidRPr="00330BAA">
              <w:rPr>
                <w:rFonts w:ascii="Aptos" w:eastAsia="Calibri" w:hAnsi="Aptos"/>
              </w:rPr>
              <w:t>1.3</w:t>
            </w:r>
          </w:p>
        </w:tc>
        <w:tc>
          <w:tcPr>
            <w:tcW w:w="2478" w:type="dxa"/>
            <w:vAlign w:val="center"/>
          </w:tcPr>
          <w:p w14:paraId="5CEE6897" w14:textId="77777777" w:rsidR="008428EC" w:rsidRPr="00330BAA" w:rsidRDefault="008428EC" w:rsidP="00815467">
            <w:pPr>
              <w:jc w:val="center"/>
              <w:rPr>
                <w:rFonts w:ascii="Aptos" w:hAnsi="Aptos"/>
              </w:rPr>
            </w:pPr>
            <w:r w:rsidRPr="00330BAA">
              <w:rPr>
                <w:rFonts w:ascii="Aptos" w:hAnsi="Aptos"/>
              </w:rPr>
              <w:t>Optinė matavimo sistema</w:t>
            </w:r>
          </w:p>
        </w:tc>
        <w:tc>
          <w:tcPr>
            <w:tcW w:w="7562" w:type="dxa"/>
          </w:tcPr>
          <w:p w14:paraId="412F4518" w14:textId="77777777" w:rsidR="008428EC" w:rsidRPr="00330BAA" w:rsidRDefault="008428EC" w:rsidP="00815467">
            <w:pPr>
              <w:jc w:val="both"/>
              <w:rPr>
                <w:rFonts w:ascii="Aptos" w:hAnsi="Aptos"/>
              </w:rPr>
            </w:pPr>
            <w:r w:rsidRPr="00330BAA">
              <w:rPr>
                <w:rFonts w:ascii="Aptos" w:hAnsi="Aptos"/>
              </w:rPr>
              <w:t>Ne mažiau nei trijų optinių spindulių, ne mažiau nei dviejų skirtingo optinio kelio matavimo celių nuosekliame išdėstyme, su automatine matavimo diapazono nustatymo funkcija.</w:t>
            </w:r>
          </w:p>
        </w:tc>
      </w:tr>
      <w:tr w:rsidR="008428EC" w:rsidRPr="00330BAA" w14:paraId="7EDBC8CC" w14:textId="77777777" w:rsidTr="00B1389A">
        <w:tc>
          <w:tcPr>
            <w:tcW w:w="876" w:type="dxa"/>
            <w:vAlign w:val="center"/>
          </w:tcPr>
          <w:p w14:paraId="6DC89121" w14:textId="77777777" w:rsidR="008428EC" w:rsidRPr="00330BAA" w:rsidRDefault="008428EC" w:rsidP="00815467">
            <w:pPr>
              <w:contextualSpacing/>
              <w:jc w:val="center"/>
              <w:rPr>
                <w:rFonts w:ascii="Aptos" w:eastAsia="Calibri" w:hAnsi="Aptos"/>
              </w:rPr>
            </w:pPr>
            <w:r w:rsidRPr="00330BAA">
              <w:rPr>
                <w:rFonts w:ascii="Aptos" w:eastAsia="Calibri" w:hAnsi="Aptos"/>
              </w:rPr>
              <w:t>1.4</w:t>
            </w:r>
          </w:p>
        </w:tc>
        <w:tc>
          <w:tcPr>
            <w:tcW w:w="2478" w:type="dxa"/>
            <w:vAlign w:val="center"/>
          </w:tcPr>
          <w:p w14:paraId="42749F91" w14:textId="77777777" w:rsidR="008428EC" w:rsidRPr="00330BAA" w:rsidRDefault="008428EC" w:rsidP="00815467">
            <w:pPr>
              <w:jc w:val="center"/>
              <w:rPr>
                <w:rFonts w:ascii="Aptos" w:hAnsi="Aptos"/>
              </w:rPr>
            </w:pPr>
            <w:r w:rsidRPr="00330BAA">
              <w:rPr>
                <w:rFonts w:ascii="Aptos" w:hAnsi="Aptos"/>
              </w:rPr>
              <w:t>Šviesos šaltinis</w:t>
            </w:r>
          </w:p>
        </w:tc>
        <w:tc>
          <w:tcPr>
            <w:tcW w:w="7562" w:type="dxa"/>
          </w:tcPr>
          <w:p w14:paraId="0F1A4BD4" w14:textId="77777777" w:rsidR="008428EC" w:rsidRPr="00330BAA" w:rsidRDefault="008428EC" w:rsidP="00815467">
            <w:pPr>
              <w:jc w:val="both"/>
              <w:rPr>
                <w:rFonts w:ascii="Aptos" w:hAnsi="Aptos"/>
              </w:rPr>
            </w:pPr>
            <w:r w:rsidRPr="00330BAA">
              <w:rPr>
                <w:rFonts w:ascii="Aptos" w:hAnsi="Aptos"/>
              </w:rPr>
              <w:t>Žemo slėgio gyvsidabrio iškrovos lempa, spinduliuojanti 253,7 nm bangos ilgio šviesą.</w:t>
            </w:r>
          </w:p>
        </w:tc>
      </w:tr>
      <w:tr w:rsidR="008428EC" w:rsidRPr="00330BAA" w14:paraId="36BC0C3F" w14:textId="77777777" w:rsidTr="00B1389A">
        <w:tc>
          <w:tcPr>
            <w:tcW w:w="876" w:type="dxa"/>
            <w:vAlign w:val="center"/>
          </w:tcPr>
          <w:p w14:paraId="50B33092" w14:textId="77777777" w:rsidR="008428EC" w:rsidRPr="00330BAA" w:rsidRDefault="008428EC" w:rsidP="00815467">
            <w:pPr>
              <w:contextualSpacing/>
              <w:jc w:val="center"/>
              <w:rPr>
                <w:rFonts w:ascii="Aptos" w:eastAsia="Calibri" w:hAnsi="Aptos"/>
              </w:rPr>
            </w:pPr>
            <w:r w:rsidRPr="00330BAA">
              <w:rPr>
                <w:rFonts w:ascii="Aptos" w:eastAsia="Calibri" w:hAnsi="Aptos"/>
              </w:rPr>
              <w:t>1.5</w:t>
            </w:r>
          </w:p>
        </w:tc>
        <w:tc>
          <w:tcPr>
            <w:tcW w:w="2478" w:type="dxa"/>
            <w:vAlign w:val="center"/>
          </w:tcPr>
          <w:p w14:paraId="055B31A0" w14:textId="77777777" w:rsidR="008428EC" w:rsidRPr="00330BAA" w:rsidRDefault="008428EC" w:rsidP="00815467">
            <w:pPr>
              <w:jc w:val="center"/>
              <w:rPr>
                <w:rFonts w:ascii="Aptos" w:hAnsi="Aptos"/>
              </w:rPr>
            </w:pPr>
            <w:r w:rsidRPr="00330BAA">
              <w:rPr>
                <w:rFonts w:ascii="Aptos" w:hAnsi="Aptos"/>
              </w:rPr>
              <w:t>Detektavimo riba</w:t>
            </w:r>
          </w:p>
        </w:tc>
        <w:tc>
          <w:tcPr>
            <w:tcW w:w="7562" w:type="dxa"/>
          </w:tcPr>
          <w:p w14:paraId="168B7FC6" w14:textId="77777777" w:rsidR="008428EC" w:rsidRPr="00330BAA" w:rsidRDefault="008428EC" w:rsidP="00815467">
            <w:pPr>
              <w:jc w:val="both"/>
              <w:rPr>
                <w:rFonts w:ascii="Aptos" w:hAnsi="Aptos"/>
              </w:rPr>
            </w:pPr>
            <w:r w:rsidRPr="00330BAA">
              <w:rPr>
                <w:rFonts w:ascii="Aptos" w:hAnsi="Aptos"/>
              </w:rPr>
              <w:t>Detektavimo riba kietiems mėginiams ne didesnė nei 0,001ng; skystiems mėginiams, naudojant mineralizavimą ir redukciją ne didesnė nei 1 ppt.</w:t>
            </w:r>
          </w:p>
          <w:p w14:paraId="00B18EB3" w14:textId="77777777" w:rsidR="008428EC" w:rsidRPr="00330BAA" w:rsidRDefault="008428EC" w:rsidP="00815467">
            <w:pPr>
              <w:jc w:val="both"/>
              <w:rPr>
                <w:rFonts w:ascii="Aptos" w:hAnsi="Aptos"/>
              </w:rPr>
            </w:pPr>
          </w:p>
        </w:tc>
      </w:tr>
      <w:tr w:rsidR="008428EC" w:rsidRPr="00330BAA" w14:paraId="31BE3537" w14:textId="77777777" w:rsidTr="00B1389A">
        <w:tc>
          <w:tcPr>
            <w:tcW w:w="876" w:type="dxa"/>
            <w:vAlign w:val="center"/>
          </w:tcPr>
          <w:p w14:paraId="672E8E99" w14:textId="77777777" w:rsidR="008428EC" w:rsidRPr="00330BAA" w:rsidRDefault="008428EC" w:rsidP="00815467">
            <w:pPr>
              <w:contextualSpacing/>
              <w:jc w:val="center"/>
              <w:rPr>
                <w:rFonts w:ascii="Aptos" w:eastAsia="Calibri" w:hAnsi="Aptos"/>
              </w:rPr>
            </w:pPr>
            <w:r w:rsidRPr="00330BAA">
              <w:rPr>
                <w:rFonts w:ascii="Aptos" w:eastAsia="Calibri" w:hAnsi="Aptos"/>
              </w:rPr>
              <w:t>1.6</w:t>
            </w:r>
          </w:p>
        </w:tc>
        <w:tc>
          <w:tcPr>
            <w:tcW w:w="2478" w:type="dxa"/>
            <w:vAlign w:val="center"/>
          </w:tcPr>
          <w:p w14:paraId="0021745A" w14:textId="77777777" w:rsidR="008428EC" w:rsidRPr="00330BAA" w:rsidRDefault="008428EC" w:rsidP="00815467">
            <w:pPr>
              <w:jc w:val="center"/>
              <w:rPr>
                <w:rFonts w:ascii="Aptos" w:hAnsi="Aptos"/>
              </w:rPr>
            </w:pPr>
            <w:r w:rsidRPr="00330BAA">
              <w:rPr>
                <w:rFonts w:ascii="Aptos" w:hAnsi="Aptos"/>
              </w:rPr>
              <w:t>Didžiausia matavimo riba</w:t>
            </w:r>
          </w:p>
        </w:tc>
        <w:tc>
          <w:tcPr>
            <w:tcW w:w="7562" w:type="dxa"/>
          </w:tcPr>
          <w:p w14:paraId="1E796256" w14:textId="77777777" w:rsidR="008428EC" w:rsidRPr="00330BAA" w:rsidRDefault="008428EC" w:rsidP="00815467">
            <w:pPr>
              <w:jc w:val="both"/>
              <w:rPr>
                <w:rFonts w:ascii="Aptos" w:hAnsi="Aptos"/>
              </w:rPr>
            </w:pPr>
            <w:r w:rsidRPr="00330BAA">
              <w:rPr>
                <w:rFonts w:ascii="Aptos" w:hAnsi="Aptos"/>
              </w:rPr>
              <w:t>Didžiausia matavimo riba kietiems mėginiams ne mažesnė kaip 70µg; skystiems mėginiams, naudojant mineralizavimą ir redukciją ne mažesnė kaip 100 ppb.</w:t>
            </w:r>
          </w:p>
        </w:tc>
      </w:tr>
      <w:tr w:rsidR="008428EC" w:rsidRPr="00330BAA" w14:paraId="7C22BDFC" w14:textId="77777777" w:rsidTr="00B1389A">
        <w:tc>
          <w:tcPr>
            <w:tcW w:w="876" w:type="dxa"/>
            <w:vAlign w:val="center"/>
          </w:tcPr>
          <w:p w14:paraId="690C5B24" w14:textId="77777777" w:rsidR="008428EC" w:rsidRPr="00330BAA" w:rsidRDefault="008428EC" w:rsidP="00815467">
            <w:pPr>
              <w:contextualSpacing/>
              <w:jc w:val="center"/>
              <w:rPr>
                <w:rFonts w:ascii="Aptos" w:eastAsia="Calibri" w:hAnsi="Aptos"/>
              </w:rPr>
            </w:pPr>
            <w:r w:rsidRPr="00330BAA">
              <w:rPr>
                <w:rFonts w:ascii="Aptos" w:eastAsia="Calibri" w:hAnsi="Aptos"/>
              </w:rPr>
              <w:t>1.7</w:t>
            </w:r>
          </w:p>
        </w:tc>
        <w:tc>
          <w:tcPr>
            <w:tcW w:w="2478" w:type="dxa"/>
            <w:vAlign w:val="center"/>
          </w:tcPr>
          <w:p w14:paraId="1A115DF4" w14:textId="77777777" w:rsidR="008428EC" w:rsidRPr="00330BAA" w:rsidRDefault="008428EC" w:rsidP="00815467">
            <w:pPr>
              <w:jc w:val="center"/>
              <w:rPr>
                <w:rFonts w:ascii="Aptos" w:hAnsi="Aptos"/>
              </w:rPr>
            </w:pPr>
            <w:r w:rsidRPr="00330BAA">
              <w:rPr>
                <w:rFonts w:ascii="Aptos" w:hAnsi="Aptos"/>
              </w:rPr>
              <w:t>Analizės trukmė</w:t>
            </w:r>
          </w:p>
        </w:tc>
        <w:tc>
          <w:tcPr>
            <w:tcW w:w="7562" w:type="dxa"/>
          </w:tcPr>
          <w:p w14:paraId="274E265E" w14:textId="77777777" w:rsidR="008428EC" w:rsidRPr="00330BAA" w:rsidRDefault="008428EC" w:rsidP="00815467">
            <w:pPr>
              <w:jc w:val="both"/>
              <w:rPr>
                <w:rFonts w:ascii="Aptos" w:hAnsi="Aptos"/>
              </w:rPr>
            </w:pPr>
            <w:r w:rsidRPr="00330BAA">
              <w:rPr>
                <w:rFonts w:ascii="Aptos" w:hAnsi="Aptos"/>
              </w:rPr>
              <w:t>Kietiems mėginiams ne ilgesnė nei 7 min.</w:t>
            </w:r>
          </w:p>
        </w:tc>
      </w:tr>
      <w:tr w:rsidR="008428EC" w:rsidRPr="00330BAA" w14:paraId="7EA1AB0E" w14:textId="77777777" w:rsidTr="00B1389A">
        <w:tc>
          <w:tcPr>
            <w:tcW w:w="876" w:type="dxa"/>
            <w:vAlign w:val="center"/>
          </w:tcPr>
          <w:p w14:paraId="5BDF6495" w14:textId="77777777" w:rsidR="008428EC" w:rsidRPr="00330BAA" w:rsidRDefault="008428EC" w:rsidP="00815467">
            <w:pPr>
              <w:contextualSpacing/>
              <w:jc w:val="center"/>
              <w:rPr>
                <w:rFonts w:ascii="Aptos" w:eastAsia="Calibri" w:hAnsi="Aptos"/>
              </w:rPr>
            </w:pPr>
            <w:r w:rsidRPr="00330BAA">
              <w:rPr>
                <w:rFonts w:ascii="Aptos" w:eastAsia="Calibri" w:hAnsi="Aptos"/>
              </w:rPr>
              <w:t>1.8</w:t>
            </w:r>
          </w:p>
        </w:tc>
        <w:tc>
          <w:tcPr>
            <w:tcW w:w="2478" w:type="dxa"/>
            <w:vAlign w:val="center"/>
          </w:tcPr>
          <w:p w14:paraId="242281AC" w14:textId="77777777" w:rsidR="008428EC" w:rsidRPr="00330BAA" w:rsidRDefault="008428EC" w:rsidP="00815467">
            <w:pPr>
              <w:jc w:val="center"/>
              <w:rPr>
                <w:rFonts w:ascii="Aptos" w:hAnsi="Aptos"/>
              </w:rPr>
            </w:pPr>
            <w:r w:rsidRPr="00330BAA">
              <w:rPr>
                <w:rFonts w:ascii="Aptos" w:hAnsi="Aptos"/>
              </w:rPr>
              <w:t>Kiti analizatoriaus funkcionalumai</w:t>
            </w:r>
          </w:p>
        </w:tc>
        <w:tc>
          <w:tcPr>
            <w:tcW w:w="7562" w:type="dxa"/>
          </w:tcPr>
          <w:p w14:paraId="5AD55948" w14:textId="77777777" w:rsidR="008428EC" w:rsidRPr="00330BAA" w:rsidRDefault="008428EC" w:rsidP="00815467">
            <w:pPr>
              <w:jc w:val="both"/>
              <w:rPr>
                <w:rFonts w:ascii="Aptos" w:hAnsi="Aptos"/>
              </w:rPr>
            </w:pPr>
            <w:r w:rsidRPr="00330BAA">
              <w:rPr>
                <w:rFonts w:ascii="Aptos" w:hAnsi="Aptos"/>
              </w:rPr>
              <w:t xml:space="preserve">Maksimali deginimo temperatūra kvarciniame indelyje ne mažesnė nei 1000°C. </w:t>
            </w:r>
          </w:p>
          <w:p w14:paraId="45CF0908" w14:textId="77777777" w:rsidR="008428EC" w:rsidRPr="00330BAA" w:rsidRDefault="008428EC" w:rsidP="00815467">
            <w:pPr>
              <w:jc w:val="both"/>
              <w:rPr>
                <w:rFonts w:ascii="Aptos" w:hAnsi="Aptos"/>
              </w:rPr>
            </w:pPr>
            <w:r w:rsidRPr="00330BAA">
              <w:rPr>
                <w:rFonts w:ascii="Aptos" w:hAnsi="Aptos"/>
              </w:rPr>
              <w:lastRenderedPageBreak/>
              <w:t>Sudeginto mėginio dujoms praėjus pro katalizatorių laisvo elementinio Hg surinkimui bei koncentravimui turi būti naudojama aukso amalgama.</w:t>
            </w:r>
          </w:p>
          <w:p w14:paraId="329A44A2" w14:textId="77777777" w:rsidR="008428EC" w:rsidRPr="00330BAA" w:rsidRDefault="008428EC" w:rsidP="00815467">
            <w:pPr>
              <w:jc w:val="both"/>
              <w:rPr>
                <w:rFonts w:ascii="Aptos" w:hAnsi="Aptos"/>
              </w:rPr>
            </w:pPr>
            <w:r w:rsidRPr="00330BAA">
              <w:rPr>
                <w:rFonts w:ascii="Aptos" w:hAnsi="Aptos"/>
              </w:rPr>
              <w:t>Pagrindiniai fizikiniai parametrai – dujų srautai ir kaitinimo temperatūra – turi būti visą laiką sekami ir sutrikus, programiškai tuoj pat automatiškai pranešama vartotojui.</w:t>
            </w:r>
          </w:p>
          <w:p w14:paraId="6347D4B0" w14:textId="77777777" w:rsidR="008428EC" w:rsidRPr="00330BAA" w:rsidRDefault="008428EC" w:rsidP="00815467">
            <w:pPr>
              <w:jc w:val="both"/>
              <w:rPr>
                <w:rFonts w:ascii="Aptos" w:hAnsi="Aptos"/>
              </w:rPr>
            </w:pPr>
            <w:r w:rsidRPr="00330BAA">
              <w:rPr>
                <w:rFonts w:ascii="Aptos" w:hAnsi="Aptos"/>
              </w:rPr>
              <w:t>Sistemoje turi būti integruotas automatinis mėginių įvedimo įrenginys, su dėklu ne mažiau kaip 100 pozicijų kietiems mėginiams ir ne mažiau kaip 30 pozicijų skystų mėginių automatinis įrenginys (autosampleris) su automatiniu mineralizavimo ir redukuojančių reagentų dozatoriumi.</w:t>
            </w:r>
          </w:p>
          <w:p w14:paraId="55B75BF9" w14:textId="77777777" w:rsidR="008428EC" w:rsidRPr="00330BAA" w:rsidRDefault="008428EC" w:rsidP="00815467">
            <w:pPr>
              <w:jc w:val="both"/>
              <w:rPr>
                <w:rFonts w:ascii="Aptos" w:hAnsi="Aptos"/>
              </w:rPr>
            </w:pPr>
            <w:r w:rsidRPr="00330BAA">
              <w:rPr>
                <w:rFonts w:ascii="Aptos" w:hAnsi="Aptos"/>
              </w:rPr>
              <w:t>Analizuojamo mėginio kiekis ne didesnis kaip 1.5 g. arba 5 ml.</w:t>
            </w:r>
          </w:p>
          <w:p w14:paraId="765038D8" w14:textId="77777777" w:rsidR="008428EC" w:rsidRPr="00330BAA" w:rsidRDefault="008428EC" w:rsidP="00815467">
            <w:pPr>
              <w:jc w:val="both"/>
              <w:rPr>
                <w:rFonts w:ascii="Aptos" w:hAnsi="Aptos"/>
              </w:rPr>
            </w:pPr>
            <w:r w:rsidRPr="00330BAA">
              <w:rPr>
                <w:rFonts w:ascii="Aptos" w:hAnsi="Aptos"/>
              </w:rPr>
              <w:t>Naudojamos ne mažesnio nei 90% švarumo deguonies dujos.</w:t>
            </w:r>
          </w:p>
        </w:tc>
      </w:tr>
      <w:tr w:rsidR="008428EC" w:rsidRPr="00330BAA" w14:paraId="469E7D67" w14:textId="77777777" w:rsidTr="00B1389A">
        <w:tc>
          <w:tcPr>
            <w:tcW w:w="876" w:type="dxa"/>
            <w:vAlign w:val="center"/>
          </w:tcPr>
          <w:p w14:paraId="1B2C2A34" w14:textId="77777777" w:rsidR="008428EC" w:rsidRPr="00330BAA" w:rsidRDefault="008428EC" w:rsidP="00815467">
            <w:pPr>
              <w:contextualSpacing/>
              <w:jc w:val="center"/>
              <w:rPr>
                <w:rFonts w:ascii="Aptos" w:eastAsia="Calibri" w:hAnsi="Aptos"/>
              </w:rPr>
            </w:pPr>
            <w:r w:rsidRPr="00330BAA">
              <w:rPr>
                <w:rFonts w:ascii="Aptos" w:eastAsia="Calibri" w:hAnsi="Aptos"/>
              </w:rPr>
              <w:lastRenderedPageBreak/>
              <w:t>1.9</w:t>
            </w:r>
          </w:p>
        </w:tc>
        <w:tc>
          <w:tcPr>
            <w:tcW w:w="10040" w:type="dxa"/>
            <w:gridSpan w:val="2"/>
            <w:vAlign w:val="center"/>
          </w:tcPr>
          <w:p w14:paraId="085BD8F2" w14:textId="77777777" w:rsidR="008428EC" w:rsidRPr="00330BAA" w:rsidRDefault="008428EC" w:rsidP="00815467">
            <w:pPr>
              <w:jc w:val="both"/>
              <w:rPr>
                <w:rFonts w:ascii="Aptos" w:hAnsi="Aptos"/>
              </w:rPr>
            </w:pPr>
            <w:r w:rsidRPr="00330BAA">
              <w:rPr>
                <w:rFonts w:ascii="Aptos" w:hAnsi="Aptos"/>
              </w:rPr>
              <w:t>Analizatoriaus komplektacija</w:t>
            </w:r>
          </w:p>
        </w:tc>
      </w:tr>
      <w:tr w:rsidR="008428EC" w:rsidRPr="00330BAA" w14:paraId="42E985E5" w14:textId="77777777" w:rsidTr="00B1389A">
        <w:tc>
          <w:tcPr>
            <w:tcW w:w="876" w:type="dxa"/>
            <w:vAlign w:val="center"/>
          </w:tcPr>
          <w:p w14:paraId="493DA8D1" w14:textId="77777777" w:rsidR="008428EC" w:rsidRPr="00330BAA" w:rsidRDefault="008428EC" w:rsidP="00815467">
            <w:pPr>
              <w:contextualSpacing/>
              <w:jc w:val="center"/>
              <w:rPr>
                <w:rFonts w:ascii="Aptos" w:eastAsia="Calibri" w:hAnsi="Aptos"/>
              </w:rPr>
            </w:pPr>
            <w:bookmarkStart w:id="5" w:name="_Hlk87429295"/>
            <w:r w:rsidRPr="00330BAA">
              <w:rPr>
                <w:rFonts w:ascii="Aptos" w:eastAsia="Calibri" w:hAnsi="Aptos"/>
              </w:rPr>
              <w:t xml:space="preserve">  1.9.1</w:t>
            </w:r>
          </w:p>
        </w:tc>
        <w:tc>
          <w:tcPr>
            <w:tcW w:w="2478" w:type="dxa"/>
            <w:vAlign w:val="center"/>
          </w:tcPr>
          <w:p w14:paraId="5D822FF1" w14:textId="77777777" w:rsidR="008428EC" w:rsidRPr="00330BAA" w:rsidRDefault="008428EC" w:rsidP="00815467">
            <w:pPr>
              <w:jc w:val="center"/>
              <w:rPr>
                <w:rFonts w:ascii="Aptos" w:hAnsi="Aptos"/>
              </w:rPr>
            </w:pPr>
            <w:r w:rsidRPr="00330BAA">
              <w:rPr>
                <w:rFonts w:ascii="Aptos" w:hAnsi="Aptos"/>
              </w:rPr>
              <w:t>Komplektaciją turi sudaryti</w:t>
            </w:r>
          </w:p>
        </w:tc>
        <w:tc>
          <w:tcPr>
            <w:tcW w:w="7562" w:type="dxa"/>
          </w:tcPr>
          <w:p w14:paraId="66761E78" w14:textId="77777777" w:rsidR="008428EC" w:rsidRPr="00330BAA" w:rsidRDefault="008428EC" w:rsidP="00815467">
            <w:pPr>
              <w:jc w:val="both"/>
              <w:rPr>
                <w:rFonts w:ascii="Aptos" w:hAnsi="Aptos"/>
              </w:rPr>
            </w:pPr>
            <w:r w:rsidRPr="00330BAA">
              <w:rPr>
                <w:rFonts w:ascii="Aptos" w:hAnsi="Aptos"/>
              </w:rPr>
              <w:t>1. Su analizatoriumi turi būti pateikiami reduktoriai ir visi reikalingi priedai deguonies pajungimui prie pagrindinio analizatoriaus prietaiso.</w:t>
            </w:r>
          </w:p>
          <w:p w14:paraId="5C7BCD57" w14:textId="77777777" w:rsidR="008428EC" w:rsidRPr="00330BAA" w:rsidRDefault="008428EC" w:rsidP="00815467">
            <w:pPr>
              <w:jc w:val="both"/>
              <w:rPr>
                <w:rFonts w:ascii="Aptos" w:hAnsi="Aptos"/>
              </w:rPr>
            </w:pPr>
            <w:r w:rsidRPr="00330BAA">
              <w:rPr>
                <w:rFonts w:ascii="Aptos" w:hAnsi="Aptos"/>
              </w:rPr>
              <w:t>2. Su analizatoriumi turi būti pateikiamas kontroleris su instaliuota analizatoriaus programine įranga, skirta analizatoriaus valdymui, duomenų vizualizacijai ir rezultatų analizei:</w:t>
            </w:r>
          </w:p>
          <w:p w14:paraId="14816417" w14:textId="77777777" w:rsidR="008428EC" w:rsidRPr="00330BAA" w:rsidRDefault="008428EC" w:rsidP="00815467">
            <w:pPr>
              <w:jc w:val="both"/>
              <w:rPr>
                <w:rFonts w:ascii="Aptos" w:hAnsi="Aptos"/>
              </w:rPr>
            </w:pPr>
            <w:r w:rsidRPr="00330BAA">
              <w:rPr>
                <w:rFonts w:ascii="Aptos" w:hAnsi="Aptos"/>
              </w:rPr>
              <w:t>3.  Gamintojo rekomenduojamų eksploatacinių ir susidėvinčių dalių rinkiniai 1 metų darbui su prietaisu.</w:t>
            </w:r>
          </w:p>
        </w:tc>
      </w:tr>
      <w:tr w:rsidR="008428EC" w:rsidRPr="00330BAA" w14:paraId="05787569" w14:textId="77777777" w:rsidTr="00B1389A">
        <w:tc>
          <w:tcPr>
            <w:tcW w:w="876" w:type="dxa"/>
            <w:vAlign w:val="center"/>
          </w:tcPr>
          <w:p w14:paraId="13C27D3B" w14:textId="77777777" w:rsidR="008428EC" w:rsidRPr="00330BAA" w:rsidRDefault="008428EC" w:rsidP="00815467">
            <w:pPr>
              <w:contextualSpacing/>
              <w:jc w:val="center"/>
              <w:rPr>
                <w:rFonts w:ascii="Aptos" w:eastAsia="Calibri" w:hAnsi="Aptos"/>
              </w:rPr>
            </w:pPr>
            <w:r w:rsidRPr="00330BAA">
              <w:rPr>
                <w:rFonts w:ascii="Aptos" w:eastAsia="Calibri" w:hAnsi="Aptos"/>
              </w:rPr>
              <w:t>1.10</w:t>
            </w:r>
          </w:p>
        </w:tc>
        <w:tc>
          <w:tcPr>
            <w:tcW w:w="10040" w:type="dxa"/>
            <w:gridSpan w:val="2"/>
            <w:vAlign w:val="center"/>
          </w:tcPr>
          <w:p w14:paraId="274B0E83" w14:textId="77777777" w:rsidR="008428EC" w:rsidRPr="00330BAA" w:rsidRDefault="008428EC" w:rsidP="00815467">
            <w:pPr>
              <w:jc w:val="both"/>
              <w:rPr>
                <w:rFonts w:ascii="Aptos" w:hAnsi="Aptos"/>
              </w:rPr>
            </w:pPr>
            <w:r w:rsidRPr="00330BAA">
              <w:rPr>
                <w:rFonts w:ascii="Aptos" w:hAnsi="Aptos"/>
              </w:rPr>
              <w:t>Reikalavimai numatomos pirkimo pardavimo sutarties įvykdymui</w:t>
            </w:r>
          </w:p>
        </w:tc>
      </w:tr>
      <w:tr w:rsidR="008428EC" w:rsidRPr="00330BAA" w14:paraId="13E4326D" w14:textId="77777777" w:rsidTr="00B1389A">
        <w:trPr>
          <w:trHeight w:val="1894"/>
        </w:trPr>
        <w:tc>
          <w:tcPr>
            <w:tcW w:w="876" w:type="dxa"/>
            <w:vAlign w:val="center"/>
          </w:tcPr>
          <w:p w14:paraId="793CEAFF" w14:textId="77777777" w:rsidR="008428EC" w:rsidRPr="00330BAA" w:rsidRDefault="008428EC" w:rsidP="00815467">
            <w:pPr>
              <w:contextualSpacing/>
              <w:jc w:val="center"/>
              <w:rPr>
                <w:rFonts w:ascii="Aptos" w:eastAsia="Calibri" w:hAnsi="Aptos"/>
              </w:rPr>
            </w:pPr>
            <w:r w:rsidRPr="00330BAA">
              <w:rPr>
                <w:rFonts w:ascii="Aptos" w:eastAsia="Calibri" w:hAnsi="Aptos"/>
              </w:rPr>
              <w:t>1.10.1</w:t>
            </w:r>
          </w:p>
        </w:tc>
        <w:tc>
          <w:tcPr>
            <w:tcW w:w="2478" w:type="dxa"/>
            <w:vAlign w:val="center"/>
          </w:tcPr>
          <w:p w14:paraId="31103F22" w14:textId="77777777" w:rsidR="008428EC" w:rsidRPr="00330BAA" w:rsidRDefault="008428EC" w:rsidP="00815467">
            <w:pPr>
              <w:jc w:val="center"/>
              <w:rPr>
                <w:rFonts w:ascii="Aptos" w:eastAsia="Calibri" w:hAnsi="Aptos"/>
              </w:rPr>
            </w:pPr>
            <w:r w:rsidRPr="00330BAA">
              <w:rPr>
                <w:rFonts w:ascii="Aptos" w:eastAsia="Calibri" w:hAnsi="Aptos"/>
              </w:rPr>
              <w:t xml:space="preserve">Tiekėjas turi būti įgaliotas siūlomų prekių gamintojo atstovas, turintis teisę atstovauti gamintoją ir parduoti siūlomą prekę </w:t>
            </w:r>
          </w:p>
          <w:p w14:paraId="5752D6FD" w14:textId="77777777" w:rsidR="008428EC" w:rsidRPr="00330BAA" w:rsidRDefault="008428EC" w:rsidP="00815467">
            <w:pPr>
              <w:jc w:val="center"/>
              <w:rPr>
                <w:rFonts w:ascii="Aptos" w:hAnsi="Aptos"/>
              </w:rPr>
            </w:pPr>
            <w:r w:rsidRPr="00330BAA">
              <w:rPr>
                <w:rFonts w:ascii="Aptos" w:eastAsia="Calibri" w:hAnsi="Aptos"/>
              </w:rPr>
              <w:t>(taikoma gyvsidabrio analizatoriui)</w:t>
            </w:r>
          </w:p>
        </w:tc>
        <w:tc>
          <w:tcPr>
            <w:tcW w:w="7562" w:type="dxa"/>
          </w:tcPr>
          <w:p w14:paraId="200E875F" w14:textId="77777777" w:rsidR="008428EC" w:rsidRPr="00330BAA" w:rsidRDefault="008428EC" w:rsidP="00815467">
            <w:pPr>
              <w:jc w:val="both"/>
              <w:rPr>
                <w:rFonts w:ascii="Aptos" w:eastAsia="Calibri" w:hAnsi="Aptos"/>
              </w:rPr>
            </w:pPr>
            <w:r w:rsidRPr="00330BAA">
              <w:rPr>
                <w:rFonts w:ascii="Aptos" w:eastAsia="Calibri" w:hAnsi="Aptos"/>
              </w:rPr>
              <w:t xml:space="preserve">Pateikiama kartu su pasiūlymu: </w:t>
            </w:r>
          </w:p>
          <w:p w14:paraId="686C0AB8" w14:textId="77777777" w:rsidR="008428EC" w:rsidRPr="00330BAA" w:rsidRDefault="008428EC" w:rsidP="00815467">
            <w:pPr>
              <w:jc w:val="both"/>
              <w:rPr>
                <w:rFonts w:ascii="Aptos" w:hAnsi="Aptos"/>
              </w:rPr>
            </w:pPr>
            <w:r w:rsidRPr="00330BAA">
              <w:rPr>
                <w:rFonts w:ascii="Aptos" w:eastAsia="Calibri" w:hAnsi="Aptos"/>
              </w:rPr>
              <w:t>Įgaliojimas, sertifikatas arba kitas lygiavertis dokumentas, patvirtinantis, kad tiekėjas yra gamintojo įgaliotas atstovas, turintis teisę atstovauti gamintoją ir įvykdyti visus sutartinius įsipareigojimus.</w:t>
            </w:r>
          </w:p>
        </w:tc>
      </w:tr>
      <w:bookmarkEnd w:id="5"/>
      <w:tr w:rsidR="008428EC" w:rsidRPr="00330BAA" w14:paraId="0E7DFF95" w14:textId="77777777" w:rsidTr="00B1389A">
        <w:trPr>
          <w:trHeight w:val="1349"/>
        </w:trPr>
        <w:tc>
          <w:tcPr>
            <w:tcW w:w="876" w:type="dxa"/>
            <w:vAlign w:val="center"/>
          </w:tcPr>
          <w:p w14:paraId="346F438F" w14:textId="77777777" w:rsidR="008428EC" w:rsidRPr="00330BAA" w:rsidRDefault="008428EC" w:rsidP="00815467">
            <w:pPr>
              <w:contextualSpacing/>
              <w:jc w:val="center"/>
              <w:rPr>
                <w:rFonts w:ascii="Aptos" w:eastAsia="Calibri" w:hAnsi="Aptos"/>
              </w:rPr>
            </w:pPr>
            <w:r w:rsidRPr="00330BAA">
              <w:rPr>
                <w:rFonts w:ascii="Aptos" w:eastAsia="Calibri" w:hAnsi="Aptos"/>
              </w:rPr>
              <w:t>1.10.2</w:t>
            </w:r>
          </w:p>
        </w:tc>
        <w:tc>
          <w:tcPr>
            <w:tcW w:w="2478" w:type="dxa"/>
            <w:vAlign w:val="center"/>
          </w:tcPr>
          <w:p w14:paraId="2B7F9520" w14:textId="77777777" w:rsidR="008428EC" w:rsidRPr="00330BAA" w:rsidRDefault="008428EC" w:rsidP="00815467">
            <w:pPr>
              <w:jc w:val="center"/>
              <w:rPr>
                <w:rFonts w:ascii="Aptos" w:hAnsi="Aptos"/>
              </w:rPr>
            </w:pPr>
            <w:r w:rsidRPr="00330BAA">
              <w:rPr>
                <w:rFonts w:ascii="Aptos" w:hAnsi="Aptos"/>
              </w:rPr>
              <w:t>Mokymai</w:t>
            </w:r>
          </w:p>
        </w:tc>
        <w:tc>
          <w:tcPr>
            <w:tcW w:w="7562" w:type="dxa"/>
          </w:tcPr>
          <w:p w14:paraId="5888ADBD" w14:textId="77777777" w:rsidR="008428EC" w:rsidRPr="00330BAA" w:rsidRDefault="008428EC" w:rsidP="00815467">
            <w:pPr>
              <w:jc w:val="both"/>
              <w:rPr>
                <w:rFonts w:ascii="Aptos" w:hAnsi="Aptos"/>
              </w:rPr>
            </w:pPr>
            <w:r w:rsidRPr="00330BAA">
              <w:rPr>
                <w:rFonts w:ascii="Aptos" w:hAnsi="Aptos"/>
              </w:rPr>
              <w:t>Tiekėjas privalo darbo vietoje apmokinti dirbti su sistema ne mažiau kaip 2 perkančiosios organizacijos darbuotojus. Mokymai privalo vykti ne trumpiau kaip 4 valandas.</w:t>
            </w:r>
          </w:p>
        </w:tc>
      </w:tr>
      <w:tr w:rsidR="008428EC" w:rsidRPr="00330BAA" w14:paraId="0DCAD60D" w14:textId="77777777" w:rsidTr="00B1389A">
        <w:tc>
          <w:tcPr>
            <w:tcW w:w="876" w:type="dxa"/>
            <w:vAlign w:val="center"/>
          </w:tcPr>
          <w:p w14:paraId="12C2BB64" w14:textId="77777777" w:rsidR="008428EC" w:rsidRPr="00330BAA" w:rsidRDefault="008428EC" w:rsidP="00815467">
            <w:pPr>
              <w:contextualSpacing/>
              <w:jc w:val="center"/>
              <w:rPr>
                <w:rFonts w:ascii="Aptos" w:eastAsia="Calibri" w:hAnsi="Aptos"/>
              </w:rPr>
            </w:pPr>
            <w:r w:rsidRPr="00330BAA">
              <w:rPr>
                <w:rFonts w:ascii="Aptos" w:eastAsia="Calibri" w:hAnsi="Aptos"/>
              </w:rPr>
              <w:t>1.10.3.</w:t>
            </w:r>
          </w:p>
        </w:tc>
        <w:tc>
          <w:tcPr>
            <w:tcW w:w="2478" w:type="dxa"/>
            <w:vAlign w:val="center"/>
          </w:tcPr>
          <w:p w14:paraId="539BB103" w14:textId="77777777" w:rsidR="008428EC" w:rsidRPr="00330BAA" w:rsidRDefault="008428EC" w:rsidP="00815467">
            <w:pPr>
              <w:jc w:val="center"/>
              <w:rPr>
                <w:rFonts w:ascii="Aptos" w:hAnsi="Aptos"/>
              </w:rPr>
            </w:pPr>
            <w:r w:rsidRPr="00330BAA">
              <w:rPr>
                <w:rFonts w:ascii="Aptos" w:hAnsi="Aptos"/>
              </w:rPr>
              <w:t>Garantija (visai sistemai)</w:t>
            </w:r>
          </w:p>
        </w:tc>
        <w:tc>
          <w:tcPr>
            <w:tcW w:w="7562" w:type="dxa"/>
          </w:tcPr>
          <w:p w14:paraId="16E29716" w14:textId="77777777" w:rsidR="008428EC" w:rsidRPr="00330BAA" w:rsidRDefault="008428EC" w:rsidP="00815467">
            <w:pPr>
              <w:jc w:val="both"/>
              <w:rPr>
                <w:rFonts w:ascii="Aptos" w:hAnsi="Aptos"/>
              </w:rPr>
            </w:pPr>
            <w:r w:rsidRPr="00330BAA">
              <w:rPr>
                <w:rFonts w:ascii="Aptos" w:hAnsi="Aptos"/>
              </w:rPr>
              <w:t>Ne mažiau kaip 12 mėn.</w:t>
            </w:r>
          </w:p>
        </w:tc>
      </w:tr>
      <w:tr w:rsidR="008428EC" w:rsidRPr="00330BAA" w14:paraId="44C54FE5" w14:textId="77777777" w:rsidTr="00B1389A">
        <w:tc>
          <w:tcPr>
            <w:tcW w:w="876" w:type="dxa"/>
            <w:vAlign w:val="center"/>
          </w:tcPr>
          <w:p w14:paraId="398266E6" w14:textId="671F2815" w:rsidR="008428EC" w:rsidRPr="00330BAA" w:rsidRDefault="008428EC" w:rsidP="00815467">
            <w:pPr>
              <w:contextualSpacing/>
              <w:jc w:val="center"/>
              <w:rPr>
                <w:rFonts w:ascii="Aptos" w:eastAsia="Calibri" w:hAnsi="Aptos"/>
              </w:rPr>
            </w:pPr>
            <w:bookmarkStart w:id="6" w:name="_Hlk87877634"/>
            <w:r w:rsidRPr="00330BAA">
              <w:rPr>
                <w:rFonts w:ascii="Aptos" w:eastAsia="Calibri" w:hAnsi="Aptos"/>
              </w:rPr>
              <w:t>1.10.</w:t>
            </w:r>
            <w:r w:rsidR="00330BAA" w:rsidRPr="00330BAA">
              <w:rPr>
                <w:rFonts w:ascii="Aptos" w:eastAsia="Calibri" w:hAnsi="Aptos"/>
              </w:rPr>
              <w:t>4</w:t>
            </w:r>
          </w:p>
        </w:tc>
        <w:tc>
          <w:tcPr>
            <w:tcW w:w="2478" w:type="dxa"/>
            <w:vAlign w:val="center"/>
          </w:tcPr>
          <w:p w14:paraId="5AB2458B" w14:textId="77777777" w:rsidR="008428EC" w:rsidRPr="00330BAA" w:rsidRDefault="008428EC" w:rsidP="00815467">
            <w:pPr>
              <w:jc w:val="center"/>
              <w:rPr>
                <w:rFonts w:ascii="Aptos" w:hAnsi="Aptos"/>
              </w:rPr>
            </w:pPr>
            <w:r w:rsidRPr="00330BAA">
              <w:rPr>
                <w:rFonts w:ascii="Aptos" w:hAnsi="Aptos"/>
              </w:rPr>
              <w:t>CE ženklinimas</w:t>
            </w:r>
          </w:p>
        </w:tc>
        <w:tc>
          <w:tcPr>
            <w:tcW w:w="7562" w:type="dxa"/>
          </w:tcPr>
          <w:p w14:paraId="0422C3FC" w14:textId="77777777" w:rsidR="008428EC" w:rsidRPr="00330BAA" w:rsidRDefault="008428EC" w:rsidP="00815467">
            <w:pPr>
              <w:jc w:val="both"/>
              <w:rPr>
                <w:rFonts w:ascii="Aptos" w:hAnsi="Aptos"/>
              </w:rPr>
            </w:pPr>
            <w:r w:rsidRPr="00330BAA">
              <w:rPr>
                <w:rFonts w:ascii="Aptos" w:eastAsia="Calibri" w:hAnsi="Aptos"/>
              </w:rPr>
              <w:t>Siūlomos gyvsidabrio analitinės sistemos sudedamosios dalys turi atitikti CE atitikties reikalavimus, kartu su pasiūlymu turi būti pateikti tai įrodantys dokumentai.</w:t>
            </w:r>
            <w:r w:rsidRPr="00330BAA">
              <w:rPr>
                <w:rFonts w:ascii="Aptos" w:hAnsi="Aptos"/>
              </w:rPr>
              <w:t xml:space="preserve"> Pateikiama anglų ir / arba lietuvių kalba.</w:t>
            </w:r>
          </w:p>
        </w:tc>
      </w:tr>
      <w:tr w:rsidR="008428EC" w:rsidRPr="00330BAA" w14:paraId="214273D3" w14:textId="77777777" w:rsidTr="00B1389A">
        <w:tc>
          <w:tcPr>
            <w:tcW w:w="876" w:type="dxa"/>
            <w:vAlign w:val="center"/>
          </w:tcPr>
          <w:p w14:paraId="6096EA9E" w14:textId="77777777" w:rsidR="008428EC" w:rsidRPr="00330BAA" w:rsidRDefault="008428EC" w:rsidP="00815467">
            <w:pPr>
              <w:contextualSpacing/>
              <w:jc w:val="center"/>
              <w:rPr>
                <w:rFonts w:ascii="Aptos" w:eastAsia="Calibri" w:hAnsi="Aptos"/>
              </w:rPr>
            </w:pPr>
            <w:r w:rsidRPr="00330BAA">
              <w:rPr>
                <w:rFonts w:ascii="Aptos" w:eastAsia="Calibri" w:hAnsi="Aptos"/>
              </w:rPr>
              <w:t>1.11</w:t>
            </w:r>
          </w:p>
        </w:tc>
        <w:tc>
          <w:tcPr>
            <w:tcW w:w="2478" w:type="dxa"/>
            <w:vAlign w:val="center"/>
          </w:tcPr>
          <w:p w14:paraId="18B394DB" w14:textId="77777777" w:rsidR="008428EC" w:rsidRPr="00330BAA" w:rsidRDefault="008428EC" w:rsidP="00815467">
            <w:pPr>
              <w:jc w:val="center"/>
              <w:rPr>
                <w:rFonts w:ascii="Aptos" w:hAnsi="Aptos"/>
              </w:rPr>
            </w:pPr>
            <w:r w:rsidRPr="00330BAA">
              <w:rPr>
                <w:rFonts w:ascii="Aptos" w:hAnsi="Aptos"/>
              </w:rPr>
              <w:t>Kiti reikalavimai</w:t>
            </w:r>
          </w:p>
        </w:tc>
        <w:tc>
          <w:tcPr>
            <w:tcW w:w="7562" w:type="dxa"/>
          </w:tcPr>
          <w:p w14:paraId="3C6246C9" w14:textId="77777777" w:rsidR="008428EC" w:rsidRPr="00330BAA" w:rsidRDefault="008428EC" w:rsidP="00815467">
            <w:pPr>
              <w:jc w:val="both"/>
              <w:rPr>
                <w:rFonts w:ascii="Aptos" w:hAnsi="Aptos"/>
              </w:rPr>
            </w:pPr>
            <w:r w:rsidRPr="00330BAA">
              <w:rPr>
                <w:rFonts w:ascii="Aptos" w:hAnsi="Aptos"/>
              </w:rPr>
              <w:t>Visos siūlomos gyvsidabrio sistemos sudedamosios dalys turi būti suderintos tarpusavyje ir valdomos analizatoriaus programine įranga.</w:t>
            </w:r>
          </w:p>
        </w:tc>
      </w:tr>
    </w:tbl>
    <w:bookmarkEnd w:id="6"/>
    <w:p w14:paraId="1CB5B3CD" w14:textId="01BF8D67" w:rsidR="007E56FA" w:rsidRPr="00330BAA" w:rsidRDefault="007E56FA" w:rsidP="001C5705">
      <w:pPr>
        <w:pStyle w:val="ListParagraph"/>
        <w:keepNext/>
        <w:keepLines/>
        <w:numPr>
          <w:ilvl w:val="1"/>
          <w:numId w:val="2"/>
        </w:numPr>
        <w:spacing w:before="480"/>
        <w:ind w:right="-567"/>
        <w:jc w:val="both"/>
        <w:outlineLvl w:val="0"/>
        <w:rPr>
          <w:rFonts w:ascii="Aptos" w:eastAsia="MS Gothic" w:hAnsi="Aptos"/>
          <w:lang w:eastAsia="en-US"/>
        </w:rPr>
      </w:pPr>
      <w:r w:rsidRPr="00330BAA">
        <w:rPr>
          <w:rFonts w:ascii="Aptos" w:eastAsia="MS Gothic" w:hAnsi="Aptos"/>
          <w:lang w:eastAsia="en-US"/>
        </w:rPr>
        <w:lastRenderedPageBreak/>
        <w:t>Analizatorius turi būti tinkamas gyvsidabrio koncentracijai nustatyti įvairiuose kietuose ir skystuose mėginiuose, įskaitant, bet neapsiribojant: atliekų, pelenų, šlako, dumblo, filtravimo likučių, technologinių skysčių, nuotekų ar kitų laboratorinių mėginių tyrimais.</w:t>
      </w:r>
    </w:p>
    <w:p w14:paraId="759CFC43" w14:textId="4FC6E7C1" w:rsidR="00AC1D9C" w:rsidRPr="00330BAA" w:rsidRDefault="00AC1D9C" w:rsidP="001C5705">
      <w:pPr>
        <w:pStyle w:val="ListParagraph"/>
        <w:keepNext/>
        <w:keepLines/>
        <w:numPr>
          <w:ilvl w:val="1"/>
          <w:numId w:val="2"/>
        </w:numPr>
        <w:spacing w:before="480"/>
        <w:ind w:right="-567"/>
        <w:jc w:val="both"/>
        <w:outlineLvl w:val="0"/>
        <w:rPr>
          <w:rFonts w:ascii="Aptos" w:eastAsia="MS Gothic" w:hAnsi="Aptos"/>
          <w:lang w:eastAsia="en-US"/>
        </w:rPr>
      </w:pPr>
      <w:r w:rsidRPr="00330BAA">
        <w:rPr>
          <w:rFonts w:ascii="Aptos" w:eastAsia="MS Gothic" w:hAnsi="Aptos"/>
          <w:lang w:eastAsia="en-US"/>
        </w:rPr>
        <w:t>Įranga turi būti pateikiama su visa dokumentacija, naudojimo instrukcijomis, kalibravimo / patikros dokumentais, jeigu jie taikomi konkrečiai įrangai. Įranga turi turėti gamintojo CE atitikties deklaraciją arba kitus lygiaverčius dokumentus, patvirtinančius atitiktį taikomiems ES reikalavimams. Įranga turi būti tinkama naudoti Lietuvos Respublikoje veikiančioje pramoninėje laboratorinėje aplinkoje.</w:t>
      </w:r>
    </w:p>
    <w:p w14:paraId="7D50ABD7" w14:textId="77777777" w:rsidR="007E56FA" w:rsidRPr="00330BAA" w:rsidRDefault="007E56FA" w:rsidP="001C5705">
      <w:pPr>
        <w:pStyle w:val="ListParagraph"/>
        <w:keepNext/>
        <w:keepLines/>
        <w:numPr>
          <w:ilvl w:val="1"/>
          <w:numId w:val="2"/>
        </w:numPr>
        <w:spacing w:before="480"/>
        <w:ind w:right="-567"/>
        <w:jc w:val="both"/>
        <w:outlineLvl w:val="0"/>
        <w:rPr>
          <w:rFonts w:ascii="Aptos" w:eastAsia="MS Gothic" w:hAnsi="Aptos"/>
          <w:lang w:eastAsia="en-US"/>
        </w:rPr>
      </w:pPr>
      <w:r w:rsidRPr="00330BAA">
        <w:rPr>
          <w:rFonts w:ascii="Aptos" w:eastAsia="MS Gothic" w:hAnsi="Aptos"/>
          <w:lang w:eastAsia="en-US"/>
        </w:rPr>
        <w:t>Sistema turi užtikrinti matavimo rezultatų atsekamumą, kalibravimo duomenų saugojimą, analizės kreivių / matavimo protokolų archyvavimą ir rezultatų eksportą bent į PDF, Excel arba CSV formatą.</w:t>
      </w:r>
    </w:p>
    <w:p w14:paraId="0652E193" w14:textId="1ADD4451" w:rsidR="007E56FA" w:rsidRPr="00330BAA" w:rsidRDefault="007E56FA" w:rsidP="001C5705">
      <w:pPr>
        <w:pStyle w:val="ListParagraph"/>
        <w:keepNext/>
        <w:keepLines/>
        <w:numPr>
          <w:ilvl w:val="1"/>
          <w:numId w:val="2"/>
        </w:numPr>
        <w:spacing w:before="480"/>
        <w:ind w:right="-567"/>
        <w:jc w:val="both"/>
        <w:outlineLvl w:val="0"/>
        <w:rPr>
          <w:rFonts w:ascii="Aptos" w:eastAsia="MS Gothic" w:hAnsi="Aptos"/>
          <w:lang w:eastAsia="en-US"/>
        </w:rPr>
      </w:pPr>
      <w:r w:rsidRPr="00330BAA">
        <w:rPr>
          <w:rFonts w:ascii="Aptos" w:eastAsia="MS Gothic" w:hAnsi="Aptos"/>
          <w:lang w:eastAsia="en-US"/>
        </w:rPr>
        <w:t>Programinė įranga turi leisti identifikuoti mėginį, operatorių, analizės datą ir laiką, naudotą metodą, kalibravimo informaciją bei galutinį rezultatą.</w:t>
      </w:r>
    </w:p>
    <w:p w14:paraId="6795EAA7" w14:textId="77777777" w:rsidR="007E56FA" w:rsidRPr="00330BAA" w:rsidRDefault="007E56FA" w:rsidP="001C5705">
      <w:pPr>
        <w:pStyle w:val="ListParagraph"/>
        <w:keepNext/>
        <w:keepLines/>
        <w:numPr>
          <w:ilvl w:val="1"/>
          <w:numId w:val="2"/>
        </w:numPr>
        <w:spacing w:before="480"/>
        <w:ind w:right="-567"/>
        <w:jc w:val="both"/>
        <w:outlineLvl w:val="0"/>
        <w:rPr>
          <w:rFonts w:ascii="Aptos" w:eastAsia="MS Gothic" w:hAnsi="Aptos"/>
          <w:lang w:eastAsia="en-US"/>
        </w:rPr>
      </w:pPr>
      <w:r w:rsidRPr="00330BAA">
        <w:rPr>
          <w:rFonts w:ascii="Aptos" w:eastAsia="MS Gothic" w:hAnsi="Aptos"/>
          <w:lang w:eastAsia="en-US"/>
        </w:rPr>
        <w:t>Tiekėjas turi pateikti gamintojo rekomenduojamą kalibravimo, kokybės kontrolės ir periodinės patikros tvarką. Paleidimo metu turi būti atliktas pradinis sistemos veikimo patikrinimas naudojant tinkamus etaloninius / kontrolinius mėginius arba standartinius tirpalus.</w:t>
      </w:r>
    </w:p>
    <w:p w14:paraId="534C018D" w14:textId="7D5806C5" w:rsidR="007E56FA" w:rsidRPr="00330BAA" w:rsidRDefault="007E56FA" w:rsidP="001C5705">
      <w:pPr>
        <w:pStyle w:val="ListParagraph"/>
        <w:keepNext/>
        <w:keepLines/>
        <w:numPr>
          <w:ilvl w:val="1"/>
          <w:numId w:val="2"/>
        </w:numPr>
        <w:spacing w:before="480"/>
        <w:ind w:right="-567"/>
        <w:jc w:val="both"/>
        <w:outlineLvl w:val="0"/>
        <w:rPr>
          <w:rFonts w:ascii="Aptos" w:eastAsia="MS Gothic" w:hAnsi="Aptos"/>
          <w:lang w:eastAsia="en-US"/>
        </w:rPr>
      </w:pPr>
      <w:r w:rsidRPr="00330BAA">
        <w:rPr>
          <w:rFonts w:ascii="Aptos" w:eastAsia="MS Gothic" w:hAnsi="Aptos"/>
          <w:lang w:eastAsia="en-US"/>
        </w:rPr>
        <w:t>Tiekėjas turi pateikti informaciją apie reikalingus standartus, reagentus, kontrolinius mėginius ir jų tiekimo galimybes.</w:t>
      </w:r>
    </w:p>
    <w:p w14:paraId="4D23D365" w14:textId="18F24FC0" w:rsidR="00890294" w:rsidRPr="00330BAA" w:rsidRDefault="00890294" w:rsidP="001C5705">
      <w:pPr>
        <w:pStyle w:val="ListParagraph"/>
        <w:keepNext/>
        <w:keepLines/>
        <w:numPr>
          <w:ilvl w:val="1"/>
          <w:numId w:val="2"/>
        </w:numPr>
        <w:spacing w:before="480"/>
        <w:ind w:right="-567"/>
        <w:jc w:val="both"/>
        <w:outlineLvl w:val="0"/>
        <w:rPr>
          <w:rFonts w:ascii="Aptos" w:eastAsia="MS Gothic" w:hAnsi="Aptos"/>
          <w:lang w:eastAsia="en-US"/>
        </w:rPr>
      </w:pPr>
      <w:r w:rsidRPr="00330BAA">
        <w:rPr>
          <w:rFonts w:ascii="Aptos" w:eastAsia="MS Gothic" w:hAnsi="Aptos"/>
          <w:lang w:eastAsia="en-US"/>
        </w:rPr>
        <w:t>Garantiniu laikotarpiu tiekėjas privalo užtikrinti konsultacinę pagalbą telefonu ir (arba) elektroniniu paštu lietuvių arba anglų kalba. Reakcijos į pranešimą apie gedimą terminas – ne ilgesnis kaip 2 darbo dienos nuo pranešimo gavimo. Jei gedimo neįmanoma pašalinti nuotoliniu būdu, tiekėjas privalo pradėti gedimo šalinimą vietoje arba kitu suderintu būdu ne vėliau kaip per 5 darbo dienas, o gedimą pašalinti per protingą terminą, bet ne vėliau kaip per 10 darbo dienų, išskyrus atvejus, kai dėl atsarginių dalių tiekimo ar kitų nuo tiekėjo nepriklausančių aplinkybių būtinas ilgesnis terminas, apie kurį užsakovas informuojamas raštu.</w:t>
      </w:r>
    </w:p>
    <w:p w14:paraId="3C56D7D8" w14:textId="54627F95" w:rsidR="007E56FA" w:rsidRPr="00330BAA" w:rsidRDefault="007E56FA" w:rsidP="001C5705">
      <w:pPr>
        <w:pStyle w:val="ListParagraph"/>
        <w:keepNext/>
        <w:keepLines/>
        <w:numPr>
          <w:ilvl w:val="1"/>
          <w:numId w:val="2"/>
        </w:numPr>
        <w:tabs>
          <w:tab w:val="left" w:pos="993"/>
        </w:tabs>
        <w:spacing w:before="480"/>
        <w:ind w:right="-567"/>
        <w:jc w:val="both"/>
        <w:outlineLvl w:val="0"/>
        <w:rPr>
          <w:rFonts w:ascii="Aptos" w:eastAsia="MS Gothic" w:hAnsi="Aptos"/>
          <w:lang w:eastAsia="en-US"/>
        </w:rPr>
      </w:pPr>
      <w:r w:rsidRPr="00330BAA">
        <w:rPr>
          <w:rFonts w:ascii="Aptos" w:eastAsia="MS Gothic" w:hAnsi="Aptos"/>
          <w:lang w:eastAsia="en-US"/>
        </w:rPr>
        <w:t>Tiekėjas turi užtikrinti atsarginių, eksploatacinių ir susidėvinčių dalių tiekimo galimybę ne trumpiau kaip 5 metus nuo įrangos perdavimo naudoti dienos.</w:t>
      </w:r>
    </w:p>
    <w:p w14:paraId="282D922D" w14:textId="6AA34E83" w:rsidR="007E56FA" w:rsidRPr="00330BAA" w:rsidRDefault="007E56FA" w:rsidP="001C5705">
      <w:pPr>
        <w:pStyle w:val="ListParagraph"/>
        <w:keepNext/>
        <w:keepLines/>
        <w:numPr>
          <w:ilvl w:val="1"/>
          <w:numId w:val="2"/>
        </w:numPr>
        <w:tabs>
          <w:tab w:val="left" w:pos="993"/>
        </w:tabs>
        <w:spacing w:before="480"/>
        <w:ind w:right="-567"/>
        <w:jc w:val="both"/>
        <w:outlineLvl w:val="0"/>
        <w:rPr>
          <w:rFonts w:ascii="Aptos" w:eastAsia="MS Gothic" w:hAnsi="Aptos"/>
          <w:lang w:eastAsia="en-US"/>
        </w:rPr>
      </w:pPr>
      <w:r w:rsidRPr="00330BAA">
        <w:rPr>
          <w:rFonts w:ascii="Aptos" w:eastAsia="MS Gothic" w:hAnsi="Aptos"/>
          <w:lang w:eastAsia="en-US"/>
        </w:rPr>
        <w:t>Tiekėjas turi nurodyti, ar garantinis ir pogarantinis aptarnavimas atliekamas Lietuvoje, Europos Sąjungoje ar gamintojo serviso centre.</w:t>
      </w:r>
    </w:p>
    <w:p w14:paraId="4969ADBA" w14:textId="77777777" w:rsidR="00EE652E" w:rsidRPr="00330BAA" w:rsidRDefault="00EE652E" w:rsidP="001C5705">
      <w:pPr>
        <w:pStyle w:val="ListParagraph"/>
        <w:keepNext/>
        <w:keepLines/>
        <w:spacing w:before="480"/>
        <w:ind w:left="792" w:right="-567"/>
        <w:jc w:val="both"/>
        <w:outlineLvl w:val="0"/>
        <w:rPr>
          <w:rFonts w:ascii="Aptos" w:eastAsia="MS Gothic" w:hAnsi="Aptos"/>
          <w:lang w:eastAsia="en-US"/>
        </w:rPr>
      </w:pPr>
    </w:p>
    <w:p w14:paraId="2950AADE" w14:textId="03724C19" w:rsidR="0058712E" w:rsidRPr="00330BAA" w:rsidRDefault="0058712E" w:rsidP="001C5705">
      <w:pPr>
        <w:pStyle w:val="ListParagraph"/>
        <w:keepNext/>
        <w:keepLines/>
        <w:numPr>
          <w:ilvl w:val="0"/>
          <w:numId w:val="2"/>
        </w:numPr>
        <w:spacing w:before="480"/>
        <w:ind w:right="-567"/>
        <w:outlineLvl w:val="0"/>
        <w:rPr>
          <w:rFonts w:ascii="Aptos" w:eastAsia="MS Gothic" w:hAnsi="Aptos"/>
          <w:b/>
          <w:bCs/>
          <w:lang w:eastAsia="en-US"/>
        </w:rPr>
      </w:pPr>
      <w:r w:rsidRPr="00330BAA">
        <w:rPr>
          <w:rFonts w:ascii="Aptos" w:eastAsia="MS Gothic" w:hAnsi="Aptos"/>
          <w:b/>
          <w:bCs/>
          <w:lang w:eastAsia="en-US"/>
        </w:rPr>
        <w:t>Pristatymas, montavimas, paleidimas ir mokymai</w:t>
      </w:r>
    </w:p>
    <w:p w14:paraId="127E9780" w14:textId="77777777" w:rsidR="00DE1514" w:rsidRPr="00330BAA" w:rsidRDefault="00DE1514" w:rsidP="001C5705">
      <w:pPr>
        <w:pStyle w:val="ListParagraph"/>
        <w:keepNext/>
        <w:keepLines/>
        <w:spacing w:before="480"/>
        <w:ind w:left="360" w:right="-567"/>
        <w:outlineLvl w:val="0"/>
        <w:rPr>
          <w:rFonts w:ascii="Aptos" w:eastAsia="MS Gothic" w:hAnsi="Aptos"/>
          <w:b/>
          <w:bCs/>
          <w:lang w:eastAsia="en-US"/>
        </w:rPr>
      </w:pPr>
    </w:p>
    <w:p w14:paraId="701F3827" w14:textId="674132B7" w:rsidR="00AB497C" w:rsidRDefault="00AB497C" w:rsidP="001C5705">
      <w:pPr>
        <w:pStyle w:val="ListParagraph"/>
        <w:numPr>
          <w:ilvl w:val="1"/>
          <w:numId w:val="2"/>
        </w:numPr>
        <w:ind w:right="-567"/>
        <w:jc w:val="both"/>
        <w:rPr>
          <w:rFonts w:ascii="Aptos" w:eastAsia="MS Mincho" w:hAnsi="Aptos"/>
          <w:lang w:eastAsia="en-US"/>
        </w:rPr>
      </w:pPr>
      <w:r w:rsidRPr="00AB497C">
        <w:rPr>
          <w:rFonts w:ascii="Aptos" w:eastAsia="MS Mincho" w:hAnsi="Aptos"/>
          <w:lang w:eastAsia="en-US"/>
        </w:rPr>
        <w:t>Prek</w:t>
      </w:r>
      <w:r>
        <w:rPr>
          <w:rFonts w:ascii="Aptos" w:eastAsia="MS Mincho" w:hAnsi="Aptos"/>
          <w:lang w:eastAsia="en-US"/>
        </w:rPr>
        <w:t>ės</w:t>
      </w:r>
      <w:r w:rsidRPr="00AB497C">
        <w:rPr>
          <w:rFonts w:ascii="Aptos" w:eastAsia="MS Mincho" w:hAnsi="Aptos"/>
          <w:lang w:eastAsia="en-US"/>
        </w:rPr>
        <w:t xml:space="preserve"> pristatymo vieta – UAB „Toksika“ Šiaulių padalinys, Jurgeliškių k. 10, Šiaulių r.</w:t>
      </w:r>
    </w:p>
    <w:p w14:paraId="28F35351" w14:textId="3BB8232E" w:rsidR="00DE1514" w:rsidRPr="001C5705" w:rsidRDefault="001C5705" w:rsidP="001C5705">
      <w:pPr>
        <w:pStyle w:val="ListParagraph"/>
        <w:numPr>
          <w:ilvl w:val="1"/>
          <w:numId w:val="2"/>
        </w:numPr>
        <w:ind w:right="-567"/>
        <w:rPr>
          <w:rFonts w:ascii="Aptos" w:eastAsia="MS Mincho" w:hAnsi="Aptos"/>
          <w:lang w:eastAsia="en-US"/>
        </w:rPr>
      </w:pPr>
      <w:r w:rsidRPr="001C5705">
        <w:rPr>
          <w:rFonts w:ascii="Aptos" w:eastAsia="MS Mincho" w:hAnsi="Aptos"/>
          <w:lang w:eastAsia="en-US"/>
        </w:rPr>
        <w:t>Prekės pristatymo,</w:t>
      </w:r>
      <w:r w:rsidR="0058712E" w:rsidRPr="001C5705">
        <w:rPr>
          <w:rFonts w:ascii="Aptos" w:eastAsia="MS Mincho" w:hAnsi="Aptos"/>
          <w:lang w:eastAsia="en-US"/>
        </w:rPr>
        <w:t xml:space="preserve"> montavim</w:t>
      </w:r>
      <w:r w:rsidRPr="001C5705">
        <w:rPr>
          <w:rFonts w:ascii="Aptos" w:eastAsia="MS Mincho" w:hAnsi="Aptos"/>
          <w:lang w:eastAsia="en-US"/>
        </w:rPr>
        <w:t>o</w:t>
      </w:r>
      <w:r w:rsidR="0058712E" w:rsidRPr="001C5705">
        <w:rPr>
          <w:rFonts w:ascii="Aptos" w:eastAsia="MS Mincho" w:hAnsi="Aptos"/>
          <w:lang w:eastAsia="en-US"/>
        </w:rPr>
        <w:t>, prijungim</w:t>
      </w:r>
      <w:r w:rsidRPr="001C5705">
        <w:rPr>
          <w:rFonts w:ascii="Aptos" w:eastAsia="MS Mincho" w:hAnsi="Aptos"/>
          <w:lang w:eastAsia="en-US"/>
        </w:rPr>
        <w:t>o</w:t>
      </w:r>
      <w:r w:rsidR="0058712E" w:rsidRPr="001C5705">
        <w:rPr>
          <w:rFonts w:ascii="Aptos" w:eastAsia="MS Mincho" w:hAnsi="Aptos"/>
          <w:lang w:eastAsia="en-US"/>
        </w:rPr>
        <w:t>, paleidim</w:t>
      </w:r>
      <w:r w:rsidRPr="001C5705">
        <w:rPr>
          <w:rFonts w:ascii="Aptos" w:eastAsia="MS Mincho" w:hAnsi="Aptos"/>
          <w:lang w:eastAsia="en-US"/>
        </w:rPr>
        <w:t>o</w:t>
      </w:r>
      <w:r w:rsidR="0058712E" w:rsidRPr="001C5705">
        <w:rPr>
          <w:rFonts w:ascii="Aptos" w:eastAsia="MS Mincho" w:hAnsi="Aptos"/>
          <w:lang w:eastAsia="en-US"/>
        </w:rPr>
        <w:t>, pirmin</w:t>
      </w:r>
      <w:r w:rsidRPr="001C5705">
        <w:rPr>
          <w:rFonts w:ascii="Aptos" w:eastAsia="MS Mincho" w:hAnsi="Aptos"/>
          <w:lang w:eastAsia="en-US"/>
        </w:rPr>
        <w:t>io</w:t>
      </w:r>
      <w:r w:rsidR="0058712E" w:rsidRPr="001C5705">
        <w:rPr>
          <w:rFonts w:ascii="Aptos" w:eastAsia="MS Mincho" w:hAnsi="Aptos"/>
          <w:lang w:eastAsia="en-US"/>
        </w:rPr>
        <w:t xml:space="preserve"> funkcionalumo patikrinim</w:t>
      </w:r>
      <w:r w:rsidRPr="001C5705">
        <w:rPr>
          <w:rFonts w:ascii="Aptos" w:eastAsia="MS Mincho" w:hAnsi="Aptos"/>
          <w:lang w:eastAsia="en-US"/>
        </w:rPr>
        <w:t>o</w:t>
      </w:r>
      <w:r w:rsidR="0058712E" w:rsidRPr="001C5705">
        <w:rPr>
          <w:rFonts w:ascii="Aptos" w:eastAsia="MS Mincho" w:hAnsi="Aptos"/>
          <w:lang w:eastAsia="en-US"/>
        </w:rPr>
        <w:t xml:space="preserve"> ir perd</w:t>
      </w:r>
      <w:r w:rsidRPr="001C5705">
        <w:rPr>
          <w:rFonts w:ascii="Aptos" w:eastAsia="MS Mincho" w:hAnsi="Aptos"/>
          <w:lang w:eastAsia="en-US"/>
        </w:rPr>
        <w:t>avimo</w:t>
      </w:r>
      <w:r w:rsidR="0058712E" w:rsidRPr="001C5705">
        <w:rPr>
          <w:rFonts w:ascii="Aptos" w:eastAsia="MS Mincho" w:hAnsi="Aptos"/>
          <w:lang w:eastAsia="en-US"/>
        </w:rPr>
        <w:t xml:space="preserve"> naudo</w:t>
      </w:r>
      <w:r w:rsidRPr="001C5705">
        <w:rPr>
          <w:rFonts w:ascii="Aptos" w:eastAsia="MS Mincho" w:hAnsi="Aptos"/>
          <w:lang w:eastAsia="en-US"/>
        </w:rPr>
        <w:t>jimui terminas  – 3 mėnesiai.</w:t>
      </w:r>
    </w:p>
    <w:p w14:paraId="7D27DB2A" w14:textId="23260FD2" w:rsidR="00DE1514" w:rsidRPr="00330BAA" w:rsidRDefault="0058712E" w:rsidP="001C5705">
      <w:pPr>
        <w:pStyle w:val="ListParagraph"/>
        <w:numPr>
          <w:ilvl w:val="1"/>
          <w:numId w:val="2"/>
        </w:numPr>
        <w:ind w:right="-567"/>
        <w:jc w:val="both"/>
        <w:rPr>
          <w:rFonts w:ascii="Aptos" w:eastAsia="MS Mincho" w:hAnsi="Aptos"/>
          <w:lang w:eastAsia="en-US"/>
        </w:rPr>
      </w:pPr>
      <w:r w:rsidRPr="00330BAA">
        <w:rPr>
          <w:rFonts w:ascii="Aptos" w:eastAsia="MS Mincho" w:hAnsi="Aptos"/>
          <w:lang w:eastAsia="en-US"/>
        </w:rPr>
        <w:t>Paleidimo metu turi būti atliktas sistemos veikimo patikrinimas, pademonstruotos pagrindinės analizatoriaus funkcijos ir parengta įranga darbui pagal gamintojo reikalavimus.</w:t>
      </w:r>
      <w:r w:rsidR="00DE1514" w:rsidRPr="00330BAA">
        <w:rPr>
          <w:rFonts w:ascii="Aptos" w:hAnsi="Aptos"/>
        </w:rPr>
        <w:t xml:space="preserve"> Paleidimo metu turi būti pademonstruotas kietų ir skystų mėginių analizės funkcionalumas.</w:t>
      </w:r>
    </w:p>
    <w:p w14:paraId="1B8DF084" w14:textId="77777777" w:rsidR="00DE1514" w:rsidRPr="00330BAA" w:rsidRDefault="00DE1514" w:rsidP="001C5705">
      <w:pPr>
        <w:pStyle w:val="ListParagraph"/>
        <w:numPr>
          <w:ilvl w:val="1"/>
          <w:numId w:val="2"/>
        </w:numPr>
        <w:ind w:right="-567"/>
        <w:jc w:val="both"/>
        <w:rPr>
          <w:rFonts w:ascii="Aptos" w:eastAsia="MS Mincho" w:hAnsi="Aptos"/>
          <w:lang w:eastAsia="en-US"/>
        </w:rPr>
      </w:pPr>
      <w:r w:rsidRPr="00330BAA">
        <w:rPr>
          <w:rFonts w:ascii="Aptos" w:eastAsia="MS Mincho" w:hAnsi="Aptos"/>
          <w:lang w:eastAsia="en-US"/>
        </w:rPr>
        <w:t>Tiekėjas turi apmokyti ne mažiau kaip 2 užsakovo darbuotojus darbo vietoje. Mokymai turi apimti įrangos naudojimą, kasdienę priežiūrą, saugų darbą, pagrindinių gedimų identifikavimą, eksploatacinių medžiagų keitimą ir rezultatų eksportą.</w:t>
      </w:r>
      <w:r w:rsidRPr="00330BAA">
        <w:rPr>
          <w:rFonts w:ascii="Aptos" w:hAnsi="Aptos"/>
        </w:rPr>
        <w:t xml:space="preserve"> </w:t>
      </w:r>
      <w:r w:rsidRPr="00330BAA">
        <w:rPr>
          <w:rFonts w:ascii="Aptos" w:eastAsia="MS Mincho" w:hAnsi="Aptos"/>
          <w:lang w:eastAsia="en-US"/>
        </w:rPr>
        <w:t>Po mokymų tiekėjas turi pateikti mokymų dalyvių sąrašą, mokymų programą ir trumpą mokymų atlikimo aktą / patvirtinimą, naudojimo instrukciją, saugos instrukciją ir pagrindinės priežiūros instrukcijas lietuvių arba anglų kalba.</w:t>
      </w:r>
    </w:p>
    <w:p w14:paraId="556C4CF8" w14:textId="1806FC4F" w:rsidR="00DE1514" w:rsidRPr="00330BAA" w:rsidRDefault="00EE652E" w:rsidP="001C5705">
      <w:pPr>
        <w:pStyle w:val="ListParagraph"/>
        <w:numPr>
          <w:ilvl w:val="1"/>
          <w:numId w:val="2"/>
        </w:numPr>
        <w:ind w:right="-567"/>
        <w:jc w:val="both"/>
        <w:rPr>
          <w:rFonts w:ascii="Aptos" w:eastAsia="MS Mincho" w:hAnsi="Aptos"/>
          <w:lang w:eastAsia="en-US"/>
        </w:rPr>
      </w:pPr>
      <w:r w:rsidRPr="00330BAA">
        <w:rPr>
          <w:rFonts w:ascii="Aptos" w:hAnsi="Aptos"/>
        </w:rPr>
        <w:t xml:space="preserve">Įranga laikoma tinkamai perduota naudoti tik tada, kai ji yra pristatyta, sumontuota, prijungta, paleista, patikrintas jos funkcionalumas, atlikti mokymai, perduoti visi dokumentai ir pasirašytas įrangos priėmimo–perdavimo aktas. </w:t>
      </w:r>
    </w:p>
    <w:sectPr w:rsidR="00DE1514" w:rsidRPr="00330B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BAC"/>
    <w:multiLevelType w:val="multilevel"/>
    <w:tmpl w:val="6BB44D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22525A"/>
    <w:multiLevelType w:val="multilevel"/>
    <w:tmpl w:val="30DE2A6E"/>
    <w:lvl w:ilvl="0">
      <w:start w:val="1"/>
      <w:numFmt w:val="decimal"/>
      <w:lvlText w:val="%1."/>
      <w:lvlJc w:val="left"/>
      <w:pPr>
        <w:ind w:left="360" w:hanging="360"/>
      </w:pPr>
      <w:rPr>
        <w:b/>
        <w:color w:val="auto"/>
      </w:rPr>
    </w:lvl>
    <w:lvl w:ilvl="1">
      <w:start w:val="1"/>
      <w:numFmt w:val="decimal"/>
      <w:lvlText w:val="%1.%2."/>
      <w:lvlJc w:val="left"/>
      <w:pPr>
        <w:ind w:left="720" w:hanging="360"/>
      </w:pPr>
      <w:rPr>
        <w:b w:val="0"/>
        <w:i w:val="0"/>
        <w:sz w:val="22"/>
        <w:szCs w:val="22"/>
      </w:rPr>
    </w:lvl>
    <w:lvl w:ilvl="2">
      <w:start w:val="1"/>
      <w:numFmt w:val="decimal"/>
      <w:lvlText w:val="%1.%2.%3."/>
      <w:lvlJc w:val="left"/>
      <w:pPr>
        <w:ind w:left="1080" w:hanging="720"/>
      </w:pPr>
    </w:lvl>
    <w:lvl w:ilvl="3">
      <w:start w:val="1"/>
      <w:numFmt w:val="decimal"/>
      <w:lvlText w:val="%1.%2.%3.%4."/>
      <w:lvlJc w:val="left"/>
      <w:pPr>
        <w:ind w:left="1287"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18984148">
    <w:abstractNumId w:val="1"/>
  </w:num>
  <w:num w:numId="2" w16cid:durableId="155308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1A"/>
    <w:rsid w:val="000045C6"/>
    <w:rsid w:val="00031D31"/>
    <w:rsid w:val="00090007"/>
    <w:rsid w:val="000A54FF"/>
    <w:rsid w:val="000B0D2C"/>
    <w:rsid w:val="000B1F23"/>
    <w:rsid w:val="000B237C"/>
    <w:rsid w:val="000E6C78"/>
    <w:rsid w:val="00154837"/>
    <w:rsid w:val="001552DD"/>
    <w:rsid w:val="001A38A3"/>
    <w:rsid w:val="001A70CB"/>
    <w:rsid w:val="001C5705"/>
    <w:rsid w:val="001D6B7D"/>
    <w:rsid w:val="001E572A"/>
    <w:rsid w:val="002027D8"/>
    <w:rsid w:val="002425BB"/>
    <w:rsid w:val="00242995"/>
    <w:rsid w:val="00244DB5"/>
    <w:rsid w:val="002B6D50"/>
    <w:rsid w:val="00310E3D"/>
    <w:rsid w:val="00317A90"/>
    <w:rsid w:val="00330BAA"/>
    <w:rsid w:val="00360914"/>
    <w:rsid w:val="00383BED"/>
    <w:rsid w:val="003D6D31"/>
    <w:rsid w:val="003F6136"/>
    <w:rsid w:val="0041120C"/>
    <w:rsid w:val="00422BF1"/>
    <w:rsid w:val="004248E3"/>
    <w:rsid w:val="004B1DBE"/>
    <w:rsid w:val="004B4B4D"/>
    <w:rsid w:val="004C181F"/>
    <w:rsid w:val="004C6D59"/>
    <w:rsid w:val="004E074E"/>
    <w:rsid w:val="004E7D01"/>
    <w:rsid w:val="00512D0F"/>
    <w:rsid w:val="0055727A"/>
    <w:rsid w:val="005662C9"/>
    <w:rsid w:val="00581748"/>
    <w:rsid w:val="0058712E"/>
    <w:rsid w:val="005A0754"/>
    <w:rsid w:val="00614775"/>
    <w:rsid w:val="00614F6B"/>
    <w:rsid w:val="00632180"/>
    <w:rsid w:val="00666BE3"/>
    <w:rsid w:val="00670C3C"/>
    <w:rsid w:val="006C3544"/>
    <w:rsid w:val="006C5F56"/>
    <w:rsid w:val="006D2CC4"/>
    <w:rsid w:val="006D49EB"/>
    <w:rsid w:val="006F59B9"/>
    <w:rsid w:val="00776149"/>
    <w:rsid w:val="007A42E1"/>
    <w:rsid w:val="007E56FA"/>
    <w:rsid w:val="008065AD"/>
    <w:rsid w:val="00836AED"/>
    <w:rsid w:val="008428EC"/>
    <w:rsid w:val="0088661F"/>
    <w:rsid w:val="00890294"/>
    <w:rsid w:val="008A2ABA"/>
    <w:rsid w:val="008E1E93"/>
    <w:rsid w:val="008F056A"/>
    <w:rsid w:val="009018D2"/>
    <w:rsid w:val="00914AFF"/>
    <w:rsid w:val="009862B7"/>
    <w:rsid w:val="009C2ECD"/>
    <w:rsid w:val="009D0E54"/>
    <w:rsid w:val="009D31A3"/>
    <w:rsid w:val="009E7F78"/>
    <w:rsid w:val="00AA5A71"/>
    <w:rsid w:val="00AB497C"/>
    <w:rsid w:val="00AC1D9C"/>
    <w:rsid w:val="00AF581C"/>
    <w:rsid w:val="00B06E16"/>
    <w:rsid w:val="00B1389A"/>
    <w:rsid w:val="00B34375"/>
    <w:rsid w:val="00B96321"/>
    <w:rsid w:val="00BE7FAB"/>
    <w:rsid w:val="00BF00E8"/>
    <w:rsid w:val="00BF4012"/>
    <w:rsid w:val="00BF606B"/>
    <w:rsid w:val="00C0741A"/>
    <w:rsid w:val="00C1298A"/>
    <w:rsid w:val="00C20CB0"/>
    <w:rsid w:val="00C342EF"/>
    <w:rsid w:val="00CB27F4"/>
    <w:rsid w:val="00CB4EDA"/>
    <w:rsid w:val="00CC46B1"/>
    <w:rsid w:val="00CF0552"/>
    <w:rsid w:val="00D100AA"/>
    <w:rsid w:val="00D93F2C"/>
    <w:rsid w:val="00DC26D6"/>
    <w:rsid w:val="00DE1514"/>
    <w:rsid w:val="00E33857"/>
    <w:rsid w:val="00E5573C"/>
    <w:rsid w:val="00E87F7D"/>
    <w:rsid w:val="00E95BF6"/>
    <w:rsid w:val="00EE652E"/>
    <w:rsid w:val="00F10CCD"/>
    <w:rsid w:val="00F55DA6"/>
    <w:rsid w:val="00F845B9"/>
    <w:rsid w:val="00FF50A1"/>
    <w:rsid w:val="3929BA62"/>
    <w:rsid w:val="4DC96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7A2C"/>
  <w15:chartTrackingRefBased/>
  <w15:docId w15:val="{80D1B060-886C-420B-859F-58117098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41A"/>
    <w:pPr>
      <w:spacing w:after="0" w:line="240" w:lineRule="auto"/>
    </w:pPr>
    <w:rPr>
      <w:rFonts w:ascii="Arial" w:eastAsia="Times New Roman" w:hAnsi="Arial" w:cs="Times New Roman"/>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a97a5f-f146-439f-9cd9-c317a7abfd5c" xsi:nil="true"/>
    <lcf76f155ced4ddcb4097134ff3c332f xmlns="f4a512e5-5f28-43bc-abeb-b01f070dbc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CBCB644FA8B24F8C34154C32C37547" ma:contentTypeVersion="13" ma:contentTypeDescription="Create a new document." ma:contentTypeScope="" ma:versionID="b0ad139a53a621293f803c1b0d7e1d27">
  <xsd:schema xmlns:xsd="http://www.w3.org/2001/XMLSchema" xmlns:xs="http://www.w3.org/2001/XMLSchema" xmlns:p="http://schemas.microsoft.com/office/2006/metadata/properties" xmlns:ns2="f4a512e5-5f28-43bc-abeb-b01f070dbca3" xmlns:ns3="c0a97a5f-f146-439f-9cd9-c317a7abfd5c" targetNamespace="http://schemas.microsoft.com/office/2006/metadata/properties" ma:root="true" ma:fieldsID="7eb41e68956469199855455cc004177a" ns2:_="" ns3:_="">
    <xsd:import namespace="f4a512e5-5f28-43bc-abeb-b01f070dbca3"/>
    <xsd:import namespace="c0a97a5f-f146-439f-9cd9-c317a7abf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512e5-5f28-43bc-abeb-b01f070db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83d05a-515d-475a-b232-132e7a536a2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97a5f-f146-439f-9cd9-c317a7abfd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24f567-f687-4d1e-ad0b-53245d68c863}" ma:internalName="TaxCatchAll" ma:showField="CatchAllData" ma:web="c0a97a5f-f146-439f-9cd9-c317a7abf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96B69-59D4-42C4-8796-E3C0449A41FD}">
  <ds:schemaRefs>
    <ds:schemaRef ds:uri="http://schemas.microsoft.com/sharepoint/v3/contenttype/forms"/>
  </ds:schemaRefs>
</ds:datastoreItem>
</file>

<file path=customXml/itemProps2.xml><?xml version="1.0" encoding="utf-8"?>
<ds:datastoreItem xmlns:ds="http://schemas.openxmlformats.org/officeDocument/2006/customXml" ds:itemID="{D92B24D5-47A8-4B8F-812B-2FF2333E62F4}">
  <ds:schemaRefs>
    <ds:schemaRef ds:uri="http://schemas.microsoft.com/office/2006/metadata/properties"/>
    <ds:schemaRef ds:uri="http://schemas.microsoft.com/office/infopath/2007/PartnerControls"/>
    <ds:schemaRef ds:uri="c0a97a5f-f146-439f-9cd9-c317a7abfd5c"/>
    <ds:schemaRef ds:uri="f4a512e5-5f28-43bc-abeb-b01f070dbca3"/>
  </ds:schemaRefs>
</ds:datastoreItem>
</file>

<file path=customXml/itemProps3.xml><?xml version="1.0" encoding="utf-8"?>
<ds:datastoreItem xmlns:ds="http://schemas.openxmlformats.org/officeDocument/2006/customXml" ds:itemID="{93408FE7-5B1F-4E82-BABC-D9EE6B88E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512e5-5f28-43bc-abeb-b01f070dbca3"/>
    <ds:schemaRef ds:uri="c0a97a5f-f146-439f-9cd9-c317a7abf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5322</Words>
  <Characters>3035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Jurgutis</dc:creator>
  <cp:keywords/>
  <dc:description/>
  <cp:lastModifiedBy>Giedrė Andrijauskienė</cp:lastModifiedBy>
  <cp:revision>6</cp:revision>
  <dcterms:created xsi:type="dcterms:W3CDTF">2026-06-30T13:19:00Z</dcterms:created>
  <dcterms:modified xsi:type="dcterms:W3CDTF">2026-07-01T11:52:00Z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0x010100DACBCB644FA8B24F8C34154C32C37547</vt:lpwstr>
  </property>
  <property fmtid="{D5CDD505-2E9C-101B-9397-08002B2CF9AE}" pid="3" name="MediaServiceImageTags">
    <vt:lpwstr/>
  </property>
</Properties>
</file>