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74A0" w14:textId="4EE18111" w:rsidR="00E47635" w:rsidRDefault="00E47635" w:rsidP="00E47635">
      <w:pPr>
        <w:spacing w:after="0"/>
        <w:jc w:val="right"/>
        <w:rPr>
          <w:rFonts w:ascii="Times New Roman" w:hAnsi="Times New Roman" w:cs="Times New Roman"/>
          <w:i/>
          <w:iCs/>
          <w:lang w:val="lt-LT"/>
        </w:rPr>
      </w:pPr>
      <w:r w:rsidRPr="00E47635">
        <w:rPr>
          <w:rFonts w:ascii="Times New Roman" w:hAnsi="Times New Roman" w:cs="Times New Roman"/>
          <w:i/>
          <w:iCs/>
          <w:lang w:val="lt-LT"/>
        </w:rPr>
        <w:t xml:space="preserve">Pirkimo sąlygų </w:t>
      </w:r>
      <w:r>
        <w:rPr>
          <w:rFonts w:ascii="Times New Roman" w:hAnsi="Times New Roman" w:cs="Times New Roman"/>
          <w:i/>
          <w:iCs/>
          <w:lang w:val="lt-LT"/>
        </w:rPr>
        <w:t>3</w:t>
      </w:r>
      <w:r w:rsidRPr="00E47635">
        <w:rPr>
          <w:rFonts w:ascii="Times New Roman" w:hAnsi="Times New Roman" w:cs="Times New Roman"/>
          <w:i/>
          <w:iCs/>
          <w:lang w:val="lt-LT"/>
        </w:rPr>
        <w:t xml:space="preserve"> priedas</w:t>
      </w:r>
    </w:p>
    <w:p w14:paraId="646DB29B" w14:textId="77777777" w:rsidR="00E47635" w:rsidRPr="00E47635" w:rsidRDefault="00E47635" w:rsidP="00E47635">
      <w:pPr>
        <w:spacing w:after="0"/>
        <w:jc w:val="right"/>
        <w:rPr>
          <w:rFonts w:ascii="Times New Roman" w:hAnsi="Times New Roman" w:cs="Times New Roman"/>
          <w:i/>
          <w:iCs/>
          <w:lang w:val="lt-LT"/>
        </w:rPr>
      </w:pPr>
    </w:p>
    <w:p w14:paraId="4FC19C6C" w14:textId="1ABE13B3" w:rsidR="009F02B9" w:rsidRPr="00407375" w:rsidRDefault="5D2FE131" w:rsidP="007B0B74">
      <w:pPr>
        <w:spacing w:after="0"/>
        <w:jc w:val="center"/>
        <w:rPr>
          <w:rFonts w:ascii="Times New Roman" w:hAnsi="Times New Roman" w:cs="Times New Roman"/>
          <w:b/>
          <w:bCs/>
          <w:lang w:val="lt-LT"/>
        </w:rPr>
      </w:pPr>
      <w:r w:rsidRPr="00407375">
        <w:rPr>
          <w:rFonts w:ascii="Times New Roman" w:hAnsi="Times New Roman" w:cs="Times New Roman"/>
          <w:b/>
          <w:bCs/>
          <w:lang w:val="lt-LT"/>
        </w:rPr>
        <w:t>PROCESINIO VALDYMO DIEGIMO</w:t>
      </w:r>
      <w:r w:rsidR="00CF7F6E" w:rsidRPr="00407375">
        <w:rPr>
          <w:rFonts w:ascii="Times New Roman" w:hAnsi="Times New Roman" w:cs="Times New Roman"/>
          <w:b/>
          <w:bCs/>
          <w:lang w:val="lt-LT"/>
        </w:rPr>
        <w:t>,</w:t>
      </w:r>
      <w:r w:rsidR="405551FD" w:rsidRPr="00407375">
        <w:rPr>
          <w:rFonts w:ascii="Times New Roman" w:hAnsi="Times New Roman" w:cs="Times New Roman"/>
          <w:b/>
          <w:bCs/>
          <w:lang w:val="lt-LT"/>
        </w:rPr>
        <w:t xml:space="preserve"> </w:t>
      </w:r>
      <w:r w:rsidR="00CF7F6E" w:rsidRPr="00407375">
        <w:rPr>
          <w:rFonts w:ascii="Times New Roman" w:hAnsi="Times New Roman" w:cs="Times New Roman"/>
          <w:b/>
          <w:bCs/>
          <w:lang w:val="lt-LT"/>
        </w:rPr>
        <w:t xml:space="preserve">VEIKLOS ARCHITEKTŪROS KŪRIMO </w:t>
      </w:r>
      <w:r w:rsidR="405551FD" w:rsidRPr="00407375">
        <w:rPr>
          <w:rFonts w:ascii="Times New Roman" w:hAnsi="Times New Roman" w:cs="Times New Roman"/>
          <w:b/>
          <w:bCs/>
          <w:lang w:val="lt-LT"/>
        </w:rPr>
        <w:t>IR VEIKLOS VERTINIMO RODIKLIŲ NUSTATYMO IR PAMATAVIMO</w:t>
      </w:r>
      <w:r w:rsidRPr="00407375">
        <w:rPr>
          <w:rFonts w:ascii="Times New Roman" w:hAnsi="Times New Roman" w:cs="Times New Roman"/>
          <w:b/>
          <w:bCs/>
          <w:lang w:val="lt-LT"/>
        </w:rPr>
        <w:t xml:space="preserve"> KONSULTACINIŲ PASLAUGŲ PIRKIMO</w:t>
      </w:r>
    </w:p>
    <w:p w14:paraId="4A416DDD" w14:textId="184BBA13" w:rsidR="00154F89" w:rsidRPr="00407375" w:rsidRDefault="009F02B9" w:rsidP="007B0B74">
      <w:pPr>
        <w:spacing w:after="0"/>
        <w:jc w:val="center"/>
        <w:rPr>
          <w:rFonts w:ascii="Times New Roman" w:hAnsi="Times New Roman" w:cs="Times New Roman"/>
          <w:b/>
          <w:bCs/>
          <w:lang w:val="lt-LT"/>
        </w:rPr>
      </w:pPr>
      <w:r w:rsidRPr="00407375">
        <w:rPr>
          <w:rFonts w:ascii="Times New Roman" w:hAnsi="Times New Roman" w:cs="Times New Roman"/>
          <w:b/>
          <w:bCs/>
          <w:lang w:val="lt-LT"/>
        </w:rPr>
        <w:t xml:space="preserve">TECHNINĖ SPECIFIKACIJA </w:t>
      </w:r>
    </w:p>
    <w:p w14:paraId="01EE2E4B" w14:textId="77777777" w:rsidR="009F02B9" w:rsidRPr="004B7D57" w:rsidRDefault="009F02B9" w:rsidP="009E40E2">
      <w:pPr>
        <w:spacing w:after="0"/>
        <w:ind w:firstLine="567"/>
        <w:jc w:val="center"/>
        <w:rPr>
          <w:rFonts w:ascii="Times New Roman" w:hAnsi="Times New Roman" w:cs="Times New Roman"/>
          <w:lang w:val="lt-LT"/>
        </w:rPr>
      </w:pPr>
    </w:p>
    <w:p w14:paraId="4C118005" w14:textId="747A7371" w:rsidR="00AD0C12" w:rsidRPr="009E40E2" w:rsidRDefault="009E40E2" w:rsidP="009E40E2">
      <w:pPr>
        <w:pStyle w:val="ListParagraph"/>
        <w:numPr>
          <w:ilvl w:val="0"/>
          <w:numId w:val="2"/>
        </w:numPr>
        <w:spacing w:after="0"/>
        <w:jc w:val="center"/>
        <w:rPr>
          <w:rFonts w:ascii="Times New Roman" w:hAnsi="Times New Roman" w:cs="Times New Roman"/>
          <w:b/>
          <w:bCs/>
          <w:lang w:val="lt-LT"/>
        </w:rPr>
      </w:pPr>
      <w:r w:rsidRPr="009E40E2">
        <w:rPr>
          <w:rFonts w:ascii="Times New Roman" w:hAnsi="Times New Roman" w:cs="Times New Roman"/>
          <w:b/>
          <w:bCs/>
          <w:lang w:val="lt-LT"/>
        </w:rPr>
        <w:t>PIRKIMO OBJEKTAS</w:t>
      </w:r>
    </w:p>
    <w:p w14:paraId="0C81C420" w14:textId="77777777" w:rsidR="009E40E2" w:rsidRPr="009E40E2" w:rsidRDefault="009E40E2" w:rsidP="009E40E2">
      <w:pPr>
        <w:pStyle w:val="ListParagraph"/>
        <w:spacing w:after="0"/>
        <w:ind w:left="927"/>
        <w:jc w:val="both"/>
        <w:rPr>
          <w:rFonts w:ascii="Times New Roman" w:hAnsi="Times New Roman" w:cs="Times New Roman"/>
          <w:lang w:val="lt-LT"/>
        </w:rPr>
      </w:pPr>
    </w:p>
    <w:p w14:paraId="45509C65" w14:textId="7EA0CE5C" w:rsidR="009E40E2" w:rsidRDefault="00527E1A" w:rsidP="009A396D">
      <w:pPr>
        <w:pStyle w:val="ListParagraph"/>
        <w:numPr>
          <w:ilvl w:val="0"/>
          <w:numId w:val="6"/>
        </w:numPr>
        <w:spacing w:after="0"/>
        <w:ind w:left="0" w:firstLine="567"/>
        <w:jc w:val="both"/>
        <w:rPr>
          <w:rFonts w:ascii="Times New Roman" w:hAnsi="Times New Roman" w:cs="Times New Roman"/>
          <w:lang w:val="lt-LT"/>
        </w:rPr>
      </w:pPr>
      <w:r w:rsidRPr="009E40E2">
        <w:rPr>
          <w:rFonts w:ascii="Times New Roman" w:hAnsi="Times New Roman" w:cs="Times New Roman"/>
          <w:b/>
          <w:bCs/>
          <w:lang w:val="lt-LT"/>
        </w:rPr>
        <w:t>Pirkimo tikslas</w:t>
      </w:r>
      <w:r w:rsidRPr="009E40E2">
        <w:rPr>
          <w:rFonts w:ascii="Times New Roman" w:hAnsi="Times New Roman" w:cs="Times New Roman"/>
          <w:lang w:val="lt-LT"/>
        </w:rPr>
        <w:t xml:space="preserve"> – </w:t>
      </w:r>
      <w:r w:rsidR="00AD0C12" w:rsidRPr="009E40E2">
        <w:rPr>
          <w:rFonts w:ascii="Times New Roman" w:hAnsi="Times New Roman" w:cs="Times New Roman"/>
          <w:lang w:val="lt-LT"/>
        </w:rPr>
        <w:t>Valstybinė energetikos reguliavimo taryba (toliau – Taryba arba Perkančioji organizacija)</w:t>
      </w:r>
      <w:r w:rsidRPr="009E40E2">
        <w:rPr>
          <w:rFonts w:ascii="Times New Roman" w:hAnsi="Times New Roman" w:cs="Times New Roman"/>
          <w:lang w:val="lt-LT"/>
        </w:rPr>
        <w:t>, siekdama didinti veiklos efektyvumą ir gerinti sprendimų priėmimo kokybę, atsakomybių paskirstymą bei sukurti patikimą, Tarybos veiklą atspindinčią, rodiklių sistemą bei užtikrinti jos praktinį taikymą,</w:t>
      </w:r>
      <w:r w:rsidR="00AD0C12" w:rsidRPr="009E40E2">
        <w:rPr>
          <w:rFonts w:ascii="Times New Roman" w:hAnsi="Times New Roman" w:cs="Times New Roman"/>
          <w:lang w:val="lt-LT"/>
        </w:rPr>
        <w:t xml:space="preserve"> numato įsigyti</w:t>
      </w:r>
      <w:r w:rsidR="007B0B74">
        <w:rPr>
          <w:rFonts w:ascii="Times New Roman" w:hAnsi="Times New Roman" w:cs="Times New Roman"/>
          <w:lang w:val="lt-LT"/>
        </w:rPr>
        <w:t xml:space="preserve"> </w:t>
      </w:r>
      <w:r w:rsidR="00AD0C12" w:rsidRPr="009E40E2">
        <w:rPr>
          <w:rFonts w:ascii="Times New Roman" w:hAnsi="Times New Roman" w:cs="Times New Roman"/>
          <w:lang w:val="lt-LT"/>
        </w:rPr>
        <w:t>procesinio valdymo diegimo</w:t>
      </w:r>
      <w:r w:rsidR="00CF7F6E">
        <w:rPr>
          <w:rFonts w:ascii="Times New Roman" w:hAnsi="Times New Roman" w:cs="Times New Roman"/>
          <w:lang w:val="lt-LT"/>
        </w:rPr>
        <w:t>,</w:t>
      </w:r>
      <w:r w:rsidR="00AD0C12" w:rsidRPr="009E40E2">
        <w:rPr>
          <w:rFonts w:ascii="Times New Roman" w:hAnsi="Times New Roman" w:cs="Times New Roman"/>
          <w:lang w:val="lt-LT"/>
        </w:rPr>
        <w:t xml:space="preserve"> </w:t>
      </w:r>
      <w:r w:rsidR="00CF7F6E">
        <w:rPr>
          <w:rFonts w:ascii="Times New Roman" w:hAnsi="Times New Roman" w:cs="Times New Roman"/>
          <w:lang w:val="lt-LT"/>
        </w:rPr>
        <w:t>veiklos architektūros</w:t>
      </w:r>
      <w:r w:rsidR="00CF7F6E" w:rsidRPr="47094BAE">
        <w:rPr>
          <w:rStyle w:val="FootnoteReference"/>
          <w:rFonts w:ascii="Times New Roman" w:hAnsi="Times New Roman" w:cs="Times New Roman"/>
          <w:lang w:val="lt-LT"/>
        </w:rPr>
        <w:footnoteReference w:id="1"/>
      </w:r>
      <w:r w:rsidR="00CF7F6E">
        <w:rPr>
          <w:rFonts w:ascii="Times New Roman" w:hAnsi="Times New Roman" w:cs="Times New Roman"/>
          <w:lang w:val="lt-LT"/>
        </w:rPr>
        <w:t xml:space="preserve"> kūrimo</w:t>
      </w:r>
      <w:r w:rsidR="00CF7F6E" w:rsidRPr="009E40E2">
        <w:rPr>
          <w:rFonts w:ascii="Times New Roman" w:hAnsi="Times New Roman" w:cs="Times New Roman"/>
          <w:lang w:val="lt-LT"/>
        </w:rPr>
        <w:t xml:space="preserve"> </w:t>
      </w:r>
      <w:r w:rsidR="007F6597" w:rsidRPr="009E40E2">
        <w:rPr>
          <w:rFonts w:ascii="Times New Roman" w:hAnsi="Times New Roman" w:cs="Times New Roman"/>
          <w:lang w:val="lt-LT"/>
        </w:rPr>
        <w:t xml:space="preserve">ir veiklos vertinimo rodiklių nustatymo ir pamatavimo </w:t>
      </w:r>
      <w:r w:rsidR="00AD0C12" w:rsidRPr="009E40E2">
        <w:rPr>
          <w:rFonts w:ascii="Times New Roman" w:hAnsi="Times New Roman" w:cs="Times New Roman"/>
          <w:lang w:val="lt-LT"/>
        </w:rPr>
        <w:t xml:space="preserve">konsultacines paslaugas. </w:t>
      </w:r>
      <w:r w:rsidR="6A56DE8B" w:rsidRPr="009E40E2">
        <w:rPr>
          <w:rFonts w:ascii="Times New Roman" w:hAnsi="Times New Roman" w:cs="Times New Roman"/>
          <w:lang w:val="lt-LT"/>
        </w:rPr>
        <w:t>Šiuo pirkimu nėra perkama informacinė sistema (įrankiai), skirti procesiniam valdymui.</w:t>
      </w:r>
    </w:p>
    <w:p w14:paraId="436B283B" w14:textId="67A0D825" w:rsidR="00DB261B" w:rsidRPr="00AD2695" w:rsidRDefault="00DB261B" w:rsidP="009A396D">
      <w:pPr>
        <w:pStyle w:val="ListParagraph"/>
        <w:numPr>
          <w:ilvl w:val="0"/>
          <w:numId w:val="6"/>
        </w:numPr>
        <w:spacing w:after="0"/>
        <w:ind w:left="0" w:firstLine="567"/>
        <w:jc w:val="both"/>
        <w:rPr>
          <w:rFonts w:ascii="Times New Roman" w:hAnsi="Times New Roman" w:cs="Times New Roman"/>
          <w:lang w:val="lt-LT"/>
        </w:rPr>
      </w:pPr>
      <w:r w:rsidRPr="009E40E2">
        <w:rPr>
          <w:rFonts w:ascii="Times New Roman" w:hAnsi="Times New Roman" w:cs="Times New Roman"/>
          <w:b/>
          <w:bCs/>
          <w:lang w:val="lt-LT"/>
        </w:rPr>
        <w:t>Pirkimo objekto aprašymas:</w:t>
      </w:r>
    </w:p>
    <w:p w14:paraId="38B6C457" w14:textId="26959372" w:rsidR="00AD2695" w:rsidRPr="005F4DA4" w:rsidRDefault="1C306972" w:rsidP="00AD2695">
      <w:pPr>
        <w:pStyle w:val="ListParagraph"/>
        <w:numPr>
          <w:ilvl w:val="1"/>
          <w:numId w:val="6"/>
        </w:numPr>
        <w:tabs>
          <w:tab w:val="left" w:pos="993"/>
        </w:tabs>
        <w:spacing w:after="0"/>
        <w:ind w:left="0" w:firstLine="567"/>
        <w:jc w:val="both"/>
        <w:rPr>
          <w:rFonts w:ascii="Times New Roman" w:hAnsi="Times New Roman" w:cs="Times New Roman"/>
          <w:b/>
          <w:bCs/>
          <w:lang w:val="lt-LT"/>
        </w:rPr>
      </w:pPr>
      <w:r w:rsidRPr="47094BAE">
        <w:rPr>
          <w:rFonts w:ascii="Times New Roman" w:hAnsi="Times New Roman" w:cs="Times New Roman"/>
          <w:b/>
          <w:bCs/>
          <w:lang w:val="lt-LT"/>
        </w:rPr>
        <w:t>Pirkimo objektas</w:t>
      </w:r>
      <w:r w:rsidRPr="47094BAE">
        <w:rPr>
          <w:rFonts w:ascii="Times New Roman" w:hAnsi="Times New Roman" w:cs="Times New Roman"/>
          <w:lang w:val="lt-LT"/>
        </w:rPr>
        <w:t xml:space="preserve"> –</w:t>
      </w:r>
      <w:r w:rsidR="00CF7F6E">
        <w:rPr>
          <w:rFonts w:ascii="Times New Roman" w:hAnsi="Times New Roman" w:cs="Times New Roman"/>
          <w:lang w:val="lt-LT"/>
        </w:rPr>
        <w:t xml:space="preserve"> </w:t>
      </w:r>
      <w:r w:rsidR="2007CD60" w:rsidRPr="12836160">
        <w:rPr>
          <w:rFonts w:ascii="Times New Roman" w:hAnsi="Times New Roman" w:cs="Times New Roman"/>
          <w:lang w:val="lt-LT"/>
        </w:rPr>
        <w:t>p</w:t>
      </w:r>
      <w:r w:rsidRPr="47094BAE">
        <w:rPr>
          <w:rFonts w:ascii="Times New Roman" w:hAnsi="Times New Roman" w:cs="Times New Roman"/>
          <w:lang w:val="lt-LT"/>
        </w:rPr>
        <w:t>rocesinio valdymo diegimo</w:t>
      </w:r>
      <w:r w:rsidR="00CF7F6E">
        <w:rPr>
          <w:rFonts w:ascii="Times New Roman" w:hAnsi="Times New Roman" w:cs="Times New Roman"/>
          <w:lang w:val="lt-LT"/>
        </w:rPr>
        <w:t xml:space="preserve"> Taryboje, </w:t>
      </w:r>
      <w:r w:rsidR="00CF7F6E" w:rsidRPr="12836160">
        <w:rPr>
          <w:rFonts w:ascii="Times New Roman" w:hAnsi="Times New Roman" w:cs="Times New Roman"/>
          <w:lang w:val="lt-LT"/>
        </w:rPr>
        <w:t xml:space="preserve">veiklos architektūros kūrimo </w:t>
      </w:r>
      <w:r w:rsidRPr="47094BAE">
        <w:rPr>
          <w:rFonts w:ascii="Times New Roman" w:hAnsi="Times New Roman" w:cs="Times New Roman"/>
          <w:lang w:val="lt-LT"/>
        </w:rPr>
        <w:t xml:space="preserve">ir veiklos vertinimo rodiklių nustatymo ir pamatavimo konsultacinės paslaugos (toliau – Paslaugos) apima: </w:t>
      </w:r>
      <w:r w:rsidRPr="0065775A">
        <w:rPr>
          <w:rFonts w:ascii="Times New Roman" w:hAnsi="Times New Roman" w:cs="Times New Roman"/>
          <w:lang w:val="lt-LT"/>
        </w:rPr>
        <w:t xml:space="preserve">a) metodinė pagalba – </w:t>
      </w:r>
      <w:r w:rsidR="74AA554B" w:rsidRPr="0065775A">
        <w:rPr>
          <w:rFonts w:ascii="Times New Roman" w:hAnsi="Times New Roman" w:cs="Times New Roman"/>
          <w:lang w:val="lt-LT"/>
        </w:rPr>
        <w:t>metodinės</w:t>
      </w:r>
      <w:r w:rsidR="7B8672BA" w:rsidRPr="0065775A">
        <w:rPr>
          <w:rFonts w:ascii="Times New Roman" w:hAnsi="Times New Roman" w:cs="Times New Roman"/>
          <w:lang w:val="lt-LT"/>
        </w:rPr>
        <w:t xml:space="preserve"> (teorinės)</w:t>
      </w:r>
      <w:r w:rsidR="74AA554B" w:rsidRPr="0065775A">
        <w:rPr>
          <w:rFonts w:ascii="Times New Roman" w:hAnsi="Times New Roman" w:cs="Times New Roman"/>
          <w:lang w:val="lt-LT"/>
        </w:rPr>
        <w:t xml:space="preserve"> medžiagos</w:t>
      </w:r>
      <w:r w:rsidR="134F2076" w:rsidRPr="0065775A">
        <w:rPr>
          <w:rFonts w:ascii="Times New Roman" w:hAnsi="Times New Roman" w:cs="Times New Roman"/>
          <w:lang w:val="lt-LT"/>
        </w:rPr>
        <w:t xml:space="preserve"> (įskaitant rekomenduojamus šablonus)</w:t>
      </w:r>
      <w:r w:rsidR="74AA554B" w:rsidRPr="0065775A">
        <w:rPr>
          <w:rFonts w:ascii="Times New Roman" w:hAnsi="Times New Roman" w:cs="Times New Roman"/>
          <w:lang w:val="lt-LT"/>
        </w:rPr>
        <w:t xml:space="preserve">, </w:t>
      </w:r>
      <w:r w:rsidRPr="0065775A">
        <w:rPr>
          <w:rFonts w:ascii="Times New Roman" w:hAnsi="Times New Roman" w:cs="Times New Roman"/>
          <w:lang w:val="lt-LT"/>
        </w:rPr>
        <w:t>rekomendacijų ir geriausių praktikų teikimas</w:t>
      </w:r>
      <w:r w:rsidR="58F41675" w:rsidRPr="0065775A">
        <w:rPr>
          <w:rFonts w:ascii="Times New Roman" w:hAnsi="Times New Roman" w:cs="Times New Roman"/>
          <w:lang w:val="lt-LT"/>
        </w:rPr>
        <w:t xml:space="preserve"> </w:t>
      </w:r>
      <w:r w:rsidRPr="0065775A">
        <w:rPr>
          <w:rFonts w:ascii="Times New Roman" w:hAnsi="Times New Roman" w:cs="Times New Roman"/>
          <w:lang w:val="lt-LT"/>
        </w:rPr>
        <w:t>procesų valdymo</w:t>
      </w:r>
      <w:r w:rsidR="00CF7F6E" w:rsidRPr="0065775A">
        <w:rPr>
          <w:rFonts w:ascii="Times New Roman" w:hAnsi="Times New Roman" w:cs="Times New Roman"/>
          <w:lang w:val="lt-LT"/>
        </w:rPr>
        <w:t>, veiklos architektūros</w:t>
      </w:r>
      <w:r w:rsidRPr="0065775A">
        <w:rPr>
          <w:rFonts w:ascii="Times New Roman" w:hAnsi="Times New Roman" w:cs="Times New Roman"/>
          <w:lang w:val="lt-LT"/>
        </w:rPr>
        <w:t xml:space="preserve"> </w:t>
      </w:r>
      <w:r w:rsidR="00CF7F6E" w:rsidRPr="0065775A">
        <w:rPr>
          <w:rFonts w:ascii="Times New Roman" w:hAnsi="Times New Roman" w:cs="Times New Roman"/>
          <w:lang w:val="lt-LT"/>
        </w:rPr>
        <w:t xml:space="preserve">kūrimo </w:t>
      </w:r>
      <w:r w:rsidRPr="0065775A">
        <w:rPr>
          <w:rFonts w:ascii="Times New Roman" w:hAnsi="Times New Roman" w:cs="Times New Roman"/>
          <w:lang w:val="lt-LT"/>
        </w:rPr>
        <w:t>ir rodiklių nustatymo srityje</w:t>
      </w:r>
      <w:r w:rsidR="01B570A1" w:rsidRPr="0065775A">
        <w:rPr>
          <w:rFonts w:ascii="Times New Roman" w:hAnsi="Times New Roman" w:cs="Times New Roman"/>
          <w:lang w:val="lt-LT"/>
        </w:rPr>
        <w:t xml:space="preserve"> atsižvelgiant į Perkančiosios organizacijos veiklos specifiką</w:t>
      </w:r>
      <w:r w:rsidRPr="0065775A">
        <w:rPr>
          <w:rFonts w:ascii="Times New Roman" w:hAnsi="Times New Roman" w:cs="Times New Roman"/>
          <w:lang w:val="lt-LT"/>
        </w:rPr>
        <w:t>; b) praktinė pagalba – aktyvus dalyvavimas diegiant procesinį valdymą</w:t>
      </w:r>
      <w:r w:rsidR="00CF7F6E" w:rsidRPr="0065775A">
        <w:rPr>
          <w:rFonts w:ascii="Times New Roman" w:hAnsi="Times New Roman" w:cs="Times New Roman"/>
          <w:lang w:val="lt-LT"/>
        </w:rPr>
        <w:t>, kuriant veiklos architektūrą</w:t>
      </w:r>
      <w:r w:rsidRPr="0065775A">
        <w:rPr>
          <w:rFonts w:ascii="Times New Roman" w:hAnsi="Times New Roman" w:cs="Times New Roman"/>
          <w:lang w:val="lt-LT"/>
        </w:rPr>
        <w:t xml:space="preserve"> ir </w:t>
      </w:r>
      <w:r w:rsidR="00CF7F6E" w:rsidRPr="0065775A">
        <w:rPr>
          <w:rFonts w:ascii="Times New Roman" w:hAnsi="Times New Roman" w:cs="Times New Roman"/>
          <w:lang w:val="lt-LT"/>
        </w:rPr>
        <w:t xml:space="preserve">sudarant </w:t>
      </w:r>
      <w:r w:rsidRPr="0065775A">
        <w:rPr>
          <w:rFonts w:ascii="Times New Roman" w:hAnsi="Times New Roman" w:cs="Times New Roman"/>
          <w:lang w:val="lt-LT"/>
        </w:rPr>
        <w:t>rodiklių sistemą organizacijoje; c) mokymai ir pristatymai – darbuotojų instruktavimas apie procesinio valdymo</w:t>
      </w:r>
      <w:r w:rsidR="00882176" w:rsidRPr="0065775A">
        <w:rPr>
          <w:rFonts w:ascii="Times New Roman" w:hAnsi="Times New Roman" w:cs="Times New Roman"/>
          <w:lang w:val="lt-LT"/>
        </w:rPr>
        <w:t xml:space="preserve"> ir veiklos architektūros</w:t>
      </w:r>
      <w:r w:rsidRPr="0065775A">
        <w:rPr>
          <w:rFonts w:ascii="Times New Roman" w:hAnsi="Times New Roman" w:cs="Times New Roman"/>
          <w:lang w:val="lt-LT"/>
        </w:rPr>
        <w:t xml:space="preserve"> principus, rodiklių naudojimą bei matavimą; d) darbinių sesijų moderavimas – interaktyvių sesijų vedimas, skirtas procesų analizavimui</w:t>
      </w:r>
      <w:r w:rsidR="5195F091" w:rsidRPr="0065775A">
        <w:rPr>
          <w:rFonts w:ascii="Times New Roman" w:hAnsi="Times New Roman" w:cs="Times New Roman"/>
          <w:lang w:val="lt-LT"/>
        </w:rPr>
        <w:t xml:space="preserve"> ir modeliavimui</w:t>
      </w:r>
      <w:r w:rsidRPr="0065775A">
        <w:rPr>
          <w:rFonts w:ascii="Times New Roman" w:hAnsi="Times New Roman" w:cs="Times New Roman"/>
          <w:lang w:val="lt-LT"/>
        </w:rPr>
        <w:t xml:space="preserve">, </w:t>
      </w:r>
      <w:r w:rsidR="00882176" w:rsidRPr="0065775A">
        <w:rPr>
          <w:rFonts w:ascii="Times New Roman" w:hAnsi="Times New Roman" w:cs="Times New Roman"/>
          <w:lang w:val="lt-LT"/>
        </w:rPr>
        <w:t xml:space="preserve">veiklos architektūros kūrimui ir </w:t>
      </w:r>
      <w:r w:rsidRPr="0065775A">
        <w:rPr>
          <w:rFonts w:ascii="Times New Roman" w:hAnsi="Times New Roman" w:cs="Times New Roman"/>
          <w:lang w:val="lt-LT"/>
        </w:rPr>
        <w:t xml:space="preserve">rodiklių kūrimui ir pritaikymui. </w:t>
      </w:r>
      <w:r w:rsidRPr="47094BAE">
        <w:rPr>
          <w:rFonts w:ascii="Times New Roman" w:hAnsi="Times New Roman" w:cs="Times New Roman"/>
          <w:b/>
          <w:bCs/>
          <w:lang w:val="lt-LT"/>
        </w:rPr>
        <w:t>Paslaugų teikėjas Perkančiajai organizacijai turi teikti Paslaugas, susijusias su šiomis sritimis:</w:t>
      </w:r>
    </w:p>
    <w:p w14:paraId="569708D5"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4B7D57">
        <w:rPr>
          <w:rFonts w:ascii="Times New Roman" w:hAnsi="Times New Roman" w:cs="Times New Roman"/>
          <w:lang w:val="lt-LT"/>
        </w:rPr>
        <w:t>procesinio valdymo diegimo principai ir jų praktinis taikymas;</w:t>
      </w:r>
    </w:p>
    <w:p w14:paraId="7B3ABB4D"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4B7D57">
        <w:rPr>
          <w:rFonts w:ascii="Times New Roman" w:hAnsi="Times New Roman" w:cs="Times New Roman"/>
          <w:lang w:val="lt-LT"/>
        </w:rPr>
        <w:t>procesų žemėlapio sudarymas ir procesų struktūravimas;</w:t>
      </w:r>
    </w:p>
    <w:p w14:paraId="173076B5"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4B7D57">
        <w:rPr>
          <w:rFonts w:ascii="Times New Roman" w:hAnsi="Times New Roman" w:cs="Times New Roman"/>
          <w:lang w:val="lt-LT"/>
        </w:rPr>
        <w:t xml:space="preserve">esamų procesų analizė, jų trukdžių ir </w:t>
      </w:r>
      <w:r w:rsidRPr="00C06F12">
        <w:rPr>
          <w:rFonts w:ascii="Times New Roman" w:hAnsi="Times New Roman" w:cs="Times New Roman"/>
          <w:lang w:val="lt-LT"/>
        </w:rPr>
        <w:t>neefektyvumų identifikavimas</w:t>
      </w:r>
      <w:r w:rsidRPr="004B7D57">
        <w:rPr>
          <w:rFonts w:ascii="Times New Roman" w:hAnsi="Times New Roman" w:cs="Times New Roman"/>
          <w:lang w:val="lt-LT"/>
        </w:rPr>
        <w:t>;</w:t>
      </w:r>
    </w:p>
    <w:p w14:paraId="3946A970"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4B7D57">
        <w:rPr>
          <w:rFonts w:ascii="Times New Roman" w:hAnsi="Times New Roman" w:cs="Times New Roman"/>
          <w:lang w:val="lt-LT"/>
        </w:rPr>
        <w:t xml:space="preserve">procesų </w:t>
      </w:r>
      <w:r w:rsidRPr="008443D0">
        <w:rPr>
          <w:rFonts w:ascii="Times New Roman" w:hAnsi="Times New Roman" w:cs="Times New Roman"/>
          <w:lang w:val="lt-LT"/>
        </w:rPr>
        <w:t>optimizavimo, supaprastinimo</w:t>
      </w:r>
      <w:r w:rsidRPr="004B7D57">
        <w:rPr>
          <w:rFonts w:ascii="Times New Roman" w:hAnsi="Times New Roman" w:cs="Times New Roman"/>
          <w:lang w:val="lt-LT"/>
        </w:rPr>
        <w:t xml:space="preserve"> ir standartizavimo metodai;</w:t>
      </w:r>
    </w:p>
    <w:p w14:paraId="66DF038E"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4B7D57">
        <w:rPr>
          <w:rFonts w:ascii="Times New Roman" w:hAnsi="Times New Roman" w:cs="Times New Roman"/>
          <w:lang w:val="lt-LT"/>
        </w:rPr>
        <w:t>atsakomybių, funkcijų ir vaidmenų aiškus paskirstymas procesų lygmeniu;</w:t>
      </w:r>
    </w:p>
    <w:p w14:paraId="14983E92"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4B7D57">
        <w:rPr>
          <w:rFonts w:ascii="Times New Roman" w:hAnsi="Times New Roman" w:cs="Times New Roman"/>
          <w:lang w:val="lt-LT"/>
        </w:rPr>
        <w:t>procesų aprašymo, schemų rengimo ir dokumentavimo praktikos;</w:t>
      </w:r>
    </w:p>
    <w:p w14:paraId="2FA534AB"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4B7D57">
        <w:rPr>
          <w:rFonts w:ascii="Times New Roman" w:hAnsi="Times New Roman" w:cs="Times New Roman"/>
          <w:lang w:val="lt-LT"/>
        </w:rPr>
        <w:t>veiklos rodiklių sistemos kūrimo principai;</w:t>
      </w:r>
    </w:p>
    <w:p w14:paraId="6FE23E7D"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6A347038">
        <w:rPr>
          <w:rFonts w:ascii="Times New Roman" w:hAnsi="Times New Roman" w:cs="Times New Roman"/>
          <w:lang w:val="lt-LT"/>
        </w:rPr>
        <w:t>rodiklių parinkimo, formulavimo ir matavimo metodikos;</w:t>
      </w:r>
    </w:p>
    <w:p w14:paraId="55842E5B" w14:textId="451A38F5" w:rsidR="00AD2695" w:rsidRPr="004B7D57" w:rsidRDefault="2707B906"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6A347038">
        <w:rPr>
          <w:rFonts w:ascii="Times New Roman" w:hAnsi="Times New Roman" w:cs="Times New Roman"/>
          <w:lang w:val="lt-LT"/>
        </w:rPr>
        <w:t xml:space="preserve">rezultatų stebėsenos ir analizės </w:t>
      </w:r>
      <w:r w:rsidR="00721D9F" w:rsidRPr="6A347038">
        <w:rPr>
          <w:rFonts w:ascii="Times New Roman" w:hAnsi="Times New Roman" w:cs="Times New Roman"/>
          <w:lang w:val="lt-LT"/>
        </w:rPr>
        <w:t>siste</w:t>
      </w:r>
      <w:r w:rsidR="00FB362F" w:rsidRPr="6A347038">
        <w:rPr>
          <w:rFonts w:ascii="Times New Roman" w:hAnsi="Times New Roman" w:cs="Times New Roman"/>
          <w:lang w:val="lt-LT"/>
        </w:rPr>
        <w:t xml:space="preserve">mos </w:t>
      </w:r>
      <w:r w:rsidRPr="6A347038">
        <w:rPr>
          <w:rFonts w:ascii="Times New Roman" w:hAnsi="Times New Roman" w:cs="Times New Roman"/>
          <w:lang w:val="lt-LT"/>
        </w:rPr>
        <w:t>organizavimas;</w:t>
      </w:r>
    </w:p>
    <w:p w14:paraId="568FDD63" w14:textId="3CE0620B" w:rsidR="02D5C2CA" w:rsidRDefault="02D5C2CA" w:rsidP="47094BAE">
      <w:pPr>
        <w:pStyle w:val="ListParagraph"/>
        <w:numPr>
          <w:ilvl w:val="2"/>
          <w:numId w:val="6"/>
        </w:numPr>
        <w:tabs>
          <w:tab w:val="left" w:pos="993"/>
        </w:tabs>
        <w:spacing w:after="0"/>
        <w:ind w:left="0" w:firstLine="567"/>
        <w:jc w:val="both"/>
        <w:rPr>
          <w:rFonts w:ascii="Times New Roman" w:hAnsi="Times New Roman" w:cs="Times New Roman"/>
          <w:lang w:val="lt-LT"/>
        </w:rPr>
      </w:pPr>
      <w:r w:rsidRPr="47094BAE">
        <w:rPr>
          <w:rFonts w:ascii="Times New Roman" w:hAnsi="Times New Roman" w:cs="Times New Roman"/>
          <w:lang w:val="lt-LT"/>
        </w:rPr>
        <w:t>pagrindinių v</w:t>
      </w:r>
      <w:r w:rsidR="37966EA6" w:rsidRPr="47094BAE">
        <w:rPr>
          <w:rFonts w:ascii="Times New Roman" w:hAnsi="Times New Roman" w:cs="Times New Roman"/>
          <w:lang w:val="lt-LT"/>
        </w:rPr>
        <w:t>eiklos elementų ir ryšių (sąsajų)</w:t>
      </w:r>
      <w:r w:rsidR="6005A05F" w:rsidRPr="47094BAE">
        <w:rPr>
          <w:rFonts w:ascii="Times New Roman" w:hAnsi="Times New Roman" w:cs="Times New Roman"/>
          <w:lang w:val="lt-LT"/>
        </w:rPr>
        <w:t xml:space="preserve"> tarp veiklos elementų</w:t>
      </w:r>
      <w:r w:rsidR="37966EA6" w:rsidRPr="47094BAE">
        <w:rPr>
          <w:rFonts w:ascii="Times New Roman" w:hAnsi="Times New Roman" w:cs="Times New Roman"/>
          <w:lang w:val="lt-LT"/>
        </w:rPr>
        <w:t xml:space="preserve"> nustatymas, </w:t>
      </w:r>
      <w:r w:rsidR="3F4BBEB4" w:rsidRPr="47094BAE">
        <w:rPr>
          <w:rFonts w:ascii="Times New Roman" w:hAnsi="Times New Roman" w:cs="Times New Roman"/>
          <w:lang w:val="lt-LT"/>
        </w:rPr>
        <w:t>sujungimas į nuoseklią sistemą (veiklos architektūra);</w:t>
      </w:r>
      <w:r w:rsidR="37966EA6" w:rsidRPr="47094BAE">
        <w:rPr>
          <w:rFonts w:ascii="Times New Roman" w:hAnsi="Times New Roman" w:cs="Times New Roman"/>
          <w:lang w:val="lt-LT"/>
        </w:rPr>
        <w:t xml:space="preserve"> </w:t>
      </w:r>
    </w:p>
    <w:p w14:paraId="4AF33718" w14:textId="77777777" w:rsidR="00AD2695" w:rsidRPr="004B7D57"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4B7D57">
        <w:rPr>
          <w:rFonts w:ascii="Times New Roman" w:hAnsi="Times New Roman" w:cs="Times New Roman"/>
          <w:lang w:val="lt-LT"/>
        </w:rPr>
        <w:t>pokyčių valdymo metodai diegiant procesinį valdymą ir rodiklių sistemą;</w:t>
      </w:r>
    </w:p>
    <w:p w14:paraId="6F956BFB" w14:textId="77777777" w:rsidR="00AD2695" w:rsidRDefault="00AD2695"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005A407B">
        <w:rPr>
          <w:rFonts w:ascii="Times New Roman" w:hAnsi="Times New Roman" w:cs="Times New Roman"/>
          <w:lang w:val="lt-LT"/>
        </w:rPr>
        <w:lastRenderedPageBreak/>
        <w:t>problemų sprendimo kultūros stiprinimas ir nuolatinio tobulinimo</w:t>
      </w:r>
      <w:r w:rsidRPr="004B7D57">
        <w:rPr>
          <w:rFonts w:ascii="Times New Roman" w:hAnsi="Times New Roman" w:cs="Times New Roman"/>
          <w:lang w:val="lt-LT"/>
        </w:rPr>
        <w:t xml:space="preserve"> metodai.</w:t>
      </w:r>
    </w:p>
    <w:p w14:paraId="30B65464" w14:textId="29570E7C" w:rsidR="001F39FE" w:rsidRPr="004B7D57" w:rsidRDefault="0378FD5F" w:rsidP="00AD2695">
      <w:pPr>
        <w:pStyle w:val="ListParagraph"/>
        <w:numPr>
          <w:ilvl w:val="2"/>
          <w:numId w:val="6"/>
        </w:numPr>
        <w:tabs>
          <w:tab w:val="left" w:pos="993"/>
        </w:tabs>
        <w:spacing w:after="0"/>
        <w:ind w:left="0" w:firstLine="567"/>
        <w:jc w:val="both"/>
        <w:rPr>
          <w:rFonts w:ascii="Times New Roman" w:hAnsi="Times New Roman" w:cs="Times New Roman"/>
          <w:lang w:val="lt-LT"/>
        </w:rPr>
      </w:pPr>
      <w:r w:rsidRPr="47094BAE">
        <w:rPr>
          <w:rFonts w:ascii="Times New Roman" w:hAnsi="Times New Roman" w:cs="Times New Roman"/>
          <w:lang w:val="lt-LT"/>
        </w:rPr>
        <w:t>k</w:t>
      </w:r>
      <w:r w:rsidR="72775A20" w:rsidRPr="47094BAE">
        <w:rPr>
          <w:rFonts w:ascii="Times New Roman" w:hAnsi="Times New Roman" w:cs="Times New Roman"/>
          <w:lang w:val="lt-LT"/>
        </w:rPr>
        <w:t xml:space="preserve">itos Paslaugos tiesiogiai susijusios su </w:t>
      </w:r>
      <w:r w:rsidR="49458071" w:rsidRPr="47094BAE">
        <w:rPr>
          <w:rFonts w:ascii="Times New Roman" w:hAnsi="Times New Roman" w:cs="Times New Roman"/>
          <w:lang w:val="lt-LT"/>
        </w:rPr>
        <w:t>veiklo</w:t>
      </w:r>
      <w:r w:rsidR="2D8AFBFD" w:rsidRPr="47094BAE">
        <w:rPr>
          <w:rFonts w:ascii="Times New Roman" w:hAnsi="Times New Roman" w:cs="Times New Roman"/>
          <w:lang w:val="lt-LT"/>
        </w:rPr>
        <w:t>s</w:t>
      </w:r>
      <w:r w:rsidR="49458071" w:rsidRPr="47094BAE">
        <w:rPr>
          <w:rFonts w:ascii="Times New Roman" w:hAnsi="Times New Roman" w:cs="Times New Roman"/>
          <w:lang w:val="lt-LT"/>
        </w:rPr>
        <w:t xml:space="preserve"> architektūros kūrimo, </w:t>
      </w:r>
      <w:r w:rsidR="72775A20" w:rsidRPr="47094BAE">
        <w:rPr>
          <w:rFonts w:ascii="Times New Roman" w:hAnsi="Times New Roman" w:cs="Times New Roman"/>
          <w:lang w:val="lt-LT"/>
        </w:rPr>
        <w:t>procesinio valdymo diegimo ir veiklos vertinimo rodiklių nustatymo ir pamatavimo sritimi.</w:t>
      </w:r>
    </w:p>
    <w:p w14:paraId="744D6620" w14:textId="0D3C64D5" w:rsidR="00C54303" w:rsidRPr="009E40E2" w:rsidRDefault="001442A7" w:rsidP="009A396D">
      <w:pPr>
        <w:pStyle w:val="ListParagraph"/>
        <w:numPr>
          <w:ilvl w:val="1"/>
          <w:numId w:val="6"/>
        </w:numPr>
        <w:spacing w:after="0"/>
        <w:ind w:left="0" w:firstLine="567"/>
        <w:jc w:val="both"/>
        <w:rPr>
          <w:rFonts w:ascii="Times New Roman" w:hAnsi="Times New Roman" w:cs="Times New Roman"/>
          <w:lang w:val="lt-LT"/>
        </w:rPr>
      </w:pPr>
      <w:r w:rsidRPr="33DBDCC2">
        <w:rPr>
          <w:rFonts w:ascii="Times New Roman" w:hAnsi="Times New Roman" w:cs="Times New Roman"/>
          <w:b/>
          <w:bCs/>
          <w:lang w:val="lt-LT"/>
        </w:rPr>
        <w:t>Paslaugų</w:t>
      </w:r>
      <w:r w:rsidR="00B252C6" w:rsidRPr="33DBDCC2">
        <w:rPr>
          <w:rFonts w:ascii="Times New Roman" w:hAnsi="Times New Roman" w:cs="Times New Roman"/>
          <w:b/>
          <w:bCs/>
          <w:lang w:val="lt-LT"/>
        </w:rPr>
        <w:t xml:space="preserve"> apimtis</w:t>
      </w:r>
      <w:r w:rsidR="00B252C6" w:rsidRPr="33DBDCC2">
        <w:rPr>
          <w:rFonts w:ascii="Times New Roman" w:hAnsi="Times New Roman" w:cs="Times New Roman"/>
          <w:lang w:val="lt-LT"/>
        </w:rPr>
        <w:t xml:space="preserve"> – </w:t>
      </w:r>
      <w:r w:rsidR="004B7D57" w:rsidRPr="33DBDCC2">
        <w:rPr>
          <w:rFonts w:ascii="Times New Roman" w:hAnsi="Times New Roman" w:cs="Times New Roman"/>
          <w:lang w:val="lt-LT"/>
        </w:rPr>
        <w:t xml:space="preserve">preliminariai </w:t>
      </w:r>
      <w:r w:rsidR="00882176" w:rsidRPr="33DBDCC2">
        <w:rPr>
          <w:rFonts w:ascii="Times New Roman" w:hAnsi="Times New Roman" w:cs="Times New Roman"/>
          <w:lang w:val="lt-LT"/>
        </w:rPr>
        <w:t>1</w:t>
      </w:r>
      <w:r w:rsidR="6D0FF42C" w:rsidRPr="33DBDCC2">
        <w:rPr>
          <w:rFonts w:ascii="Times New Roman" w:hAnsi="Times New Roman" w:cs="Times New Roman"/>
          <w:lang w:val="lt-LT"/>
        </w:rPr>
        <w:t>7</w:t>
      </w:r>
      <w:r w:rsidR="00882176" w:rsidRPr="33DBDCC2">
        <w:rPr>
          <w:rFonts w:ascii="Times New Roman" w:hAnsi="Times New Roman" w:cs="Times New Roman"/>
          <w:lang w:val="lt-LT"/>
        </w:rPr>
        <w:t xml:space="preserve">0 </w:t>
      </w:r>
      <w:r w:rsidR="00B252C6" w:rsidRPr="33DBDCC2">
        <w:rPr>
          <w:rFonts w:ascii="Times New Roman" w:hAnsi="Times New Roman" w:cs="Times New Roman"/>
          <w:lang w:val="lt-LT"/>
        </w:rPr>
        <w:t>val.</w:t>
      </w:r>
      <w:r w:rsidR="4C58B9E6" w:rsidRPr="33DBDCC2">
        <w:rPr>
          <w:rFonts w:ascii="Times New Roman" w:hAnsi="Times New Roman" w:cs="Times New Roman"/>
          <w:lang w:val="lt-LT"/>
        </w:rPr>
        <w:t xml:space="preserve">, iš kurių preliminariai 150 val. </w:t>
      </w:r>
      <w:r w:rsidR="77654605" w:rsidRPr="33DBDCC2">
        <w:rPr>
          <w:rFonts w:ascii="Times New Roman" w:hAnsi="Times New Roman" w:cs="Times New Roman"/>
          <w:lang w:val="lt-LT"/>
        </w:rPr>
        <w:t>teorinei ir praktinei pagalbai (konsultacijoms)</w:t>
      </w:r>
      <w:r w:rsidR="4C58B9E6" w:rsidRPr="33DBDCC2">
        <w:rPr>
          <w:rFonts w:ascii="Times New Roman" w:hAnsi="Times New Roman" w:cs="Times New Roman"/>
          <w:lang w:val="lt-LT"/>
        </w:rPr>
        <w:t>,</w:t>
      </w:r>
      <w:r w:rsidR="4EA5E15E" w:rsidRPr="33DBDCC2">
        <w:rPr>
          <w:rFonts w:ascii="Times New Roman" w:hAnsi="Times New Roman" w:cs="Times New Roman"/>
          <w:lang w:val="lt-LT"/>
        </w:rPr>
        <w:t xml:space="preserve"> pristatymams bei</w:t>
      </w:r>
      <w:r w:rsidR="4C58B9E6" w:rsidRPr="33DBDCC2">
        <w:rPr>
          <w:rFonts w:ascii="Times New Roman" w:hAnsi="Times New Roman" w:cs="Times New Roman"/>
          <w:lang w:val="lt-LT"/>
        </w:rPr>
        <w:t xml:space="preserve"> darbini</w:t>
      </w:r>
      <w:r w:rsidR="4B9BC68E" w:rsidRPr="33DBDCC2">
        <w:rPr>
          <w:rFonts w:ascii="Times New Roman" w:hAnsi="Times New Roman" w:cs="Times New Roman"/>
          <w:lang w:val="lt-LT"/>
        </w:rPr>
        <w:t>ų</w:t>
      </w:r>
      <w:r w:rsidR="4C58B9E6" w:rsidRPr="33DBDCC2">
        <w:rPr>
          <w:rFonts w:ascii="Times New Roman" w:hAnsi="Times New Roman" w:cs="Times New Roman"/>
          <w:lang w:val="lt-LT"/>
        </w:rPr>
        <w:t xml:space="preserve"> ses</w:t>
      </w:r>
      <w:r w:rsidR="56539E45" w:rsidRPr="33DBDCC2">
        <w:rPr>
          <w:rFonts w:ascii="Times New Roman" w:hAnsi="Times New Roman" w:cs="Times New Roman"/>
          <w:lang w:val="lt-LT"/>
        </w:rPr>
        <w:t>ij</w:t>
      </w:r>
      <w:r w:rsidR="6CDC434F" w:rsidRPr="33DBDCC2">
        <w:rPr>
          <w:rFonts w:ascii="Times New Roman" w:hAnsi="Times New Roman" w:cs="Times New Roman"/>
          <w:lang w:val="lt-LT"/>
        </w:rPr>
        <w:t>ų</w:t>
      </w:r>
      <w:r w:rsidR="56539E45" w:rsidRPr="33DBDCC2">
        <w:rPr>
          <w:rFonts w:ascii="Times New Roman" w:hAnsi="Times New Roman" w:cs="Times New Roman"/>
          <w:lang w:val="lt-LT"/>
        </w:rPr>
        <w:t xml:space="preserve"> moderavimui</w:t>
      </w:r>
      <w:r w:rsidR="4C58B9E6" w:rsidRPr="33DBDCC2">
        <w:rPr>
          <w:rFonts w:ascii="Times New Roman" w:hAnsi="Times New Roman" w:cs="Times New Roman"/>
          <w:lang w:val="lt-LT"/>
        </w:rPr>
        <w:t xml:space="preserve"> </w:t>
      </w:r>
      <w:r w:rsidR="1D85449F" w:rsidRPr="33DBDCC2">
        <w:rPr>
          <w:rFonts w:ascii="Times New Roman" w:hAnsi="Times New Roman" w:cs="Times New Roman"/>
          <w:lang w:val="lt-LT"/>
        </w:rPr>
        <w:t>ir preliminariai</w:t>
      </w:r>
      <w:r w:rsidR="00346FE6">
        <w:rPr>
          <w:rFonts w:ascii="Times New Roman" w:hAnsi="Times New Roman" w:cs="Times New Roman"/>
          <w:lang w:val="lt-LT"/>
        </w:rPr>
        <w:t xml:space="preserve"> 20 val.</w:t>
      </w:r>
      <w:r w:rsidRPr="33DBDCC2">
        <w:rPr>
          <w:rStyle w:val="FootnoteReference"/>
          <w:rFonts w:ascii="Times New Roman" w:hAnsi="Times New Roman" w:cs="Times New Roman"/>
          <w:lang w:val="lt-LT"/>
        </w:rPr>
        <w:footnoteReference w:id="2"/>
      </w:r>
      <w:r w:rsidR="1D85449F" w:rsidRPr="33DBDCC2">
        <w:rPr>
          <w:rFonts w:ascii="Times New Roman" w:hAnsi="Times New Roman" w:cs="Times New Roman"/>
          <w:lang w:val="lt-LT"/>
        </w:rPr>
        <w:t xml:space="preserve"> darbuotojų mokymams</w:t>
      </w:r>
      <w:r w:rsidR="61B66036" w:rsidRPr="33DBDCC2">
        <w:rPr>
          <w:rFonts w:ascii="Times New Roman" w:hAnsi="Times New Roman" w:cs="Times New Roman"/>
          <w:lang w:val="lt-LT"/>
        </w:rPr>
        <w:t xml:space="preserve"> (bendrai visos paslaugos Techninėje specifikacijoje vadinamos konsultacijomis</w:t>
      </w:r>
      <w:r w:rsidR="0E937E51" w:rsidRPr="33DBDCC2">
        <w:rPr>
          <w:rFonts w:ascii="Times New Roman" w:hAnsi="Times New Roman" w:cs="Times New Roman"/>
          <w:lang w:val="lt-LT"/>
        </w:rPr>
        <w:t xml:space="preserve"> / konsultacinės paslaugos</w:t>
      </w:r>
      <w:r w:rsidR="61B66036" w:rsidRPr="33DBDCC2">
        <w:rPr>
          <w:rFonts w:ascii="Times New Roman" w:hAnsi="Times New Roman" w:cs="Times New Roman"/>
          <w:lang w:val="lt-LT"/>
        </w:rPr>
        <w:t>)</w:t>
      </w:r>
      <w:r w:rsidR="1D85449F" w:rsidRPr="6A347038">
        <w:rPr>
          <w:rFonts w:ascii="Times New Roman" w:hAnsi="Times New Roman" w:cs="Times New Roman"/>
          <w:lang w:val="lt-LT"/>
        </w:rPr>
        <w:t>.</w:t>
      </w:r>
    </w:p>
    <w:p w14:paraId="0B20CDF1" w14:textId="249A2091" w:rsidR="00C54303" w:rsidRPr="009E40E2" w:rsidRDefault="2B1C3041" w:rsidP="009A396D">
      <w:pPr>
        <w:pStyle w:val="ListParagraph"/>
        <w:numPr>
          <w:ilvl w:val="1"/>
          <w:numId w:val="6"/>
        </w:numPr>
        <w:spacing w:after="0"/>
        <w:ind w:left="0" w:firstLine="567"/>
        <w:jc w:val="both"/>
        <w:rPr>
          <w:rFonts w:ascii="Times New Roman" w:hAnsi="Times New Roman" w:cs="Times New Roman"/>
          <w:lang w:val="lt-LT"/>
        </w:rPr>
      </w:pPr>
      <w:r w:rsidRPr="2E676985">
        <w:rPr>
          <w:rFonts w:ascii="Times New Roman" w:eastAsia="Times New Roman" w:hAnsi="Times New Roman" w:cs="Times New Roman"/>
          <w:b/>
          <w:bCs/>
          <w:color w:val="000000" w:themeColor="text1"/>
          <w:lang w:val="lt-LT"/>
        </w:rPr>
        <w:t>Paslaugų teikimo t</w:t>
      </w:r>
      <w:r w:rsidR="66F1EE99" w:rsidRPr="2E676985">
        <w:rPr>
          <w:rFonts w:ascii="Times New Roman" w:eastAsia="Times New Roman" w:hAnsi="Times New Roman" w:cs="Times New Roman"/>
          <w:b/>
          <w:bCs/>
          <w:color w:val="000000" w:themeColor="text1"/>
          <w:lang w:val="lt-LT"/>
        </w:rPr>
        <w:t>erminas</w:t>
      </w:r>
      <w:r w:rsidRPr="2E676985">
        <w:rPr>
          <w:rFonts w:ascii="Times New Roman" w:eastAsia="Times New Roman" w:hAnsi="Times New Roman" w:cs="Times New Roman"/>
          <w:b/>
          <w:bCs/>
          <w:color w:val="000000" w:themeColor="text1"/>
          <w:lang w:val="lt-LT"/>
        </w:rPr>
        <w:t xml:space="preserve"> –</w:t>
      </w:r>
      <w:r w:rsidR="66F1EE99" w:rsidRPr="2E676985">
        <w:rPr>
          <w:rFonts w:ascii="Times New Roman" w:eastAsia="Times New Roman" w:hAnsi="Times New Roman" w:cs="Times New Roman"/>
          <w:b/>
          <w:bCs/>
          <w:color w:val="000000" w:themeColor="text1"/>
          <w:lang w:val="lt-LT"/>
        </w:rPr>
        <w:t xml:space="preserve"> </w:t>
      </w:r>
      <w:r w:rsidR="00882176" w:rsidRPr="008A64D3">
        <w:rPr>
          <w:rFonts w:ascii="Times New Roman" w:eastAsia="Times New Roman" w:hAnsi="Times New Roman" w:cs="Times New Roman"/>
          <w:color w:val="000000" w:themeColor="text1"/>
          <w:lang w:val="lt-LT"/>
        </w:rPr>
        <w:t xml:space="preserve">36 </w:t>
      </w:r>
      <w:r w:rsidR="66F1EE99" w:rsidRPr="008A64D3">
        <w:rPr>
          <w:rFonts w:ascii="Times New Roman" w:eastAsia="Times New Roman" w:hAnsi="Times New Roman" w:cs="Times New Roman"/>
          <w:color w:val="000000" w:themeColor="text1"/>
          <w:lang w:val="lt-LT"/>
        </w:rPr>
        <w:t>(</w:t>
      </w:r>
      <w:r w:rsidR="00882176" w:rsidRPr="008A64D3">
        <w:rPr>
          <w:rFonts w:ascii="Times New Roman" w:eastAsia="Times New Roman" w:hAnsi="Times New Roman" w:cs="Times New Roman"/>
          <w:color w:val="000000" w:themeColor="text1"/>
          <w:lang w:val="lt-LT"/>
        </w:rPr>
        <w:t>trisdešimt šešių</w:t>
      </w:r>
      <w:r w:rsidR="66F1EE99" w:rsidRPr="008A64D3">
        <w:rPr>
          <w:rFonts w:ascii="Times New Roman" w:eastAsia="Times New Roman" w:hAnsi="Times New Roman" w:cs="Times New Roman"/>
          <w:color w:val="000000" w:themeColor="text1"/>
          <w:lang w:val="lt-LT"/>
        </w:rPr>
        <w:t>)</w:t>
      </w:r>
      <w:r w:rsidR="66F1EE99" w:rsidRPr="2E676985">
        <w:rPr>
          <w:rFonts w:ascii="Times New Roman" w:eastAsia="Times New Roman" w:hAnsi="Times New Roman" w:cs="Times New Roman"/>
          <w:color w:val="000000" w:themeColor="text1"/>
          <w:lang w:val="lt-LT"/>
        </w:rPr>
        <w:t xml:space="preserve"> mėnesių laikotarpyje nuo Sutarties įsigaliojimo dienos Perkančioji organizacija gali pateikti užsakymus dėl konsultacinių</w:t>
      </w:r>
      <w:r w:rsidRPr="2E676985">
        <w:rPr>
          <w:rFonts w:ascii="Times New Roman" w:eastAsia="Times New Roman" w:hAnsi="Times New Roman" w:cs="Times New Roman"/>
          <w:color w:val="000000" w:themeColor="text1"/>
          <w:lang w:val="lt-LT"/>
        </w:rPr>
        <w:t xml:space="preserve"> </w:t>
      </w:r>
      <w:r w:rsidR="66F1EE99" w:rsidRPr="2E676985">
        <w:rPr>
          <w:rFonts w:ascii="Times New Roman" w:eastAsia="Times New Roman" w:hAnsi="Times New Roman" w:cs="Times New Roman"/>
          <w:color w:val="000000" w:themeColor="text1"/>
          <w:lang w:val="lt-LT"/>
        </w:rPr>
        <w:t xml:space="preserve">paslaugų suteikimo. Kiekvieno konkretaus užsakymo įvykdymo terminas yra suderinamas tarp </w:t>
      </w:r>
      <w:r w:rsidRPr="2E676985">
        <w:rPr>
          <w:rFonts w:ascii="Times New Roman" w:eastAsia="Times New Roman" w:hAnsi="Times New Roman" w:cs="Times New Roman"/>
          <w:color w:val="000000" w:themeColor="text1"/>
          <w:lang w:val="lt-LT"/>
        </w:rPr>
        <w:t>Paslaugų teikėjo</w:t>
      </w:r>
      <w:r w:rsidR="66F1EE99" w:rsidRPr="2E676985">
        <w:rPr>
          <w:rFonts w:ascii="Times New Roman" w:eastAsia="Times New Roman" w:hAnsi="Times New Roman" w:cs="Times New Roman"/>
          <w:color w:val="000000" w:themeColor="text1"/>
          <w:lang w:val="lt-LT"/>
        </w:rPr>
        <w:t xml:space="preserve"> ir Perkančiosios organizacijos, tačiau jis negali būti ilgesnis nei 36 mėn. nuo Sutarties įsigaliojimo dienos. </w:t>
      </w:r>
    </w:p>
    <w:p w14:paraId="722DADFC" w14:textId="44343466" w:rsidR="00C54303" w:rsidRPr="00882176" w:rsidRDefault="2B1C3041" w:rsidP="2E676985">
      <w:pPr>
        <w:pStyle w:val="ListParagraph"/>
        <w:numPr>
          <w:ilvl w:val="1"/>
          <w:numId w:val="6"/>
        </w:numPr>
        <w:spacing w:after="0"/>
        <w:ind w:left="0" w:firstLine="567"/>
        <w:jc w:val="both"/>
        <w:rPr>
          <w:rFonts w:ascii="Times New Roman" w:eastAsia="Times New Roman" w:hAnsi="Times New Roman" w:cs="Times New Roman"/>
          <w:sz w:val="22"/>
          <w:szCs w:val="22"/>
          <w:lang w:val="lt-LT"/>
        </w:rPr>
      </w:pPr>
      <w:r w:rsidRPr="6A347038">
        <w:rPr>
          <w:rFonts w:ascii="Times New Roman" w:eastAsia="Times New Roman" w:hAnsi="Times New Roman" w:cs="Times New Roman"/>
          <w:b/>
          <w:bCs/>
          <w:color w:val="000000" w:themeColor="text1"/>
          <w:lang w:val="lt-LT"/>
        </w:rPr>
        <w:t>P</w:t>
      </w:r>
      <w:r w:rsidR="66F1EE99" w:rsidRPr="6A347038">
        <w:rPr>
          <w:rFonts w:ascii="Times New Roman" w:eastAsia="Times New Roman" w:hAnsi="Times New Roman" w:cs="Times New Roman"/>
          <w:b/>
          <w:bCs/>
          <w:color w:val="000000" w:themeColor="text1"/>
          <w:lang w:val="lt-LT"/>
        </w:rPr>
        <w:t>aslaugų užsakymo pateikimas ir suderinim</w:t>
      </w:r>
      <w:r w:rsidR="66F1EE99" w:rsidRPr="6A347038">
        <w:rPr>
          <w:rFonts w:ascii="Times New Roman" w:hAnsi="Times New Roman" w:cs="Times New Roman"/>
          <w:b/>
          <w:bCs/>
          <w:color w:val="000000" w:themeColor="text1"/>
          <w:lang w:val="lt-LT"/>
        </w:rPr>
        <w:t xml:space="preserve">as: </w:t>
      </w:r>
      <w:r w:rsidR="66F1EE99" w:rsidRPr="6A347038">
        <w:rPr>
          <w:rFonts w:ascii="Times New Roman" w:eastAsia="Times New Roman" w:hAnsi="Times New Roman" w:cs="Times New Roman"/>
          <w:color w:val="000000" w:themeColor="text1"/>
          <w:lang w:val="lt-LT"/>
        </w:rPr>
        <w:t xml:space="preserve">Perkančioji organizacija </w:t>
      </w:r>
      <w:r w:rsidRPr="6A347038">
        <w:rPr>
          <w:rFonts w:ascii="Times New Roman" w:eastAsia="Times New Roman" w:hAnsi="Times New Roman" w:cs="Times New Roman"/>
          <w:color w:val="000000" w:themeColor="text1"/>
          <w:lang w:val="lt-LT"/>
        </w:rPr>
        <w:t>Paslaugų teikėjui</w:t>
      </w:r>
      <w:r w:rsidR="66F1EE99" w:rsidRPr="6A347038">
        <w:rPr>
          <w:rFonts w:ascii="Times New Roman" w:eastAsia="Times New Roman" w:hAnsi="Times New Roman" w:cs="Times New Roman"/>
          <w:color w:val="000000" w:themeColor="text1"/>
          <w:lang w:val="lt-LT"/>
        </w:rPr>
        <w:t xml:space="preserve"> raštu (el. paštu) suformuoja konkretaus užsakymo poreikį</w:t>
      </w:r>
      <w:r w:rsidRPr="6A347038">
        <w:rPr>
          <w:rFonts w:ascii="Times New Roman" w:eastAsia="Times New Roman" w:hAnsi="Times New Roman" w:cs="Times New Roman"/>
          <w:color w:val="000000" w:themeColor="text1"/>
          <w:lang w:val="lt-LT"/>
        </w:rPr>
        <w:t>.</w:t>
      </w:r>
      <w:r w:rsidR="66F1EE99" w:rsidRPr="6A347038">
        <w:rPr>
          <w:rFonts w:ascii="Times New Roman" w:eastAsia="Times New Roman" w:hAnsi="Times New Roman" w:cs="Times New Roman"/>
          <w:color w:val="000000" w:themeColor="text1"/>
          <w:lang w:val="lt-LT"/>
        </w:rPr>
        <w:t xml:space="preserve"> </w:t>
      </w:r>
      <w:r w:rsidRPr="6A347038">
        <w:rPr>
          <w:rFonts w:ascii="Times New Roman" w:eastAsia="Times New Roman" w:hAnsi="Times New Roman" w:cs="Times New Roman"/>
          <w:color w:val="000000" w:themeColor="text1"/>
          <w:lang w:val="lt-LT"/>
        </w:rPr>
        <w:t>Paslaugų teikėjas</w:t>
      </w:r>
      <w:r w:rsidR="66F1EE99" w:rsidRPr="6A347038">
        <w:rPr>
          <w:rFonts w:ascii="Times New Roman" w:eastAsia="Times New Roman" w:hAnsi="Times New Roman" w:cs="Times New Roman"/>
          <w:lang w:val="lt-LT"/>
        </w:rPr>
        <w:t xml:space="preserve">, ne vėliau kaip per </w:t>
      </w:r>
      <w:r w:rsidRPr="6A347038">
        <w:rPr>
          <w:rFonts w:ascii="Times New Roman" w:eastAsia="Times New Roman" w:hAnsi="Times New Roman" w:cs="Times New Roman"/>
          <w:lang w:val="lt-LT"/>
        </w:rPr>
        <w:t>2</w:t>
      </w:r>
      <w:r w:rsidR="66F1EE99" w:rsidRPr="6A347038">
        <w:rPr>
          <w:rFonts w:ascii="Times New Roman" w:eastAsia="Times New Roman" w:hAnsi="Times New Roman" w:cs="Times New Roman"/>
          <w:lang w:val="lt-LT"/>
        </w:rPr>
        <w:t xml:space="preserve"> (d</w:t>
      </w:r>
      <w:r w:rsidRPr="6A347038">
        <w:rPr>
          <w:rFonts w:ascii="Times New Roman" w:eastAsia="Times New Roman" w:hAnsi="Times New Roman" w:cs="Times New Roman"/>
          <w:lang w:val="lt-LT"/>
        </w:rPr>
        <w:t>vi</w:t>
      </w:r>
      <w:r w:rsidR="66F1EE99" w:rsidRPr="6A347038">
        <w:rPr>
          <w:rFonts w:ascii="Times New Roman" w:eastAsia="Times New Roman" w:hAnsi="Times New Roman" w:cs="Times New Roman"/>
          <w:lang w:val="lt-LT"/>
        </w:rPr>
        <w:t>) darbo dien</w:t>
      </w:r>
      <w:r w:rsidRPr="6A347038">
        <w:rPr>
          <w:rFonts w:ascii="Times New Roman" w:eastAsia="Times New Roman" w:hAnsi="Times New Roman" w:cs="Times New Roman"/>
          <w:lang w:val="lt-LT"/>
        </w:rPr>
        <w:t>as</w:t>
      </w:r>
      <w:r w:rsidR="66F1EE99" w:rsidRPr="6A347038">
        <w:rPr>
          <w:rFonts w:ascii="Times New Roman" w:eastAsia="Times New Roman" w:hAnsi="Times New Roman" w:cs="Times New Roman"/>
          <w:lang w:val="lt-LT"/>
        </w:rPr>
        <w:t xml:space="preserve"> arba kitą abiejų Šalių suderintą terminą nuo užsakymo poreikio pateikimo, įvertina ir pateikia Perkančiajai organizacijai paslaugos vertinimą valandomis ir preliminarų paslaugų įgyvendinimo terminą</w:t>
      </w:r>
      <w:r w:rsidR="00B06993" w:rsidRPr="6A347038">
        <w:rPr>
          <w:rFonts w:ascii="Times New Roman" w:eastAsia="Times New Roman" w:hAnsi="Times New Roman" w:cs="Times New Roman"/>
          <w:lang w:val="lt-LT"/>
        </w:rPr>
        <w:t xml:space="preserve"> </w:t>
      </w:r>
      <w:r w:rsidR="66F1EE99" w:rsidRPr="6A347038">
        <w:rPr>
          <w:rFonts w:ascii="Times New Roman" w:eastAsia="Times New Roman" w:hAnsi="Times New Roman" w:cs="Times New Roman"/>
          <w:lang w:val="lt-LT"/>
        </w:rPr>
        <w:t>/</w:t>
      </w:r>
      <w:r w:rsidR="00B06993" w:rsidRPr="6A347038">
        <w:rPr>
          <w:rFonts w:ascii="Times New Roman" w:eastAsia="Times New Roman" w:hAnsi="Times New Roman" w:cs="Times New Roman"/>
          <w:lang w:val="lt-LT"/>
        </w:rPr>
        <w:t xml:space="preserve"> </w:t>
      </w:r>
      <w:r w:rsidR="66F1EE99" w:rsidRPr="6A347038">
        <w:rPr>
          <w:rFonts w:ascii="Times New Roman" w:eastAsia="Times New Roman" w:hAnsi="Times New Roman" w:cs="Times New Roman"/>
          <w:lang w:val="lt-LT"/>
        </w:rPr>
        <w:t xml:space="preserve">grafiką. Perkančioji organizacija gavusi iš </w:t>
      </w:r>
      <w:r w:rsidRPr="6A347038">
        <w:rPr>
          <w:rFonts w:ascii="Times New Roman" w:eastAsia="Times New Roman" w:hAnsi="Times New Roman" w:cs="Times New Roman"/>
          <w:lang w:val="lt-LT"/>
        </w:rPr>
        <w:t xml:space="preserve">Paslaugų teikėjo </w:t>
      </w:r>
      <w:r w:rsidR="66F1EE99" w:rsidRPr="6A347038">
        <w:rPr>
          <w:rFonts w:ascii="Times New Roman" w:eastAsia="Times New Roman" w:hAnsi="Times New Roman" w:cs="Times New Roman"/>
          <w:lang w:val="lt-LT"/>
        </w:rPr>
        <w:t xml:space="preserve">užsakymo paslaugos vertinimą, neįsipareigoja teikti galutinio užsakymo šių paslaugų įsigijimui ir gali priimti sprendimą konkrečių paslaugų neįsigyti, ar įsigyti ne visa apimtimi ir pan. Perkančiajai organizacijai raštu patvirtinus paslaugos užsakymą, </w:t>
      </w:r>
      <w:r w:rsidRPr="6A347038">
        <w:rPr>
          <w:rFonts w:ascii="Times New Roman" w:eastAsia="Times New Roman" w:hAnsi="Times New Roman" w:cs="Times New Roman"/>
          <w:lang w:val="lt-LT"/>
        </w:rPr>
        <w:t>Paslaugų teikėjas</w:t>
      </w:r>
      <w:r w:rsidR="66F1EE99" w:rsidRPr="6A347038">
        <w:rPr>
          <w:rFonts w:ascii="Times New Roman" w:eastAsia="Times New Roman" w:hAnsi="Times New Roman" w:cs="Times New Roman"/>
          <w:lang w:val="lt-LT"/>
        </w:rPr>
        <w:t xml:space="preserve"> pradeda numatytos užduoties vykdymą užsakyme nustatytais ir abiejų Šalių suderintais terminais.</w:t>
      </w:r>
      <w:r w:rsidR="00B06993" w:rsidRPr="6A347038">
        <w:rPr>
          <w:rFonts w:ascii="Times New Roman" w:eastAsia="Times New Roman" w:hAnsi="Times New Roman" w:cs="Times New Roman"/>
          <w:lang w:val="lt-LT"/>
        </w:rPr>
        <w:t xml:space="preserve"> Užsakymai gali būti teikiami / derinami ir žodžiu (telefonu arba susitikimų metu); kai abi Sutarties šalys susiderina užsakymo turinį, kiek Paslaugų tiekėjo konsultacinių paslaugų valandomis tam darbui veiklai reikės atlikti, koks yra užsakomų paslaugų įvykdymo terminas. Jeigu užsakymas derinamas žodžiu, po užsakymo pateikimo žodžiu, Perkančiosios organizacijos įgaliotas asmuo turi el. paštu Paslaugų tiekėjui nusiųsti žodžiu suderinto užsakymo reziumė, kuriame turi būti nurodomas: užsakymo turinys, sutartas įvykdymo terminas, koks yra konsultacinių valandų skaičius sutartas to darbo atlikimui. Tiekėjas turi patvirtinti šį el. laišką su suderintomis sąlygomis. </w:t>
      </w:r>
      <w:r w:rsidR="3AB2BC29" w:rsidRPr="6A347038">
        <w:rPr>
          <w:rFonts w:ascii="Times New Roman" w:eastAsia="Times New Roman" w:hAnsi="Times New Roman" w:cs="Times New Roman"/>
          <w:lang w:val="lt-LT"/>
        </w:rPr>
        <w:t xml:space="preserve"> Jeigu paslaugos būtų užsakomos tokios, kur nėra galimybės užfiksuoti tikslaus perkamo paslaugų (valandų) kiekio – su Paslaugų tiekėju yra sutariama apmokėjimo taisyklė: pvz.: Paslaugų tiekėjui yra apmokama pagal faktinį sugaištą laiką ir pan.</w:t>
      </w:r>
      <w:r w:rsidR="18251E73" w:rsidRPr="6A347038">
        <w:rPr>
          <w:rFonts w:ascii="Times New Roman" w:eastAsia="Times New Roman" w:hAnsi="Times New Roman" w:cs="Times New Roman"/>
          <w:lang w:val="lt-LT"/>
        </w:rPr>
        <w:t xml:space="preserve"> Apvalinimo taisyklės: </w:t>
      </w:r>
      <w:r w:rsidR="00D1382A" w:rsidRPr="00FC50B4">
        <w:rPr>
          <w:rFonts w:ascii="Times New Roman" w:eastAsia="Times New Roman" w:hAnsi="Times New Roman" w:cs="Times New Roman"/>
          <w:lang w:val="lt-LT"/>
        </w:rPr>
        <w:t>tiekėjo pasiūlyme nurodytai 1 val. konsultacinei paslaugai</w:t>
      </w:r>
      <w:r w:rsidR="18251E73" w:rsidRPr="00FC50B4">
        <w:rPr>
          <w:rFonts w:ascii="Times New Roman" w:eastAsia="Times New Roman" w:hAnsi="Times New Roman" w:cs="Times New Roman"/>
          <w:lang w:val="lt-LT"/>
        </w:rPr>
        <w:t xml:space="preserve"> </w:t>
      </w:r>
      <w:r w:rsidR="18251E73" w:rsidRPr="6A347038">
        <w:rPr>
          <w:rFonts w:ascii="Times New Roman" w:eastAsia="Times New Roman" w:hAnsi="Times New Roman" w:cs="Times New Roman"/>
          <w:lang w:val="lt-LT"/>
        </w:rPr>
        <w:t xml:space="preserve">taikoma aritmetinė taisyklė </w:t>
      </w:r>
      <w:r w:rsidR="452027E4" w:rsidRPr="6A347038">
        <w:rPr>
          <w:rFonts w:ascii="Times New Roman" w:eastAsia="Times New Roman" w:hAnsi="Times New Roman" w:cs="Times New Roman"/>
          <w:lang w:val="lt-LT"/>
        </w:rPr>
        <w:t xml:space="preserve">30 </w:t>
      </w:r>
      <w:r w:rsidR="18251E73" w:rsidRPr="6A347038">
        <w:rPr>
          <w:rFonts w:ascii="Times New Roman" w:eastAsia="Times New Roman" w:hAnsi="Times New Roman" w:cs="Times New Roman"/>
          <w:lang w:val="lt-LT"/>
        </w:rPr>
        <w:t>minučių tikslumu, t.</w:t>
      </w:r>
      <w:r w:rsidR="00FC50B4">
        <w:rPr>
          <w:rFonts w:ascii="Times New Roman" w:eastAsia="Times New Roman" w:hAnsi="Times New Roman" w:cs="Times New Roman"/>
          <w:lang w:val="lt-LT"/>
        </w:rPr>
        <w:t> </w:t>
      </w:r>
      <w:r w:rsidR="18251E73" w:rsidRPr="6A347038">
        <w:rPr>
          <w:rFonts w:ascii="Times New Roman" w:eastAsia="Times New Roman" w:hAnsi="Times New Roman" w:cs="Times New Roman"/>
          <w:lang w:val="lt-LT"/>
        </w:rPr>
        <w:t xml:space="preserve">y. jeigu pvz.: paslauga teikta 26 min. (apmokama yra proporcingai už </w:t>
      </w:r>
      <w:r w:rsidR="64A5292C" w:rsidRPr="6A347038">
        <w:rPr>
          <w:rFonts w:ascii="Times New Roman" w:eastAsia="Times New Roman" w:hAnsi="Times New Roman" w:cs="Times New Roman"/>
          <w:lang w:val="lt-LT"/>
        </w:rPr>
        <w:t>30</w:t>
      </w:r>
      <w:r w:rsidR="18251E73" w:rsidRPr="6A347038">
        <w:rPr>
          <w:rFonts w:ascii="Times New Roman" w:eastAsia="Times New Roman" w:hAnsi="Times New Roman" w:cs="Times New Roman"/>
          <w:lang w:val="lt-LT"/>
        </w:rPr>
        <w:t xml:space="preserve"> min.).</w:t>
      </w:r>
    </w:p>
    <w:p w14:paraId="592CECC3" w14:textId="46C74A67" w:rsidR="007C6010" w:rsidRDefault="2B1C3041" w:rsidP="009E40E2">
      <w:pPr>
        <w:pStyle w:val="ListParagraph"/>
        <w:numPr>
          <w:ilvl w:val="1"/>
          <w:numId w:val="6"/>
        </w:numPr>
        <w:spacing w:after="0"/>
        <w:ind w:left="0" w:firstLine="567"/>
        <w:jc w:val="both"/>
        <w:rPr>
          <w:rFonts w:ascii="Times New Roman" w:hAnsi="Times New Roman" w:cs="Times New Roman"/>
          <w:lang w:val="lt-LT"/>
        </w:rPr>
      </w:pPr>
      <w:r w:rsidRPr="2E676985">
        <w:rPr>
          <w:rFonts w:ascii="Times New Roman" w:eastAsia="Times New Roman" w:hAnsi="Times New Roman" w:cs="Times New Roman"/>
          <w:color w:val="000000" w:themeColor="text1"/>
          <w:lang w:val="lt-LT"/>
        </w:rPr>
        <w:t>P</w:t>
      </w:r>
      <w:r w:rsidR="66F1EE99" w:rsidRPr="2E676985">
        <w:rPr>
          <w:rFonts w:ascii="Times New Roman" w:eastAsia="Times New Roman" w:hAnsi="Times New Roman" w:cs="Times New Roman"/>
          <w:color w:val="000000" w:themeColor="text1"/>
          <w:lang w:val="lt-LT"/>
        </w:rPr>
        <w:t>aslaugos užsakomos pagal poreikį</w:t>
      </w:r>
      <w:r w:rsidRPr="2E676985">
        <w:rPr>
          <w:rFonts w:ascii="Times New Roman" w:eastAsia="Times New Roman" w:hAnsi="Times New Roman" w:cs="Times New Roman"/>
          <w:color w:val="000000" w:themeColor="text1"/>
          <w:lang w:val="lt-LT"/>
        </w:rPr>
        <w:t xml:space="preserve"> ir teikiamos </w:t>
      </w:r>
      <w:r w:rsidRPr="2E676985">
        <w:rPr>
          <w:rFonts w:ascii="Times New Roman" w:hAnsi="Times New Roman" w:cs="Times New Roman"/>
          <w:lang w:val="lt-LT"/>
        </w:rPr>
        <w:t>darbo dienomis nuo 8 val. iki 17 val.</w:t>
      </w:r>
      <w:r w:rsidR="3B80EB27" w:rsidRPr="2E676985">
        <w:rPr>
          <w:rFonts w:ascii="Times New Roman" w:hAnsi="Times New Roman" w:cs="Times New Roman"/>
          <w:lang w:val="lt-LT"/>
        </w:rPr>
        <w:t xml:space="preserve"> </w:t>
      </w:r>
      <w:r w:rsidR="3277EF1A" w:rsidRPr="2E676985">
        <w:rPr>
          <w:rFonts w:ascii="Times New Roman" w:hAnsi="Times New Roman" w:cs="Times New Roman"/>
          <w:lang w:val="lt-LT"/>
        </w:rPr>
        <w:t>n</w:t>
      </w:r>
      <w:r w:rsidR="3B80EB27" w:rsidRPr="2E676985">
        <w:rPr>
          <w:rFonts w:ascii="Times New Roman" w:hAnsi="Times New Roman" w:cs="Times New Roman"/>
          <w:lang w:val="lt-LT"/>
        </w:rPr>
        <w:t>ebent Šalys susitaria kitaip.</w:t>
      </w:r>
    </w:p>
    <w:p w14:paraId="5BEC977E" w14:textId="4FEF35B3" w:rsidR="007C6010" w:rsidRPr="0065775A" w:rsidRDefault="162E3FDF" w:rsidP="009E40E2">
      <w:pPr>
        <w:pStyle w:val="ListParagraph"/>
        <w:numPr>
          <w:ilvl w:val="1"/>
          <w:numId w:val="6"/>
        </w:numPr>
        <w:spacing w:after="0"/>
        <w:ind w:left="0" w:firstLine="567"/>
        <w:jc w:val="both"/>
        <w:rPr>
          <w:rFonts w:ascii="Times New Roman" w:hAnsi="Times New Roman" w:cs="Times New Roman"/>
          <w:lang w:val="lt-LT"/>
        </w:rPr>
      </w:pPr>
      <w:r w:rsidRPr="0180F466">
        <w:rPr>
          <w:rFonts w:ascii="Times New Roman" w:hAnsi="Times New Roman" w:cs="Times New Roman"/>
          <w:lang w:val="lt-LT"/>
        </w:rPr>
        <w:t>Paslaugos teikiamos nuotoliniu būdu (naudojant „Microsoft Teams“ platformą) arba, šalims susitarus, Perkančiosios organizacijos patalpose, adresu Verkių g. 25C</w:t>
      </w:r>
      <w:r w:rsidR="00EC6FFB">
        <w:rPr>
          <w:rFonts w:ascii="Times New Roman" w:hAnsi="Times New Roman" w:cs="Times New Roman"/>
          <w:lang w:val="lt-LT"/>
        </w:rPr>
        <w:t>-</w:t>
      </w:r>
      <w:r w:rsidRPr="0180F466">
        <w:rPr>
          <w:rFonts w:ascii="Times New Roman" w:hAnsi="Times New Roman" w:cs="Times New Roman"/>
          <w:lang w:val="lt-LT"/>
        </w:rPr>
        <w:t>1, Vilniuje</w:t>
      </w:r>
      <w:r w:rsidR="69EAA69F" w:rsidRPr="0180F466">
        <w:rPr>
          <w:rFonts w:ascii="Times New Roman" w:hAnsi="Times New Roman" w:cs="Times New Roman"/>
          <w:lang w:val="lt-LT"/>
        </w:rPr>
        <w:t>,</w:t>
      </w:r>
      <w:r w:rsidR="7A4F1A50" w:rsidRPr="0180F466">
        <w:rPr>
          <w:rFonts w:ascii="Times New Roman" w:hAnsi="Times New Roman" w:cs="Times New Roman"/>
          <w:lang w:val="lt-LT"/>
        </w:rPr>
        <w:t xml:space="preserve"> </w:t>
      </w:r>
      <w:r w:rsidR="7A4F1A50" w:rsidRPr="0065775A">
        <w:rPr>
          <w:rFonts w:ascii="Times New Roman" w:hAnsi="Times New Roman" w:cs="Times New Roman"/>
          <w:lang w:val="lt-LT"/>
        </w:rPr>
        <w:t>arba elektroniniu paštu, jei paslaugos suteikimui užtenka konsultacijos raštu.</w:t>
      </w:r>
    </w:p>
    <w:p w14:paraId="546D6BE2" w14:textId="3FEB40F6" w:rsidR="314F785B" w:rsidRDefault="314F785B" w:rsidP="33DBDCC2">
      <w:pPr>
        <w:pStyle w:val="ListParagraph"/>
        <w:numPr>
          <w:ilvl w:val="1"/>
          <w:numId w:val="6"/>
        </w:numPr>
        <w:tabs>
          <w:tab w:val="left" w:pos="993"/>
        </w:tabs>
        <w:spacing w:after="0"/>
        <w:ind w:left="0" w:firstLine="567"/>
        <w:jc w:val="both"/>
        <w:rPr>
          <w:rFonts w:ascii="Times New Roman" w:hAnsi="Times New Roman" w:cs="Times New Roman"/>
          <w:lang w:val="lt-LT"/>
        </w:rPr>
      </w:pPr>
      <w:r w:rsidRPr="6A347038">
        <w:rPr>
          <w:rFonts w:ascii="Times New Roman" w:hAnsi="Times New Roman" w:cs="Times New Roman"/>
          <w:lang w:val="lt-LT"/>
        </w:rPr>
        <w:t>Paslaugos teikiamos lietuvių kalba.</w:t>
      </w:r>
      <w:r w:rsidR="50868808" w:rsidRPr="6A347038">
        <w:rPr>
          <w:rFonts w:ascii="Times New Roman" w:hAnsi="Times New Roman" w:cs="Times New Roman"/>
          <w:lang w:val="lt-LT"/>
        </w:rPr>
        <w:t xml:space="preserve"> T</w:t>
      </w:r>
      <w:r w:rsidR="70903DBC" w:rsidRPr="6A347038">
        <w:rPr>
          <w:rFonts w:ascii="Times New Roman" w:hAnsi="Times New Roman" w:cs="Times New Roman"/>
          <w:lang w:val="lt-LT"/>
        </w:rPr>
        <w:t xml:space="preserve">iekėjui </w:t>
      </w:r>
      <w:r w:rsidR="50868808" w:rsidRPr="6A347038">
        <w:rPr>
          <w:rFonts w:ascii="Times New Roman" w:hAnsi="Times New Roman" w:cs="Times New Roman"/>
          <w:lang w:val="lt-LT"/>
        </w:rPr>
        <w:t xml:space="preserve">draudžiama be Perkančiosios organizacijos rašytinio sutikimo paslaugų teikimui naudoti </w:t>
      </w:r>
      <w:r w:rsidR="00F20ED0">
        <w:rPr>
          <w:rFonts w:ascii="Times New Roman" w:hAnsi="Times New Roman" w:cs="Times New Roman"/>
          <w:lang w:val="lt-LT"/>
        </w:rPr>
        <w:t>Dirbtinio intelekto (</w:t>
      </w:r>
      <w:r w:rsidR="50868808" w:rsidRPr="6A347038">
        <w:rPr>
          <w:rFonts w:ascii="Times New Roman" w:hAnsi="Times New Roman" w:cs="Times New Roman"/>
          <w:lang w:val="lt-LT"/>
        </w:rPr>
        <w:t>DI</w:t>
      </w:r>
      <w:r w:rsidR="00F20ED0">
        <w:rPr>
          <w:rFonts w:ascii="Times New Roman" w:hAnsi="Times New Roman" w:cs="Times New Roman"/>
          <w:lang w:val="lt-LT"/>
        </w:rPr>
        <w:t>)</w:t>
      </w:r>
      <w:r w:rsidR="50868808" w:rsidRPr="6A347038">
        <w:rPr>
          <w:rFonts w:ascii="Times New Roman" w:hAnsi="Times New Roman" w:cs="Times New Roman"/>
          <w:lang w:val="lt-LT"/>
        </w:rPr>
        <w:t xml:space="preserve"> technologijas</w:t>
      </w:r>
      <w:r w:rsidR="00F20ED0">
        <w:rPr>
          <w:rStyle w:val="FootnoteReference"/>
          <w:rFonts w:ascii="Times New Roman" w:hAnsi="Times New Roman" w:cs="Times New Roman"/>
          <w:lang w:val="lt-LT"/>
        </w:rPr>
        <w:footnoteReference w:id="3"/>
      </w:r>
      <w:r w:rsidR="50868808" w:rsidRPr="6A347038">
        <w:rPr>
          <w:rFonts w:ascii="Times New Roman" w:hAnsi="Times New Roman" w:cs="Times New Roman"/>
          <w:lang w:val="lt-LT"/>
        </w:rPr>
        <w:t>.</w:t>
      </w:r>
    </w:p>
    <w:p w14:paraId="5AEB260B" w14:textId="4B0696F5" w:rsidR="6E7844FF" w:rsidRDefault="6E7844FF" w:rsidP="0180F466">
      <w:pPr>
        <w:pStyle w:val="ListParagraph"/>
        <w:numPr>
          <w:ilvl w:val="1"/>
          <w:numId w:val="6"/>
        </w:numPr>
        <w:tabs>
          <w:tab w:val="left" w:pos="993"/>
        </w:tabs>
        <w:spacing w:after="0"/>
        <w:ind w:left="0" w:firstLine="567"/>
        <w:jc w:val="both"/>
        <w:rPr>
          <w:rFonts w:ascii="Times New Roman" w:eastAsia="Times New Roman" w:hAnsi="Times New Roman" w:cs="Times New Roman"/>
          <w:lang w:val="lt-LT"/>
        </w:rPr>
      </w:pPr>
      <w:r w:rsidRPr="0180F466">
        <w:rPr>
          <w:rFonts w:ascii="Times New Roman" w:eastAsia="Times New Roman" w:hAnsi="Times New Roman" w:cs="Times New Roman"/>
          <w:lang w:val="lt-LT"/>
        </w:rPr>
        <w:lastRenderedPageBreak/>
        <w:t>Paslaugos teikiamos vadovaujantis Paslaugų teikimo metu Lietuvos Respublikoje galiojančiais teisės aktais,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susijusiais su pirkimo objektu.</w:t>
      </w:r>
    </w:p>
    <w:p w14:paraId="1E79432F" w14:textId="77777777" w:rsidR="00AD0C12" w:rsidRPr="004B7D57" w:rsidRDefault="00AD0C12" w:rsidP="009E40E2">
      <w:pPr>
        <w:spacing w:after="0"/>
        <w:ind w:firstLine="567"/>
        <w:jc w:val="both"/>
        <w:rPr>
          <w:rFonts w:ascii="Times New Roman" w:hAnsi="Times New Roman" w:cs="Times New Roman"/>
          <w:lang w:val="lt-LT"/>
        </w:rPr>
      </w:pPr>
    </w:p>
    <w:p w14:paraId="32CA8C1F" w14:textId="6C632AC7" w:rsidR="009E40E2" w:rsidRPr="009E40E2" w:rsidRDefault="002547F6" w:rsidP="002547F6">
      <w:pPr>
        <w:spacing w:after="0"/>
        <w:ind w:firstLine="567"/>
        <w:jc w:val="center"/>
        <w:rPr>
          <w:rFonts w:ascii="Times New Roman" w:hAnsi="Times New Roman" w:cs="Times New Roman"/>
          <w:b/>
          <w:bCs/>
          <w:lang w:val="lt-LT"/>
        </w:rPr>
      </w:pPr>
      <w:r>
        <w:rPr>
          <w:rFonts w:ascii="Times New Roman" w:hAnsi="Times New Roman" w:cs="Times New Roman"/>
          <w:b/>
          <w:bCs/>
          <w:lang w:val="lt-LT"/>
        </w:rPr>
        <w:t>II</w:t>
      </w:r>
      <w:r w:rsidR="009E40E2" w:rsidRPr="009E40E2">
        <w:rPr>
          <w:rFonts w:ascii="Times New Roman" w:hAnsi="Times New Roman" w:cs="Times New Roman"/>
          <w:b/>
          <w:bCs/>
          <w:lang w:val="lt-LT"/>
        </w:rPr>
        <w:t>. ŽALIEJI REIKALAVIMAI</w:t>
      </w:r>
    </w:p>
    <w:p w14:paraId="1F6E5E06" w14:textId="77777777" w:rsidR="009E40E2" w:rsidRPr="009E40E2" w:rsidRDefault="009E40E2" w:rsidP="009E40E2">
      <w:pPr>
        <w:spacing w:after="0"/>
        <w:ind w:firstLine="567"/>
        <w:jc w:val="both"/>
        <w:rPr>
          <w:rFonts w:ascii="Times New Roman" w:hAnsi="Times New Roman" w:cs="Times New Roman"/>
          <w:b/>
          <w:bCs/>
          <w:lang w:val="lt-LT"/>
        </w:rPr>
      </w:pPr>
    </w:p>
    <w:p w14:paraId="6819E112" w14:textId="50E8A8CF" w:rsidR="009E40E2" w:rsidRPr="002547F6" w:rsidRDefault="009E40E2" w:rsidP="002547F6">
      <w:pPr>
        <w:pStyle w:val="ListParagraph"/>
        <w:numPr>
          <w:ilvl w:val="0"/>
          <w:numId w:val="6"/>
        </w:numPr>
        <w:spacing w:after="0"/>
        <w:ind w:left="0" w:firstLine="567"/>
        <w:jc w:val="both"/>
        <w:rPr>
          <w:rFonts w:ascii="Times New Roman" w:hAnsi="Times New Roman" w:cs="Times New Roman"/>
          <w:lang w:val="lt-LT"/>
        </w:rPr>
      </w:pPr>
      <w:r w:rsidRPr="002547F6">
        <w:rPr>
          <w:rFonts w:ascii="Times New Roman" w:hAnsi="Times New Roman" w:cs="Times New Roman"/>
          <w:lang w:val="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3CBDC658" w14:textId="117E10E2" w:rsidR="00DB261B" w:rsidRPr="004B7D57" w:rsidRDefault="36C84ED5" w:rsidP="0180F466">
      <w:pPr>
        <w:numPr>
          <w:ilvl w:val="1"/>
          <w:numId w:val="6"/>
        </w:numPr>
        <w:spacing w:after="0"/>
        <w:ind w:left="0" w:firstLine="567"/>
        <w:jc w:val="both"/>
        <w:rPr>
          <w:rFonts w:ascii="Times New Roman" w:hAnsi="Times New Roman" w:cs="Times New Roman"/>
          <w:lang w:val="lt-LT"/>
        </w:rPr>
      </w:pPr>
      <w:r w:rsidRPr="0180F466">
        <w:rPr>
          <w:rFonts w:ascii="Times New Roman" w:hAnsi="Times New Roman" w:cs="Times New Roman"/>
          <w:lang w:val="lt-LT"/>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w:t>
      </w:r>
      <w:r w:rsidRPr="0180F466">
        <w:rPr>
          <w:rFonts w:ascii="Times New Roman" w:hAnsi="Times New Roman" w:cs="Times New Roman"/>
          <w:b/>
          <w:bCs/>
          <w:lang w:val="lt-LT"/>
        </w:rPr>
        <w:t>konsultantų teikiamos paslaugos</w:t>
      </w:r>
      <w:r w:rsidRPr="0180F466">
        <w:rPr>
          <w:rFonts w:ascii="Times New Roman" w:hAnsi="Times New Roman" w:cs="Times New Roman"/>
          <w:lang w:val="lt-LT"/>
        </w:rPr>
        <w:t xml:space="preserve"> ir kitos paslaugos) arba perkama prekė: programinė įranga, programinės įrangos nuoma, licencijos, elektroniniai leidiniai ar elektroninės knygos;</w:t>
      </w:r>
    </w:p>
    <w:p w14:paraId="4440EB3F" w14:textId="1C2FE27C" w:rsidR="00DB261B" w:rsidRPr="004B7D57" w:rsidRDefault="36C84ED5" w:rsidP="0180F466">
      <w:pPr>
        <w:numPr>
          <w:ilvl w:val="1"/>
          <w:numId w:val="6"/>
        </w:numPr>
        <w:spacing w:after="0"/>
        <w:ind w:left="0" w:firstLine="567"/>
        <w:jc w:val="both"/>
        <w:rPr>
          <w:rFonts w:ascii="Times New Roman" w:hAnsi="Times New Roman" w:cs="Times New Roman"/>
          <w:lang w:val="lt-LT"/>
        </w:rPr>
      </w:pPr>
      <w:r w:rsidRPr="6A347038">
        <w:rPr>
          <w:rFonts w:ascii="Times New Roman" w:hAnsi="Times New Roman" w:cs="Times New Roman"/>
          <w:lang w:val="lt-LT"/>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3C5EAD7" w14:textId="041F1024" w:rsidR="7E045DD3" w:rsidRDefault="7E045DD3" w:rsidP="6A347038">
      <w:pPr>
        <w:spacing w:after="0"/>
        <w:ind w:left="567" w:firstLine="567"/>
        <w:jc w:val="both"/>
        <w:rPr>
          <w:rFonts w:ascii="Times New Roman" w:hAnsi="Times New Roman" w:cs="Times New Roman"/>
          <w:lang w:val="lt-LT"/>
        </w:rPr>
      </w:pPr>
    </w:p>
    <w:p w14:paraId="2A2CAAEA" w14:textId="66B2D8C2" w:rsidR="4D9373C2" w:rsidRDefault="6A347038" w:rsidP="6A347038">
      <w:pPr>
        <w:spacing w:after="0"/>
        <w:jc w:val="center"/>
        <w:rPr>
          <w:rFonts w:ascii="Times New Roman" w:eastAsia="Times New Roman" w:hAnsi="Times New Roman" w:cs="Times New Roman"/>
          <w:lang w:val="lt-LT"/>
        </w:rPr>
      </w:pPr>
      <w:r w:rsidRPr="6A347038">
        <w:rPr>
          <w:rFonts w:ascii="Times New Roman" w:eastAsia="Times New Roman" w:hAnsi="Times New Roman" w:cs="Times New Roman"/>
          <w:b/>
          <w:bCs/>
          <w:lang w:val="lt-LT"/>
        </w:rPr>
        <w:t xml:space="preserve">III. </w:t>
      </w:r>
      <w:r w:rsidR="4D9373C2" w:rsidRPr="6A347038">
        <w:rPr>
          <w:rFonts w:ascii="Times New Roman" w:eastAsia="Times New Roman" w:hAnsi="Times New Roman" w:cs="Times New Roman"/>
          <w:b/>
          <w:bCs/>
          <w:lang w:val="lt-LT"/>
        </w:rPr>
        <w:t>KITA</w:t>
      </w:r>
    </w:p>
    <w:p w14:paraId="2B47CD0D" w14:textId="77777777" w:rsidR="00E47635" w:rsidRDefault="00E47635" w:rsidP="00E47635">
      <w:pPr>
        <w:spacing w:after="0"/>
        <w:jc w:val="both"/>
        <w:rPr>
          <w:rFonts w:ascii="Times New Roman" w:eastAsia="Times New Roman" w:hAnsi="Times New Roman" w:cs="Times New Roman"/>
          <w:lang w:val="lt-LT"/>
        </w:rPr>
      </w:pPr>
    </w:p>
    <w:p w14:paraId="776F8550" w14:textId="010B90BD" w:rsidR="7E045DD3" w:rsidRDefault="7E045DD3" w:rsidP="00E47635">
      <w:pPr>
        <w:spacing w:after="0"/>
        <w:ind w:firstLine="567"/>
        <w:jc w:val="both"/>
        <w:rPr>
          <w:rFonts w:ascii="Times New Roman" w:eastAsia="Times New Roman" w:hAnsi="Times New Roman" w:cs="Times New Roman"/>
          <w:lang w:val="lt-LT"/>
        </w:rPr>
      </w:pPr>
      <w:r w:rsidRPr="7E045DD3">
        <w:rPr>
          <w:rFonts w:ascii="Times New Roman" w:eastAsia="Times New Roman" w:hAnsi="Times New Roman" w:cs="Times New Roman"/>
          <w:lang w:val="lt-LT"/>
        </w:rPr>
        <w:t xml:space="preserve">4. </w:t>
      </w:r>
      <w:r w:rsidR="3BD22801" w:rsidRPr="7E045DD3">
        <w:rPr>
          <w:rFonts w:ascii="Times New Roman" w:eastAsia="Times New Roman" w:hAnsi="Times New Roman" w:cs="Times New Roman"/>
          <w:lang w:val="lt-LT"/>
        </w:rPr>
        <w:t>Taryba</w:t>
      </w:r>
      <w:r w:rsidR="4D9373C2" w:rsidRPr="7E045DD3">
        <w:rPr>
          <w:rFonts w:ascii="Times New Roman" w:eastAsia="Times New Roman" w:hAnsi="Times New Roman" w:cs="Times New Roman"/>
          <w:lang w:val="lt-LT"/>
        </w:rPr>
        <w:t xml:space="preserve"> pasilieka teisę, vadovaudamasi Viešųjų pirkimų tarnybos direktoriaus 2017 m. birželio 28 d. įsakymu Nr. 1S-95 ,,Dėl Kainodaros taisyklių nustatyto metodikos patvirtinimo“ patvirtintos Kainodaros taisyklių nustatymo metodikos 19 punktu</w:t>
      </w:r>
      <w:r w:rsidRPr="6A347038">
        <w:rPr>
          <w:rStyle w:val="FootnoteReference"/>
          <w:rFonts w:ascii="Times New Roman" w:eastAsia="Times New Roman" w:hAnsi="Times New Roman" w:cs="Times New Roman"/>
          <w:i/>
          <w:iCs/>
          <w:lang w:val="lt-LT"/>
        </w:rPr>
        <w:footnoteReference w:id="4"/>
      </w:r>
      <w:r w:rsidR="4D9373C2" w:rsidRPr="7E045DD3">
        <w:rPr>
          <w:rFonts w:ascii="Times New Roman" w:eastAsia="Times New Roman" w:hAnsi="Times New Roman" w:cs="Times New Roman"/>
          <w:lang w:val="lt-LT"/>
        </w:rPr>
        <w:t xml:space="preserve">, įsigyti Techninėje specifikacijoje  nenurodytų, tačiau su pirkimo objektu susijusių prekių ir (ar) paslaugų neviršijant 10 procentų pradinės sutarties vertės. Už su pirkimo objektu susijusias prekes ir (ar) paslaugas bus apmokėta ne didesnėmis nei užsakymo dieną Tiekėjo prekybos vietoje, interneto svetainėje nurodytomis galiojančiomis šių prekių ir (ar) paslaugų kainomis arba, jei tokios kainos neskelbiamos, tiekėjo pasiūlytomis, konkurencingomis ir rinką atitinkančiomis kainomis. </w:t>
      </w:r>
    </w:p>
    <w:p w14:paraId="1B225155" w14:textId="77777777" w:rsidR="00DB261B" w:rsidRPr="004B7D57" w:rsidRDefault="00DB261B" w:rsidP="009E40E2">
      <w:pPr>
        <w:spacing w:after="0"/>
        <w:ind w:firstLine="567"/>
        <w:jc w:val="both"/>
        <w:rPr>
          <w:rFonts w:ascii="Times New Roman" w:hAnsi="Times New Roman" w:cs="Times New Roman"/>
          <w:lang w:val="lt-LT"/>
        </w:rPr>
      </w:pPr>
    </w:p>
    <w:p w14:paraId="36EF1442" w14:textId="77777777" w:rsidR="00AD0C12" w:rsidRPr="004B7D57" w:rsidRDefault="00AD0C12" w:rsidP="009E40E2">
      <w:pPr>
        <w:pStyle w:val="ListParagraph"/>
        <w:spacing w:after="0"/>
        <w:ind w:left="0" w:firstLine="567"/>
        <w:jc w:val="both"/>
        <w:rPr>
          <w:rFonts w:ascii="Times New Roman" w:hAnsi="Times New Roman" w:cs="Times New Roman"/>
          <w:lang w:val="lt-LT"/>
        </w:rPr>
      </w:pPr>
    </w:p>
    <w:sectPr w:rsidR="00AD0C12" w:rsidRPr="004B7D57" w:rsidSect="00693F7E">
      <w:headerReference w:type="default" r:id="rId8"/>
      <w:headerReference w:type="first" r:id="rId9"/>
      <w:pgSz w:w="12240" w:h="15840"/>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E3F5" w14:textId="77777777" w:rsidR="00434A11" w:rsidRDefault="00434A11" w:rsidP="004901A2">
      <w:pPr>
        <w:spacing w:after="0" w:line="240" w:lineRule="auto"/>
      </w:pPr>
      <w:r>
        <w:separator/>
      </w:r>
    </w:p>
  </w:endnote>
  <w:endnote w:type="continuationSeparator" w:id="0">
    <w:p w14:paraId="4106BF78" w14:textId="77777777" w:rsidR="00434A11" w:rsidRDefault="00434A11" w:rsidP="0049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09CF" w14:textId="77777777" w:rsidR="00434A11" w:rsidRDefault="00434A11" w:rsidP="004901A2">
      <w:pPr>
        <w:spacing w:after="0" w:line="240" w:lineRule="auto"/>
      </w:pPr>
      <w:r>
        <w:separator/>
      </w:r>
    </w:p>
  </w:footnote>
  <w:footnote w:type="continuationSeparator" w:id="0">
    <w:p w14:paraId="201D76E5" w14:textId="77777777" w:rsidR="00434A11" w:rsidRDefault="00434A11" w:rsidP="004901A2">
      <w:pPr>
        <w:spacing w:after="0" w:line="240" w:lineRule="auto"/>
      </w:pPr>
      <w:r>
        <w:continuationSeparator/>
      </w:r>
    </w:p>
  </w:footnote>
  <w:footnote w:id="1">
    <w:p w14:paraId="20D6FF30" w14:textId="12C1C82D" w:rsidR="00CF7F6E" w:rsidRPr="008A64D3" w:rsidRDefault="00CF7F6E" w:rsidP="00CF7F6E">
      <w:pPr>
        <w:pStyle w:val="FootnoteText"/>
        <w:jc w:val="both"/>
        <w:rPr>
          <w:rFonts w:ascii="Times New Roman" w:hAnsi="Times New Roman" w:cs="Times New Roman"/>
          <w:lang w:val="lt-LT"/>
        </w:rPr>
      </w:pPr>
      <w:r w:rsidRPr="008A64D3">
        <w:rPr>
          <w:rStyle w:val="FootnoteReference"/>
          <w:rFonts w:ascii="Times New Roman" w:hAnsi="Times New Roman" w:cs="Times New Roman"/>
          <w:lang w:val="lt-LT"/>
        </w:rPr>
        <w:footnoteRef/>
      </w:r>
      <w:r w:rsidRPr="008A64D3">
        <w:rPr>
          <w:rFonts w:ascii="Times New Roman" w:hAnsi="Times New Roman" w:cs="Times New Roman"/>
          <w:lang w:val="lt-LT"/>
        </w:rPr>
        <w:t xml:space="preserve"> Organizacijos veiklos architektūra </w:t>
      </w:r>
      <w:r w:rsidR="00CF5286">
        <w:rPr>
          <w:rFonts w:ascii="Times New Roman" w:hAnsi="Times New Roman" w:cs="Times New Roman"/>
          <w:lang w:val="lt-LT"/>
        </w:rPr>
        <w:t>–</w:t>
      </w:r>
      <w:r w:rsidRPr="008A64D3">
        <w:rPr>
          <w:rFonts w:ascii="Times New Roman" w:hAnsi="Times New Roman" w:cs="Times New Roman"/>
          <w:lang w:val="lt-LT"/>
        </w:rPr>
        <w:t xml:space="preserve"> įrankis</w:t>
      </w:r>
      <w:r w:rsidR="00CF5286">
        <w:rPr>
          <w:rFonts w:ascii="Times New Roman" w:hAnsi="Times New Roman" w:cs="Times New Roman"/>
          <w:lang w:val="lt-LT"/>
        </w:rPr>
        <w:t xml:space="preserve"> </w:t>
      </w:r>
      <w:r w:rsidRPr="008A64D3">
        <w:rPr>
          <w:rFonts w:ascii="Times New Roman" w:hAnsi="Times New Roman" w:cs="Times New Roman"/>
          <w:lang w:val="lt-LT"/>
        </w:rPr>
        <w:t>/ modelis, kuris sukuria nuoseklią, tarpusavyje susietą organizacijos procesų, organizacinės struktūros, technologijų ir kitų veiklos elementų sistemą / informacinę bazę. Pateikia pilną ar dalinį organizacijos veiklos kontekstą, kuris leidžia tiksliai vertinti esamą ar būsimą situaciją bei padeda priimti sprendimus.</w:t>
      </w:r>
    </w:p>
  </w:footnote>
  <w:footnote w:id="2">
    <w:p w14:paraId="299B19F6" w14:textId="29BD6BA1" w:rsidR="33DBDCC2" w:rsidRPr="00F20ED0" w:rsidRDefault="33DBDCC2" w:rsidP="6A347038">
      <w:pPr>
        <w:pStyle w:val="FootnoteText"/>
        <w:rPr>
          <w:rFonts w:ascii="Times New Roman" w:hAnsi="Times New Roman" w:cs="Times New Roman"/>
          <w:lang w:val="lt-LT"/>
        </w:rPr>
      </w:pPr>
      <w:r w:rsidRPr="00EE4493">
        <w:rPr>
          <w:rStyle w:val="FootnoteReference"/>
          <w:rFonts w:ascii="Times New Roman" w:hAnsi="Times New Roman" w:cs="Times New Roman"/>
        </w:rPr>
        <w:footnoteRef/>
      </w:r>
      <w:r w:rsidR="6A347038" w:rsidRPr="00F20ED0">
        <w:rPr>
          <w:rFonts w:ascii="Times New Roman" w:hAnsi="Times New Roman" w:cs="Times New Roman"/>
          <w:lang w:val="lt-LT"/>
        </w:rPr>
        <w:t xml:space="preserve"> </w:t>
      </w:r>
      <w:r w:rsidR="6A347038" w:rsidRPr="00346FE6">
        <w:rPr>
          <w:rFonts w:ascii="Times New Roman" w:hAnsi="Times New Roman" w:cs="Times New Roman"/>
          <w:lang w:val="lt-LT"/>
        </w:rPr>
        <w:t xml:space="preserve">1 </w:t>
      </w:r>
      <w:r w:rsidR="00346FE6">
        <w:rPr>
          <w:rFonts w:ascii="Times New Roman" w:hAnsi="Times New Roman" w:cs="Times New Roman"/>
          <w:lang w:val="lt-LT"/>
        </w:rPr>
        <w:t xml:space="preserve">(vieną) </w:t>
      </w:r>
      <w:r w:rsidR="6A347038" w:rsidRPr="00346FE6">
        <w:rPr>
          <w:rFonts w:ascii="Times New Roman" w:hAnsi="Times New Roman" w:cs="Times New Roman"/>
          <w:lang w:val="lt-LT"/>
        </w:rPr>
        <w:t>val</w:t>
      </w:r>
      <w:r w:rsidR="00EE4493" w:rsidRPr="00346FE6">
        <w:rPr>
          <w:rFonts w:ascii="Times New Roman" w:hAnsi="Times New Roman" w:cs="Times New Roman"/>
          <w:lang w:val="lt-LT"/>
        </w:rPr>
        <w:t>.</w:t>
      </w:r>
      <w:r w:rsidR="6A347038" w:rsidRPr="00346FE6">
        <w:rPr>
          <w:rFonts w:ascii="Times New Roman" w:hAnsi="Times New Roman" w:cs="Times New Roman"/>
          <w:lang w:val="lt-LT"/>
        </w:rPr>
        <w:t xml:space="preserve"> sudaro 60 </w:t>
      </w:r>
      <w:r w:rsidR="00346FE6">
        <w:rPr>
          <w:rFonts w:ascii="Times New Roman" w:hAnsi="Times New Roman" w:cs="Times New Roman"/>
          <w:lang w:val="lt-LT"/>
        </w:rPr>
        <w:t xml:space="preserve">(šešiasdešimt) </w:t>
      </w:r>
      <w:r w:rsidR="6A347038" w:rsidRPr="00346FE6">
        <w:rPr>
          <w:rFonts w:ascii="Times New Roman" w:hAnsi="Times New Roman" w:cs="Times New Roman"/>
          <w:lang w:val="lt-LT"/>
        </w:rPr>
        <w:t>min.</w:t>
      </w:r>
      <w:r w:rsidR="6A347038" w:rsidRPr="00F20ED0">
        <w:rPr>
          <w:rFonts w:ascii="Times New Roman" w:hAnsi="Times New Roman" w:cs="Times New Roman"/>
          <w:lang w:val="lt-LT"/>
        </w:rPr>
        <w:t xml:space="preserve"> </w:t>
      </w:r>
    </w:p>
  </w:footnote>
  <w:footnote w:id="3">
    <w:p w14:paraId="76B277F9" w14:textId="5477DBD5" w:rsidR="00F20ED0" w:rsidRPr="0089491E" w:rsidRDefault="00F20ED0" w:rsidP="0089491E">
      <w:pPr>
        <w:pStyle w:val="FootnoteText"/>
        <w:jc w:val="both"/>
        <w:rPr>
          <w:rFonts w:ascii="Times New Roman" w:hAnsi="Times New Roman" w:cs="Times New Roman"/>
          <w:lang w:val="lt-LT"/>
        </w:rPr>
      </w:pPr>
      <w:r>
        <w:rPr>
          <w:rStyle w:val="FootnoteReference"/>
        </w:rPr>
        <w:footnoteRef/>
      </w:r>
      <w:r w:rsidRPr="00F20ED0">
        <w:rPr>
          <w:lang w:val="lt-LT"/>
        </w:rPr>
        <w:t xml:space="preserve"> </w:t>
      </w:r>
      <w:r w:rsidRPr="0089491E">
        <w:rPr>
          <w:rFonts w:ascii="Times New Roman" w:hAnsi="Times New Roman" w:cs="Times New Roman"/>
          <w:lang w:val="lt-LT"/>
        </w:rPr>
        <w:t>Atsižvelgiant į Taryboje formuojamas dirbtinio intelekto naudojimo gaires, teikiame paaiškinimus ir apibrėžiamas sąvokas:</w:t>
      </w:r>
    </w:p>
    <w:p w14:paraId="37B17003" w14:textId="77777777" w:rsidR="00F20ED0" w:rsidRPr="00F20ED0" w:rsidRDefault="00F20ED0" w:rsidP="00F20ED0">
      <w:pPr>
        <w:pStyle w:val="FootnoteText"/>
        <w:rPr>
          <w:b/>
          <w:bCs/>
          <w:lang w:val="lt-LT"/>
        </w:rPr>
      </w:pPr>
    </w:p>
    <w:p w14:paraId="2D22F3F0" w14:textId="77777777" w:rsidR="00F20ED0" w:rsidRPr="00F20ED0" w:rsidRDefault="00F20ED0" w:rsidP="00F20ED0">
      <w:pPr>
        <w:pStyle w:val="FootnoteText"/>
        <w:jc w:val="both"/>
        <w:rPr>
          <w:rFonts w:ascii="Times New Roman" w:hAnsi="Times New Roman" w:cs="Times New Roman"/>
          <w:lang w:val="lt-LT"/>
        </w:rPr>
      </w:pPr>
      <w:r w:rsidRPr="00F20ED0">
        <w:rPr>
          <w:rFonts w:ascii="Times New Roman" w:hAnsi="Times New Roman" w:cs="Times New Roman"/>
          <w:b/>
          <w:bCs/>
          <w:lang w:val="lt-LT"/>
        </w:rPr>
        <w:t>Dirbtinis intelektas </w:t>
      </w:r>
      <w:r w:rsidRPr="00F20ED0">
        <w:rPr>
          <w:rFonts w:ascii="Times New Roman" w:hAnsi="Times New Roman" w:cs="Times New Roman"/>
          <w:lang w:val="lt-LT"/>
        </w:rPr>
        <w:t xml:space="preserve">(toliau – </w:t>
      </w:r>
      <w:r w:rsidRPr="00F20ED0">
        <w:rPr>
          <w:rFonts w:ascii="Times New Roman" w:hAnsi="Times New Roman" w:cs="Times New Roman"/>
          <w:b/>
          <w:bCs/>
          <w:lang w:val="lt-LT"/>
        </w:rPr>
        <w:t>DI</w:t>
      </w:r>
      <w:r w:rsidRPr="00F20ED0">
        <w:rPr>
          <w:rFonts w:ascii="Times New Roman" w:hAnsi="Times New Roman" w:cs="Times New Roman"/>
          <w:lang w:val="lt-LT"/>
        </w:rPr>
        <w:t>) – tai kompiuterinės sistemos, gebančios atlikti užduotis, kurios reikalauja žmogiškojo intelekto. Dirbtinio intelekto sistemos mokomos naudojant didelius duomenų kiekius. Dirbtinis intelektas apima mašininį mokymąsi, gilųjį mokymąsi, didelius kalbos modelius, generatyvinį dirbtinį intelektą.</w:t>
      </w:r>
    </w:p>
    <w:p w14:paraId="30F517A7" w14:textId="77777777" w:rsidR="00F20ED0" w:rsidRPr="00F20ED0" w:rsidRDefault="00F20ED0" w:rsidP="00F20ED0">
      <w:pPr>
        <w:pStyle w:val="FootnoteText"/>
        <w:jc w:val="both"/>
        <w:rPr>
          <w:rFonts w:ascii="Times New Roman" w:hAnsi="Times New Roman" w:cs="Times New Roman"/>
          <w:lang w:val="lt-LT"/>
        </w:rPr>
      </w:pPr>
      <w:r w:rsidRPr="00F20ED0">
        <w:rPr>
          <w:rFonts w:ascii="Times New Roman" w:hAnsi="Times New Roman" w:cs="Times New Roman"/>
          <w:b/>
          <w:bCs/>
          <w:lang w:val="lt-LT"/>
        </w:rPr>
        <w:t>DI technologija</w:t>
      </w:r>
      <w:r w:rsidRPr="00F20ED0">
        <w:rPr>
          <w:rFonts w:ascii="Times New Roman" w:hAnsi="Times New Roman" w:cs="Times New Roman"/>
          <w:lang w:val="lt-LT"/>
        </w:rPr>
        <w:t xml:space="preserve"> – DI įrankis arba DI sistema.</w:t>
      </w:r>
    </w:p>
    <w:p w14:paraId="459936DD" w14:textId="77777777" w:rsidR="00F20ED0" w:rsidRPr="00F20ED0" w:rsidRDefault="00F20ED0" w:rsidP="00F20ED0">
      <w:pPr>
        <w:pStyle w:val="FootnoteText"/>
        <w:jc w:val="both"/>
        <w:rPr>
          <w:rFonts w:ascii="Times New Roman" w:hAnsi="Times New Roman" w:cs="Times New Roman"/>
          <w:lang w:val="lt-LT"/>
        </w:rPr>
      </w:pPr>
      <w:r w:rsidRPr="00F20ED0">
        <w:rPr>
          <w:rFonts w:ascii="Times New Roman" w:hAnsi="Times New Roman" w:cs="Times New Roman"/>
          <w:b/>
          <w:bCs/>
          <w:lang w:val="lt-LT"/>
        </w:rPr>
        <w:t>DI įrankis</w:t>
      </w:r>
      <w:r w:rsidRPr="00F20ED0">
        <w:rPr>
          <w:rFonts w:ascii="Times New Roman" w:hAnsi="Times New Roman" w:cs="Times New Roman"/>
          <w:lang w:val="lt-LT"/>
        </w:rPr>
        <w:t xml:space="preserve"> (angl. </w:t>
      </w:r>
      <w:r w:rsidRPr="00F20ED0">
        <w:rPr>
          <w:rFonts w:ascii="Times New Roman" w:hAnsi="Times New Roman" w:cs="Times New Roman"/>
          <w:i/>
          <w:iCs/>
          <w:lang w:val="lt-LT"/>
        </w:rPr>
        <w:t>AI Tool</w:t>
      </w:r>
      <w:r w:rsidRPr="00F20ED0">
        <w:rPr>
          <w:rFonts w:ascii="Times New Roman" w:hAnsi="Times New Roman" w:cs="Times New Roman"/>
          <w:lang w:val="lt-LT"/>
        </w:rPr>
        <w:t>) – tai atskira programa, trečiųjų šalių debesijoje (</w:t>
      </w:r>
      <w:r w:rsidRPr="00F20ED0">
        <w:rPr>
          <w:rFonts w:ascii="Times New Roman" w:hAnsi="Times New Roman" w:cs="Times New Roman"/>
          <w:i/>
          <w:iCs/>
          <w:lang w:val="lt-LT"/>
        </w:rPr>
        <w:t>SaaS</w:t>
      </w:r>
      <w:r w:rsidRPr="00F20ED0">
        <w:rPr>
          <w:rFonts w:ascii="Times New Roman" w:hAnsi="Times New Roman" w:cs="Times New Roman"/>
          <w:lang w:val="lt-LT"/>
        </w:rPr>
        <w:t>) veikianti arba į įprastą programinę įrangą (pvz., teksto redaktorių, naršyklę) integruota programėlė, skirta individualiam darbuotojų produktyvumui didinti (pvz., teksto generavimui, vertimui, informacijos paieškai, gramatikos tikrinimui ir pan.).</w:t>
      </w:r>
    </w:p>
    <w:p w14:paraId="57039AB9" w14:textId="2113F640" w:rsidR="00F20ED0" w:rsidRPr="00F20ED0" w:rsidRDefault="00F20ED0" w:rsidP="00F20ED0">
      <w:pPr>
        <w:pStyle w:val="FootnoteText"/>
        <w:jc w:val="both"/>
        <w:rPr>
          <w:rFonts w:ascii="Times New Roman" w:hAnsi="Times New Roman" w:cs="Times New Roman"/>
          <w:lang w:val="lt-LT"/>
        </w:rPr>
      </w:pPr>
      <w:r w:rsidRPr="00F20ED0">
        <w:rPr>
          <w:rFonts w:ascii="Times New Roman" w:hAnsi="Times New Roman" w:cs="Times New Roman"/>
          <w:b/>
          <w:bCs/>
          <w:lang w:val="lt-LT"/>
        </w:rPr>
        <w:t>DI sistema</w:t>
      </w:r>
      <w:r w:rsidRPr="00F20ED0">
        <w:rPr>
          <w:rFonts w:ascii="Times New Roman" w:hAnsi="Times New Roman" w:cs="Times New Roman"/>
          <w:lang w:val="lt-LT"/>
        </w:rPr>
        <w:t xml:space="preserve"> (angl. </w:t>
      </w:r>
      <w:r w:rsidRPr="00F20ED0">
        <w:rPr>
          <w:rFonts w:ascii="Times New Roman" w:hAnsi="Times New Roman" w:cs="Times New Roman"/>
          <w:i/>
          <w:iCs/>
          <w:lang w:val="lt-LT"/>
        </w:rPr>
        <w:t>AI System</w:t>
      </w:r>
      <w:r w:rsidRPr="00F20ED0">
        <w:rPr>
          <w:rFonts w:ascii="Times New Roman" w:hAnsi="Times New Roman" w:cs="Times New Roman"/>
          <w:lang w:val="lt-LT"/>
        </w:rPr>
        <w:t>) – tai sudėtinga, mašininiu mokymusi grindžiama sistema, suprojektuota veikti įvairiais autonomijos lygiais, kuri iš gautų duomenų daro išvadas ir generuoja išvestinius duomenis (pvz., prognozes, sprendimus ir pan.).</w:t>
      </w:r>
    </w:p>
    <w:p w14:paraId="40538891" w14:textId="77777777" w:rsidR="00F20ED0" w:rsidRPr="00F20ED0" w:rsidRDefault="00F20ED0" w:rsidP="00F20ED0">
      <w:pPr>
        <w:pStyle w:val="FootnoteText"/>
        <w:jc w:val="both"/>
        <w:rPr>
          <w:rFonts w:ascii="Times New Roman" w:hAnsi="Times New Roman" w:cs="Times New Roman"/>
          <w:lang w:val="lt-LT"/>
        </w:rPr>
      </w:pPr>
      <w:r w:rsidRPr="00F20ED0">
        <w:rPr>
          <w:rFonts w:ascii="Times New Roman" w:hAnsi="Times New Roman" w:cs="Times New Roman"/>
          <w:lang w:val="lt-LT"/>
        </w:rPr>
        <w:t xml:space="preserve">Jeigu tiekėjas paslaugų teikime ketintų naudoti DI technologijas, jis turėtų raštu (el. paštu) kreiptis į Perkančiąją organizaciją (nurodant kokius DI įrankius ir / ar DI sistemas) planuoja naudoti ir kokioms paslaugoms / darbams. Perkančioji organizacija atsakymą pateiktų raštu (el. paštu), ar sutinka leisti naudoti nurodytas DI technologijas atitinkamų paslaugų teikime. </w:t>
      </w:r>
    </w:p>
    <w:p w14:paraId="3F2803DF" w14:textId="5FAB08F4" w:rsidR="00F20ED0" w:rsidRPr="00F20ED0" w:rsidRDefault="00F20ED0">
      <w:pPr>
        <w:pStyle w:val="FootnoteText"/>
        <w:rPr>
          <w:lang w:val="lt-LT"/>
        </w:rPr>
      </w:pPr>
    </w:p>
  </w:footnote>
  <w:footnote w:id="4">
    <w:p w14:paraId="1E150085" w14:textId="345AC217" w:rsidR="7E045DD3" w:rsidRDefault="7E045DD3" w:rsidP="6A347038">
      <w:pPr>
        <w:pStyle w:val="FootnoteText"/>
        <w:jc w:val="both"/>
        <w:rPr>
          <w:rFonts w:ascii="Times New Roman" w:eastAsia="Times New Roman" w:hAnsi="Times New Roman" w:cs="Times New Roman"/>
          <w:color w:val="000000" w:themeColor="text1"/>
          <w:lang w:val="lt"/>
        </w:rPr>
      </w:pPr>
      <w:r w:rsidRPr="7E045DD3">
        <w:rPr>
          <w:rStyle w:val="FootnoteReference"/>
        </w:rPr>
        <w:footnoteRef/>
      </w:r>
      <w:r w:rsidR="6A347038" w:rsidRPr="00F20ED0">
        <w:rPr>
          <w:lang w:val="lt-LT"/>
        </w:rPr>
        <w:t xml:space="preserve"> </w:t>
      </w:r>
      <w:r w:rsidR="6A347038" w:rsidRPr="7E045DD3">
        <w:rPr>
          <w:rFonts w:ascii="Times New Roman" w:eastAsia="Times New Roman" w:hAnsi="Times New Roman" w:cs="Times New Roman"/>
          <w:color w:val="000000" w:themeColor="text1"/>
          <w:lang w:val="lt"/>
        </w:rPr>
        <w:t>Pirkimo vykdytojas pirkimo dokumentuose ir sutartyje gali numatyti, kad, esant poreikiui, gali įsigyti prekių ir (ar) paslaugų sąraše nenurodytų, tačiau su pirkimo objektu susijusių prekių ir (ar) paslaugų (</w:t>
      </w:r>
      <w:r w:rsidR="6A347038" w:rsidRPr="6A347038">
        <w:rPr>
          <w:rFonts w:ascii="Times New Roman" w:eastAsia="Times New Roman" w:hAnsi="Times New Roman" w:cs="Times New Roman"/>
          <w:i/>
          <w:iCs/>
          <w:color w:val="000000" w:themeColor="text1"/>
          <w:lang w:val="lt"/>
        </w:rPr>
        <w:t>pavyzdžiui, pašto, kurjerių, telefoninio ryšio paslaugos į nenumatytas sutartyje šalis</w:t>
      </w:r>
      <w:r w:rsidR="6A347038" w:rsidRPr="7E045DD3">
        <w:rPr>
          <w:rFonts w:ascii="Times New Roman" w:eastAsia="Times New Roman" w:hAnsi="Times New Roman" w:cs="Times New Roman"/>
          <w:color w:val="000000" w:themeColor="text1"/>
          <w:lang w:val="lt"/>
        </w:rPr>
        <w:t>) neviršijant 10 procentų pradinės sutarties vertės. Tiek pirkimo dokumentuose, tiek sutartyje turi būti nurodyta, kad už prekių ir (ar) paslaugų sąraše nenurodytas, tačiau su pirkimo objektu susijusias prekes ir (ar) paslaugas bus apmokėta ne didesnėmis nei užsakymo dieną Vykdytojo  prekybos vietoje, kataloge ar interneto svetainėje nurodytomis galiojančiomis šių prekių ir (ar) paslaugų kainomis arba, jei tokios kainos neskelbiamos, Vykdytojo  pasiūlytomis, konkurencingomis ir rinką atitinkančiomis kainomis.</w:t>
      </w:r>
    </w:p>
    <w:p w14:paraId="6979AAB9" w14:textId="64917CAA" w:rsidR="7E045DD3" w:rsidRPr="00F20ED0" w:rsidRDefault="7E045DD3" w:rsidP="7E045DD3">
      <w:pPr>
        <w:pStyle w:val="FootnoteText"/>
        <w:rPr>
          <w:lang w:val="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0820"/>
      <w:docPartObj>
        <w:docPartGallery w:val="Page Numbers (Top of Page)"/>
        <w:docPartUnique/>
      </w:docPartObj>
    </w:sdtPr>
    <w:sdtEndPr>
      <w:rPr>
        <w:rFonts w:ascii="Times New Roman" w:hAnsi="Times New Roman" w:cs="Times New Roman"/>
        <w:noProof/>
      </w:rPr>
    </w:sdtEndPr>
    <w:sdtContent>
      <w:p w14:paraId="7B78749A" w14:textId="4F014F68" w:rsidR="004901A2" w:rsidRPr="0065775A" w:rsidRDefault="004901A2">
        <w:pPr>
          <w:pStyle w:val="Header"/>
          <w:jc w:val="center"/>
          <w:rPr>
            <w:rFonts w:ascii="Times New Roman" w:hAnsi="Times New Roman" w:cs="Times New Roman"/>
          </w:rPr>
        </w:pPr>
        <w:r w:rsidRPr="0065775A">
          <w:rPr>
            <w:rFonts w:ascii="Times New Roman" w:hAnsi="Times New Roman" w:cs="Times New Roman"/>
          </w:rPr>
          <w:fldChar w:fldCharType="begin"/>
        </w:r>
        <w:r w:rsidRPr="008A64D3">
          <w:rPr>
            <w:rFonts w:ascii="Times New Roman" w:hAnsi="Times New Roman" w:cs="Times New Roman"/>
          </w:rPr>
          <w:instrText xml:space="preserve"> PAGE   \* MERGEFORMAT </w:instrText>
        </w:r>
        <w:r w:rsidRPr="0065775A">
          <w:rPr>
            <w:rFonts w:ascii="Times New Roman" w:hAnsi="Times New Roman" w:cs="Times New Roman"/>
          </w:rPr>
          <w:fldChar w:fldCharType="separate"/>
        </w:r>
        <w:r w:rsidRPr="008A64D3">
          <w:rPr>
            <w:rFonts w:ascii="Times New Roman" w:hAnsi="Times New Roman" w:cs="Times New Roman"/>
            <w:noProof/>
          </w:rPr>
          <w:t>2</w:t>
        </w:r>
        <w:r w:rsidRPr="0065775A">
          <w:rPr>
            <w:rFonts w:ascii="Times New Roman" w:hAnsi="Times New Roman" w:cs="Times New Roman"/>
            <w:noProof/>
          </w:rPr>
          <w:fldChar w:fldCharType="end"/>
        </w:r>
      </w:p>
    </w:sdtContent>
  </w:sdt>
  <w:p w14:paraId="512574EF" w14:textId="77777777" w:rsidR="004901A2" w:rsidRDefault="00490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75E" w14:textId="77777777" w:rsidR="004B62AD" w:rsidRPr="004B62AD" w:rsidRDefault="004B62AD" w:rsidP="004B62AD">
    <w:pPr>
      <w:pStyle w:val="Header"/>
      <w:jc w:val="right"/>
      <w:rPr>
        <w:rFonts w:ascii="Times New Roman" w:hAnsi="Times New Roman" w:cs="Times New Roman"/>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50DC"/>
    <w:multiLevelType w:val="hybridMultilevel"/>
    <w:tmpl w:val="F42E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2" w15:restartNumberingAfterBreak="0">
    <w:nsid w:val="5B3A0128"/>
    <w:multiLevelType w:val="multilevel"/>
    <w:tmpl w:val="060C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E01AA"/>
    <w:multiLevelType w:val="multilevel"/>
    <w:tmpl w:val="6F5ED832"/>
    <w:lvl w:ilvl="0">
      <w:start w:val="1"/>
      <w:numFmt w:val="upperRoman"/>
      <w:lvlText w:val="%1."/>
      <w:lvlJc w:val="left"/>
      <w:pPr>
        <w:ind w:left="927" w:hanging="360"/>
      </w:pPr>
      <w:rPr>
        <w:rFonts w:ascii="Times New Roman" w:eastAsiaTheme="minorHAnsi" w:hAnsi="Times New Roman" w:cs="Times New Roman"/>
        <w:b/>
        <w:b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0F95F66"/>
    <w:multiLevelType w:val="multilevel"/>
    <w:tmpl w:val="00A04D8C"/>
    <w:lvl w:ilvl="0">
      <w:start w:val="1"/>
      <w:numFmt w:val="decimal"/>
      <w:suff w:val="space"/>
      <w:lvlText w:val="%1."/>
      <w:lvlJc w:val="left"/>
      <w:pPr>
        <w:ind w:left="927" w:hanging="360"/>
      </w:pPr>
      <w:rPr>
        <w:rFonts w:hint="default"/>
        <w:b w:val="0"/>
        <w:bCs/>
      </w:rPr>
    </w:lvl>
    <w:lvl w:ilvl="1">
      <w:start w:val="1"/>
      <w:numFmt w:val="decimal"/>
      <w:suff w:val="space"/>
      <w:lvlText w:val="%1.%2."/>
      <w:lvlJc w:val="left"/>
      <w:pPr>
        <w:ind w:left="927" w:hanging="360"/>
      </w:pPr>
      <w:rPr>
        <w:rFonts w:hint="default"/>
        <w:b w:val="0"/>
        <w:bCs/>
        <w:sz w:val="24"/>
        <w:szCs w:val="24"/>
      </w:rPr>
    </w:lvl>
    <w:lvl w:ilvl="2">
      <w:start w:val="1"/>
      <w:numFmt w:val="decimal"/>
      <w:suff w:val="space"/>
      <w:lvlText w:val="%1.%2.%3."/>
      <w:lvlJc w:val="left"/>
      <w:pPr>
        <w:ind w:left="1287" w:hanging="720"/>
      </w:pPr>
      <w:rPr>
        <w:rFonts w:hint="default"/>
        <w:b w:val="0"/>
        <w:bCs/>
      </w:rPr>
    </w:lvl>
    <w:lvl w:ilvl="3">
      <w:start w:val="1"/>
      <w:numFmt w:val="decimal"/>
      <w:lvlText w:val="%1.%2.%3.%4."/>
      <w:lvlJc w:val="left"/>
      <w:pPr>
        <w:ind w:left="1287" w:hanging="720"/>
      </w:pPr>
      <w:rPr>
        <w:rFonts w:hint="default"/>
        <w:b/>
      </w:rPr>
    </w:lvl>
    <w:lvl w:ilvl="4">
      <w:start w:val="1"/>
      <w:numFmt w:val="decimal"/>
      <w:lvlText w:val="%1.%2.%3.%4.%5."/>
      <w:lvlJc w:val="left"/>
      <w:pPr>
        <w:ind w:left="1647" w:hanging="1080"/>
      </w:pPr>
      <w:rPr>
        <w:rFonts w:hint="default"/>
        <w:b/>
      </w:rPr>
    </w:lvl>
    <w:lvl w:ilvl="5">
      <w:start w:val="1"/>
      <w:numFmt w:val="decimal"/>
      <w:lvlText w:val="%1.%2.%3.%4.%5.%6."/>
      <w:lvlJc w:val="left"/>
      <w:pPr>
        <w:ind w:left="1647" w:hanging="1080"/>
      </w:pPr>
      <w:rPr>
        <w:rFonts w:hint="default"/>
        <w:b/>
      </w:rPr>
    </w:lvl>
    <w:lvl w:ilvl="6">
      <w:start w:val="1"/>
      <w:numFmt w:val="decimal"/>
      <w:lvlText w:val="%1.%2.%3.%4.%5.%6.%7."/>
      <w:lvlJc w:val="left"/>
      <w:pPr>
        <w:ind w:left="2007" w:hanging="1440"/>
      </w:pPr>
      <w:rPr>
        <w:rFonts w:hint="default"/>
        <w:b/>
      </w:rPr>
    </w:lvl>
    <w:lvl w:ilvl="7">
      <w:start w:val="1"/>
      <w:numFmt w:val="decimal"/>
      <w:lvlText w:val="%1.%2.%3.%4.%5.%6.%7.%8."/>
      <w:lvlJc w:val="left"/>
      <w:pPr>
        <w:ind w:left="2007" w:hanging="1440"/>
      </w:pPr>
      <w:rPr>
        <w:rFonts w:hint="default"/>
        <w:b/>
      </w:rPr>
    </w:lvl>
    <w:lvl w:ilvl="8">
      <w:start w:val="1"/>
      <w:numFmt w:val="decimal"/>
      <w:lvlText w:val="%1.%2.%3.%4.%5.%6.%7.%8.%9."/>
      <w:lvlJc w:val="left"/>
      <w:pPr>
        <w:ind w:left="2367" w:hanging="1800"/>
      </w:pPr>
      <w:rPr>
        <w:rFonts w:hint="default"/>
        <w:b/>
      </w:rPr>
    </w:lvl>
  </w:abstractNum>
  <w:abstractNum w:abstractNumId="5" w15:restartNumberingAfterBreak="0">
    <w:nsid w:val="7C7B56B3"/>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num w:numId="1" w16cid:durableId="2043820879">
    <w:abstractNumId w:val="0"/>
  </w:num>
  <w:num w:numId="2" w16cid:durableId="1494299307">
    <w:abstractNumId w:val="3"/>
  </w:num>
  <w:num w:numId="3" w16cid:durableId="779227836">
    <w:abstractNumId w:val="2"/>
  </w:num>
  <w:num w:numId="4" w16cid:durableId="1902010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466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71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DB"/>
    <w:rsid w:val="00054A45"/>
    <w:rsid w:val="000652F2"/>
    <w:rsid w:val="00092F30"/>
    <w:rsid w:val="000B5B9E"/>
    <w:rsid w:val="000B69A4"/>
    <w:rsid w:val="000C1949"/>
    <w:rsid w:val="000E6929"/>
    <w:rsid w:val="000F0768"/>
    <w:rsid w:val="00116DF8"/>
    <w:rsid w:val="00135141"/>
    <w:rsid w:val="00142221"/>
    <w:rsid w:val="001442A7"/>
    <w:rsid w:val="00144740"/>
    <w:rsid w:val="00154656"/>
    <w:rsid w:val="00154F89"/>
    <w:rsid w:val="001611DE"/>
    <w:rsid w:val="00172F70"/>
    <w:rsid w:val="00186D8D"/>
    <w:rsid w:val="0019749C"/>
    <w:rsid w:val="001C7E3A"/>
    <w:rsid w:val="001F39FE"/>
    <w:rsid w:val="001F3E15"/>
    <w:rsid w:val="00203CDB"/>
    <w:rsid w:val="00244ED8"/>
    <w:rsid w:val="002547F6"/>
    <w:rsid w:val="00274789"/>
    <w:rsid w:val="00276397"/>
    <w:rsid w:val="002E312D"/>
    <w:rsid w:val="002F44D5"/>
    <w:rsid w:val="00303D0D"/>
    <w:rsid w:val="00315D55"/>
    <w:rsid w:val="00344A02"/>
    <w:rsid w:val="0034633C"/>
    <w:rsid w:val="00346FE6"/>
    <w:rsid w:val="00350669"/>
    <w:rsid w:val="00353F89"/>
    <w:rsid w:val="0036382F"/>
    <w:rsid w:val="003A1137"/>
    <w:rsid w:val="003B1BDC"/>
    <w:rsid w:val="003B6D11"/>
    <w:rsid w:val="003F5AA4"/>
    <w:rsid w:val="003F6413"/>
    <w:rsid w:val="00407375"/>
    <w:rsid w:val="00434A11"/>
    <w:rsid w:val="004351F8"/>
    <w:rsid w:val="00483233"/>
    <w:rsid w:val="004901A2"/>
    <w:rsid w:val="004B5249"/>
    <w:rsid w:val="004B62AD"/>
    <w:rsid w:val="004B7D57"/>
    <w:rsid w:val="004C06BC"/>
    <w:rsid w:val="004F4F89"/>
    <w:rsid w:val="004F565B"/>
    <w:rsid w:val="0050714A"/>
    <w:rsid w:val="005143B6"/>
    <w:rsid w:val="005145DA"/>
    <w:rsid w:val="00527E1A"/>
    <w:rsid w:val="0053024C"/>
    <w:rsid w:val="00573BC1"/>
    <w:rsid w:val="00584B25"/>
    <w:rsid w:val="005A0AC8"/>
    <w:rsid w:val="005A407B"/>
    <w:rsid w:val="005A58D8"/>
    <w:rsid w:val="005D27F4"/>
    <w:rsid w:val="005F4DA4"/>
    <w:rsid w:val="00617848"/>
    <w:rsid w:val="00635D28"/>
    <w:rsid w:val="00635F0E"/>
    <w:rsid w:val="00640D2B"/>
    <w:rsid w:val="00644AC5"/>
    <w:rsid w:val="0065475B"/>
    <w:rsid w:val="0065775A"/>
    <w:rsid w:val="00673294"/>
    <w:rsid w:val="00682150"/>
    <w:rsid w:val="00686897"/>
    <w:rsid w:val="00693F7E"/>
    <w:rsid w:val="006B1580"/>
    <w:rsid w:val="006D0F18"/>
    <w:rsid w:val="006D52D0"/>
    <w:rsid w:val="006F7E8E"/>
    <w:rsid w:val="00704C73"/>
    <w:rsid w:val="00721D9F"/>
    <w:rsid w:val="00773CEF"/>
    <w:rsid w:val="00777CE8"/>
    <w:rsid w:val="007858CD"/>
    <w:rsid w:val="00790D27"/>
    <w:rsid w:val="007A1FBD"/>
    <w:rsid w:val="007B0B74"/>
    <w:rsid w:val="007C6010"/>
    <w:rsid w:val="007F6597"/>
    <w:rsid w:val="00816B8D"/>
    <w:rsid w:val="0082684D"/>
    <w:rsid w:val="008443D0"/>
    <w:rsid w:val="00882176"/>
    <w:rsid w:val="00885278"/>
    <w:rsid w:val="0089491E"/>
    <w:rsid w:val="00895FCD"/>
    <w:rsid w:val="008A2D68"/>
    <w:rsid w:val="008A64D3"/>
    <w:rsid w:val="008B305A"/>
    <w:rsid w:val="008D4F96"/>
    <w:rsid w:val="00995896"/>
    <w:rsid w:val="009A396D"/>
    <w:rsid w:val="009D15A8"/>
    <w:rsid w:val="009D4ECB"/>
    <w:rsid w:val="009E3A4C"/>
    <w:rsid w:val="009E40E2"/>
    <w:rsid w:val="009F02B9"/>
    <w:rsid w:val="00A01389"/>
    <w:rsid w:val="00A458BC"/>
    <w:rsid w:val="00A51F66"/>
    <w:rsid w:val="00A6534A"/>
    <w:rsid w:val="00AD0C12"/>
    <w:rsid w:val="00AD2695"/>
    <w:rsid w:val="00B06993"/>
    <w:rsid w:val="00B252C6"/>
    <w:rsid w:val="00B81651"/>
    <w:rsid w:val="00B95DB3"/>
    <w:rsid w:val="00BB1BD0"/>
    <w:rsid w:val="00BC7B09"/>
    <w:rsid w:val="00C03215"/>
    <w:rsid w:val="00C06F12"/>
    <w:rsid w:val="00C47B53"/>
    <w:rsid w:val="00C54303"/>
    <w:rsid w:val="00C560E0"/>
    <w:rsid w:val="00C70494"/>
    <w:rsid w:val="00CB3B98"/>
    <w:rsid w:val="00CE0505"/>
    <w:rsid w:val="00CE3324"/>
    <w:rsid w:val="00CF5286"/>
    <w:rsid w:val="00CF7F6E"/>
    <w:rsid w:val="00D06578"/>
    <w:rsid w:val="00D06DC7"/>
    <w:rsid w:val="00D1382A"/>
    <w:rsid w:val="00D255E7"/>
    <w:rsid w:val="00D3611F"/>
    <w:rsid w:val="00D47327"/>
    <w:rsid w:val="00D574B9"/>
    <w:rsid w:val="00DA13B8"/>
    <w:rsid w:val="00DB261B"/>
    <w:rsid w:val="00DC3A8F"/>
    <w:rsid w:val="00DE7C22"/>
    <w:rsid w:val="00E0C3E8"/>
    <w:rsid w:val="00E441AA"/>
    <w:rsid w:val="00E47635"/>
    <w:rsid w:val="00E55F06"/>
    <w:rsid w:val="00E71FFA"/>
    <w:rsid w:val="00E93D5E"/>
    <w:rsid w:val="00EC54DD"/>
    <w:rsid w:val="00EC6FFB"/>
    <w:rsid w:val="00ED36DC"/>
    <w:rsid w:val="00ED55CB"/>
    <w:rsid w:val="00EE4493"/>
    <w:rsid w:val="00EE62B8"/>
    <w:rsid w:val="00EE6BAC"/>
    <w:rsid w:val="00F20ED0"/>
    <w:rsid w:val="00F405C1"/>
    <w:rsid w:val="00F51677"/>
    <w:rsid w:val="00FB362F"/>
    <w:rsid w:val="00FC50B4"/>
    <w:rsid w:val="0180F466"/>
    <w:rsid w:val="01903968"/>
    <w:rsid w:val="01B570A1"/>
    <w:rsid w:val="0286B995"/>
    <w:rsid w:val="02A10E81"/>
    <w:rsid w:val="02D5C2CA"/>
    <w:rsid w:val="0378F113"/>
    <w:rsid w:val="0378FD5F"/>
    <w:rsid w:val="049C36AC"/>
    <w:rsid w:val="06C8B0C2"/>
    <w:rsid w:val="06CC84B0"/>
    <w:rsid w:val="06F31FF9"/>
    <w:rsid w:val="07E2BB4A"/>
    <w:rsid w:val="081D3B0A"/>
    <w:rsid w:val="0884A77F"/>
    <w:rsid w:val="09E43528"/>
    <w:rsid w:val="0A0CA48E"/>
    <w:rsid w:val="0A85147A"/>
    <w:rsid w:val="0C061E48"/>
    <w:rsid w:val="0E937E51"/>
    <w:rsid w:val="11BF9AD1"/>
    <w:rsid w:val="12836160"/>
    <w:rsid w:val="134F2076"/>
    <w:rsid w:val="14A84B98"/>
    <w:rsid w:val="162E3FDF"/>
    <w:rsid w:val="168C37E7"/>
    <w:rsid w:val="168DC08C"/>
    <w:rsid w:val="17353B0F"/>
    <w:rsid w:val="17AEB611"/>
    <w:rsid w:val="18251E73"/>
    <w:rsid w:val="1A585ECC"/>
    <w:rsid w:val="1A84CED9"/>
    <w:rsid w:val="1B2C273B"/>
    <w:rsid w:val="1C306972"/>
    <w:rsid w:val="1C4D9F5C"/>
    <w:rsid w:val="1C64A623"/>
    <w:rsid w:val="1C873B7C"/>
    <w:rsid w:val="1D85449F"/>
    <w:rsid w:val="1EC8FE72"/>
    <w:rsid w:val="1EFF66DD"/>
    <w:rsid w:val="2007CD60"/>
    <w:rsid w:val="20E2CA1E"/>
    <w:rsid w:val="20EC43BA"/>
    <w:rsid w:val="23A7DF57"/>
    <w:rsid w:val="2593CB45"/>
    <w:rsid w:val="2626ABE1"/>
    <w:rsid w:val="2707B906"/>
    <w:rsid w:val="2812B336"/>
    <w:rsid w:val="2A84CCF5"/>
    <w:rsid w:val="2AC1102F"/>
    <w:rsid w:val="2B1C3041"/>
    <w:rsid w:val="2D2718F2"/>
    <w:rsid w:val="2D8AFBFD"/>
    <w:rsid w:val="2E676985"/>
    <w:rsid w:val="2FA453BF"/>
    <w:rsid w:val="314F785B"/>
    <w:rsid w:val="3277EF1A"/>
    <w:rsid w:val="33DBDCC2"/>
    <w:rsid w:val="341070F1"/>
    <w:rsid w:val="35DBB382"/>
    <w:rsid w:val="36C84ED5"/>
    <w:rsid w:val="3787BDB3"/>
    <w:rsid w:val="37966EA6"/>
    <w:rsid w:val="37A7610D"/>
    <w:rsid w:val="3AA4ECAB"/>
    <w:rsid w:val="3AB2BC29"/>
    <w:rsid w:val="3B2644AF"/>
    <w:rsid w:val="3B80EB27"/>
    <w:rsid w:val="3B918F59"/>
    <w:rsid w:val="3BD22801"/>
    <w:rsid w:val="3DCAA1DF"/>
    <w:rsid w:val="3F13D5FB"/>
    <w:rsid w:val="3F4BBEB4"/>
    <w:rsid w:val="3F4FE298"/>
    <w:rsid w:val="3FBC1509"/>
    <w:rsid w:val="401B898B"/>
    <w:rsid w:val="405551FD"/>
    <w:rsid w:val="406463A4"/>
    <w:rsid w:val="41708D03"/>
    <w:rsid w:val="42B7A054"/>
    <w:rsid w:val="441D34C1"/>
    <w:rsid w:val="4434CDA3"/>
    <w:rsid w:val="452027E4"/>
    <w:rsid w:val="46399D7A"/>
    <w:rsid w:val="47094BAE"/>
    <w:rsid w:val="47F401C4"/>
    <w:rsid w:val="49458071"/>
    <w:rsid w:val="498F9E18"/>
    <w:rsid w:val="4A6FC74F"/>
    <w:rsid w:val="4A8D1120"/>
    <w:rsid w:val="4B9BC68E"/>
    <w:rsid w:val="4C37F418"/>
    <w:rsid w:val="4C58B9E6"/>
    <w:rsid w:val="4D9373C2"/>
    <w:rsid w:val="4EA5E15E"/>
    <w:rsid w:val="4EE73CE6"/>
    <w:rsid w:val="4F36650F"/>
    <w:rsid w:val="4FA7990A"/>
    <w:rsid w:val="50868808"/>
    <w:rsid w:val="5195F091"/>
    <w:rsid w:val="5211A75C"/>
    <w:rsid w:val="534EF435"/>
    <w:rsid w:val="535F0615"/>
    <w:rsid w:val="54362040"/>
    <w:rsid w:val="54667535"/>
    <w:rsid w:val="56539E45"/>
    <w:rsid w:val="566C70E8"/>
    <w:rsid w:val="5688E60D"/>
    <w:rsid w:val="574FDB22"/>
    <w:rsid w:val="58F41675"/>
    <w:rsid w:val="5B8D7EBD"/>
    <w:rsid w:val="5CD5A444"/>
    <w:rsid w:val="5D2FE131"/>
    <w:rsid w:val="5DAEF951"/>
    <w:rsid w:val="5FCD80D3"/>
    <w:rsid w:val="5FFFB5C4"/>
    <w:rsid w:val="6005A05F"/>
    <w:rsid w:val="607F0D23"/>
    <w:rsid w:val="60B0E503"/>
    <w:rsid w:val="60EC8112"/>
    <w:rsid w:val="61B66036"/>
    <w:rsid w:val="63304EB3"/>
    <w:rsid w:val="634A750D"/>
    <w:rsid w:val="64343386"/>
    <w:rsid w:val="648D4D5A"/>
    <w:rsid w:val="64A5292C"/>
    <w:rsid w:val="656EF752"/>
    <w:rsid w:val="65EEFD89"/>
    <w:rsid w:val="66F1EE99"/>
    <w:rsid w:val="672149E9"/>
    <w:rsid w:val="68029426"/>
    <w:rsid w:val="69A34741"/>
    <w:rsid w:val="69EAA69F"/>
    <w:rsid w:val="6A347038"/>
    <w:rsid w:val="6A3CBDB7"/>
    <w:rsid w:val="6A56DE8B"/>
    <w:rsid w:val="6B2C0EE7"/>
    <w:rsid w:val="6BD2AF7F"/>
    <w:rsid w:val="6CDC434F"/>
    <w:rsid w:val="6D0FF42C"/>
    <w:rsid w:val="6E7844FF"/>
    <w:rsid w:val="70903DBC"/>
    <w:rsid w:val="7213F404"/>
    <w:rsid w:val="727606B1"/>
    <w:rsid w:val="72775A20"/>
    <w:rsid w:val="7458BB4E"/>
    <w:rsid w:val="747E2E98"/>
    <w:rsid w:val="74AA554B"/>
    <w:rsid w:val="74E72B27"/>
    <w:rsid w:val="77654605"/>
    <w:rsid w:val="79A2ECCC"/>
    <w:rsid w:val="7A110FBB"/>
    <w:rsid w:val="7A4F1A50"/>
    <w:rsid w:val="7AA510B7"/>
    <w:rsid w:val="7B8672BA"/>
    <w:rsid w:val="7E045DD3"/>
    <w:rsid w:val="7FF4A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383C"/>
  <w15:chartTrackingRefBased/>
  <w15:docId w15:val="{1034A883-998C-4AC9-82ED-EC944E16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DB"/>
    <w:rPr>
      <w:rFonts w:eastAsiaTheme="majorEastAsia" w:cstheme="majorBidi"/>
      <w:color w:val="272727" w:themeColor="text1" w:themeTint="D8"/>
    </w:rPr>
  </w:style>
  <w:style w:type="paragraph" w:styleId="Title">
    <w:name w:val="Title"/>
    <w:basedOn w:val="Normal"/>
    <w:next w:val="Normal"/>
    <w:link w:val="TitleChar"/>
    <w:uiPriority w:val="10"/>
    <w:qFormat/>
    <w:rsid w:val="00203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DB"/>
    <w:pPr>
      <w:spacing w:before="160"/>
      <w:jc w:val="center"/>
    </w:pPr>
    <w:rPr>
      <w:i/>
      <w:iCs/>
      <w:color w:val="404040" w:themeColor="text1" w:themeTint="BF"/>
    </w:rPr>
  </w:style>
  <w:style w:type="character" w:customStyle="1" w:styleId="QuoteChar">
    <w:name w:val="Quote Char"/>
    <w:basedOn w:val="DefaultParagraphFont"/>
    <w:link w:val="Quote"/>
    <w:uiPriority w:val="29"/>
    <w:rsid w:val="00203CDB"/>
    <w:rPr>
      <w:i/>
      <w:iCs/>
      <w:color w:val="404040" w:themeColor="text1" w:themeTint="BF"/>
    </w:rPr>
  </w:style>
  <w:style w:type="paragraph" w:styleId="ListParagraph">
    <w:name w:val="List Paragraph"/>
    <w:basedOn w:val="Normal"/>
    <w:uiPriority w:val="34"/>
    <w:qFormat/>
    <w:rsid w:val="00203CDB"/>
    <w:pPr>
      <w:ind w:left="720"/>
      <w:contextualSpacing/>
    </w:pPr>
  </w:style>
  <w:style w:type="character" w:styleId="IntenseEmphasis">
    <w:name w:val="Intense Emphasis"/>
    <w:basedOn w:val="DefaultParagraphFont"/>
    <w:uiPriority w:val="21"/>
    <w:qFormat/>
    <w:rsid w:val="00203CDB"/>
    <w:rPr>
      <w:i/>
      <w:iCs/>
      <w:color w:val="0F4761" w:themeColor="accent1" w:themeShade="BF"/>
    </w:rPr>
  </w:style>
  <w:style w:type="paragraph" w:styleId="IntenseQuote">
    <w:name w:val="Intense Quote"/>
    <w:basedOn w:val="Normal"/>
    <w:next w:val="Normal"/>
    <w:link w:val="IntenseQuoteChar"/>
    <w:uiPriority w:val="30"/>
    <w:qFormat/>
    <w:rsid w:val="00203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CDB"/>
    <w:rPr>
      <w:i/>
      <w:iCs/>
      <w:color w:val="0F4761" w:themeColor="accent1" w:themeShade="BF"/>
    </w:rPr>
  </w:style>
  <w:style w:type="character" w:styleId="IntenseReference">
    <w:name w:val="Intense Reference"/>
    <w:basedOn w:val="DefaultParagraphFont"/>
    <w:uiPriority w:val="32"/>
    <w:qFormat/>
    <w:rsid w:val="00203CDB"/>
    <w:rPr>
      <w:b/>
      <w:bCs/>
      <w:smallCaps/>
      <w:color w:val="0F4761" w:themeColor="accent1" w:themeShade="BF"/>
      <w:spacing w:val="5"/>
    </w:rPr>
  </w:style>
  <w:style w:type="paragraph" w:styleId="Header">
    <w:name w:val="header"/>
    <w:basedOn w:val="Normal"/>
    <w:link w:val="HeaderChar"/>
    <w:uiPriority w:val="99"/>
    <w:unhideWhenUsed/>
    <w:rsid w:val="00490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1A2"/>
  </w:style>
  <w:style w:type="paragraph" w:styleId="Footer">
    <w:name w:val="footer"/>
    <w:basedOn w:val="Normal"/>
    <w:link w:val="FooterChar"/>
    <w:uiPriority w:val="99"/>
    <w:unhideWhenUsed/>
    <w:rsid w:val="00490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1A2"/>
  </w:style>
  <w:style w:type="paragraph" w:styleId="Revision">
    <w:name w:val="Revision"/>
    <w:hidden/>
    <w:uiPriority w:val="99"/>
    <w:semiHidden/>
    <w:rsid w:val="00EC54DD"/>
    <w:pPr>
      <w:spacing w:after="0" w:line="240" w:lineRule="auto"/>
    </w:pPr>
  </w:style>
  <w:style w:type="character" w:styleId="CommentReference">
    <w:name w:val="annotation reference"/>
    <w:basedOn w:val="DefaultParagraphFont"/>
    <w:uiPriority w:val="99"/>
    <w:semiHidden/>
    <w:unhideWhenUsed/>
    <w:rsid w:val="00D06578"/>
    <w:rPr>
      <w:sz w:val="16"/>
      <w:szCs w:val="16"/>
    </w:rPr>
  </w:style>
  <w:style w:type="paragraph" w:styleId="CommentText">
    <w:name w:val="annotation text"/>
    <w:basedOn w:val="Normal"/>
    <w:link w:val="CommentTextChar"/>
    <w:uiPriority w:val="99"/>
    <w:unhideWhenUsed/>
    <w:rsid w:val="00D06578"/>
    <w:pPr>
      <w:spacing w:line="240" w:lineRule="auto"/>
    </w:pPr>
    <w:rPr>
      <w:sz w:val="20"/>
      <w:szCs w:val="20"/>
    </w:rPr>
  </w:style>
  <w:style w:type="character" w:customStyle="1" w:styleId="CommentTextChar">
    <w:name w:val="Comment Text Char"/>
    <w:basedOn w:val="DefaultParagraphFont"/>
    <w:link w:val="CommentText"/>
    <w:uiPriority w:val="99"/>
    <w:rsid w:val="00D06578"/>
    <w:rPr>
      <w:sz w:val="20"/>
      <w:szCs w:val="20"/>
    </w:rPr>
  </w:style>
  <w:style w:type="paragraph" w:styleId="CommentSubject">
    <w:name w:val="annotation subject"/>
    <w:basedOn w:val="CommentText"/>
    <w:next w:val="CommentText"/>
    <w:link w:val="CommentSubjectChar"/>
    <w:uiPriority w:val="99"/>
    <w:semiHidden/>
    <w:unhideWhenUsed/>
    <w:rsid w:val="00D06578"/>
    <w:rPr>
      <w:b/>
      <w:bCs/>
    </w:rPr>
  </w:style>
  <w:style w:type="character" w:customStyle="1" w:styleId="CommentSubjectChar">
    <w:name w:val="Comment Subject Char"/>
    <w:basedOn w:val="CommentTextChar"/>
    <w:link w:val="CommentSubject"/>
    <w:uiPriority w:val="99"/>
    <w:semiHidden/>
    <w:rsid w:val="00D06578"/>
    <w:rPr>
      <w:b/>
      <w:bCs/>
      <w:sz w:val="20"/>
      <w:szCs w:val="20"/>
    </w:rPr>
  </w:style>
  <w:style w:type="paragraph" w:styleId="FootnoteText">
    <w:name w:val="footnote text"/>
    <w:basedOn w:val="Normal"/>
    <w:uiPriority w:val="99"/>
    <w:semiHidden/>
    <w:unhideWhenUsed/>
    <w:rsid w:val="47094BAE"/>
    <w:pPr>
      <w:spacing w:after="0" w:line="240" w:lineRule="auto"/>
    </w:pPr>
    <w:rPr>
      <w:sz w:val="20"/>
      <w:szCs w:val="20"/>
    </w:rPr>
  </w:style>
  <w:style w:type="character" w:styleId="FootnoteReference">
    <w:name w:val="footnote reference"/>
    <w:basedOn w:val="DefaultParagraphFont"/>
    <w:uiPriority w:val="99"/>
    <w:semiHidden/>
    <w:unhideWhenUsed/>
    <w:rsid w:val="47094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CB04-BDEB-4771-864B-1F3558A5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5837</Words>
  <Characters>3328</Characters>
  <Application>Microsoft Office Word</Application>
  <DocSecurity>0</DocSecurity>
  <Lines>27</Lines>
  <Paragraphs>18</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Naujokienė</dc:creator>
  <cp:lastModifiedBy>Ilona Kobzar</cp:lastModifiedBy>
  <cp:revision>5</cp:revision>
  <dcterms:created xsi:type="dcterms:W3CDTF">2026-07-01T11:29:00Z</dcterms:created>
  <dcterms:modified xsi:type="dcterms:W3CDTF">2026-07-02T09:00:00Z</dcterms:modified>
</cp:coreProperties>
</file>