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bookmarkEnd w:id="1"/>
    <w:p w14:paraId="0D5E7D82" w14:textId="0CC3CFDC" w:rsidR="004F7B53" w:rsidRDefault="003F789C" w:rsidP="0023791D">
      <w:pPr>
        <w:spacing w:after="0" w:line="240" w:lineRule="auto"/>
        <w:ind w:firstLine="709"/>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UAB „Utenos butų ūkis“</w:t>
      </w:r>
    </w:p>
    <w:p w14:paraId="1152B4B0" w14:textId="77777777" w:rsidR="0023791D" w:rsidRPr="004614D8" w:rsidRDefault="0023791D" w:rsidP="0023791D">
      <w:pPr>
        <w:spacing w:after="0" w:line="240" w:lineRule="auto"/>
        <w:ind w:firstLine="709"/>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3705AAFA" w:rsidR="004F7B53" w:rsidRPr="003F789C" w:rsidRDefault="003F789C" w:rsidP="003F789C">
      <w:pPr>
        <w:jc w:val="center"/>
        <w:rPr>
          <w:rFonts w:ascii="Times New Roman" w:eastAsia="Arial Unicode MS" w:hAnsi="Times New Roman" w:cs="Times New Roman"/>
          <w:b/>
          <w:caps/>
        </w:rPr>
      </w:pPr>
      <w:r w:rsidRPr="009372C4">
        <w:rPr>
          <w:rFonts w:ascii="Times New Roman" w:hAnsi="Times New Roman" w:cs="Times New Roman"/>
          <w:caps/>
          <w:lang w:eastAsia="ar-SA"/>
        </w:rPr>
        <w:t>„</w:t>
      </w:r>
      <w:r w:rsidRPr="009372C4">
        <w:rPr>
          <w:rFonts w:ascii="Times New Roman" w:eastAsia="Arial Unicode MS" w:hAnsi="Times New Roman" w:cs="Times New Roman"/>
          <w:b/>
          <w:caps/>
        </w:rPr>
        <w:t>DAUGIABUČIo GYVENAMOJO NAMo, adresu V. KUDIRKOS G. 2</w:t>
      </w:r>
      <w:r>
        <w:rPr>
          <w:rFonts w:ascii="Times New Roman" w:eastAsia="Arial Unicode MS" w:hAnsi="Times New Roman" w:cs="Times New Roman"/>
          <w:b/>
          <w:caps/>
        </w:rPr>
        <w:t>2</w:t>
      </w:r>
      <w:r w:rsidRPr="009372C4">
        <w:rPr>
          <w:rFonts w:ascii="Times New Roman" w:eastAsia="Arial Unicode MS" w:hAnsi="Times New Roman" w:cs="Times New Roman"/>
          <w:b/>
          <w:caps/>
        </w:rPr>
        <w:t>, Utena, STOGO REMONTO darbAI“</w:t>
      </w:r>
      <w:r>
        <w:rPr>
          <w:rFonts w:ascii="Times New Roman" w:eastAsia="Arial Unicode MS" w:hAnsi="Times New Roman" w:cs="Times New Roman"/>
          <w:b/>
          <w:caps/>
        </w:rPr>
        <w:t xml:space="preserve"> </w:t>
      </w:r>
      <w:r w:rsidR="004F7B53" w:rsidRPr="00215478">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3402"/>
      </w:tblGrid>
      <w:tr w:rsidR="004F7B53" w:rsidRPr="004614D8" w14:paraId="11671308" w14:textId="77777777" w:rsidTr="003A0FFA">
        <w:trPr>
          <w:trHeight w:val="168"/>
        </w:trPr>
        <w:tc>
          <w:tcPr>
            <w:tcW w:w="6662"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3402"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3A0FFA">
        <w:trPr>
          <w:trHeight w:val="168"/>
        </w:trPr>
        <w:tc>
          <w:tcPr>
            <w:tcW w:w="6662"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3402"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3A0FFA">
        <w:tc>
          <w:tcPr>
            <w:tcW w:w="6662"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3402"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3A0FFA">
        <w:trPr>
          <w:trHeight w:val="287"/>
        </w:trPr>
        <w:tc>
          <w:tcPr>
            <w:tcW w:w="6662"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3402"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3A0FFA">
        <w:tc>
          <w:tcPr>
            <w:tcW w:w="6662"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3402"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77BD88F3" w:rsidR="004F7B53" w:rsidRPr="004614D8" w:rsidRDefault="003F789C" w:rsidP="004F7B53">
            <w:pPr>
              <w:spacing w:before="60" w:after="60" w:line="240" w:lineRule="auto"/>
              <w:jc w:val="both"/>
              <w:rPr>
                <w:rFonts w:ascii="Times New Roman" w:eastAsia="Times New Roman" w:hAnsi="Times New Roman" w:cs="Times New Roman"/>
                <w:kern w:val="0"/>
                <w14:ligatures w14:val="none"/>
              </w:rPr>
            </w:pPr>
            <w:r>
              <w:rPr>
                <w:rFonts w:ascii="Times New Roman" w:eastAsia="Calibri" w:hAnsi="Times New Roman" w:cs="Times New Roman"/>
                <w:kern w:val="0"/>
                <w14:ligatures w14:val="none"/>
              </w:rPr>
              <w:t xml:space="preserve">Daugiabučio gyvenamojo namo, adresu V. Kudirkos g. 22, Utena, stogo remonto </w:t>
            </w:r>
            <w:r w:rsidR="002C797C" w:rsidRPr="002C797C">
              <w:rPr>
                <w:rFonts w:ascii="Times New Roman" w:eastAsia="Calibri" w:hAnsi="Times New Roman" w:cs="Times New Roman"/>
                <w:kern w:val="0"/>
                <w14:ligatures w14:val="none"/>
              </w:rPr>
              <w:t>darb</w:t>
            </w:r>
            <w:r w:rsidR="002C797C">
              <w:rPr>
                <w:rFonts w:ascii="Times New Roman" w:eastAsia="Calibri" w:hAnsi="Times New Roman" w:cs="Times New Roman"/>
                <w:kern w:val="0"/>
                <w14:ligatures w14:val="none"/>
              </w:rPr>
              <w:t>ų</w:t>
            </w:r>
            <w:r w:rsidR="00017F42">
              <w:rPr>
                <w:rFonts w:ascii="Times New Roman" w:eastAsia="Calibri" w:hAnsi="Times New Roman" w:cs="Times New Roman"/>
                <w:kern w:val="0"/>
                <w14:ligatures w14:val="none"/>
              </w:rPr>
              <w:t xml:space="preserve"> </w:t>
            </w:r>
            <w:r w:rsidR="004F7B53" w:rsidRPr="00DB268B">
              <w:rPr>
                <w:rFonts w:ascii="Times New Roman" w:eastAsia="Calibri" w:hAnsi="Times New Roman" w:cs="Times New Roman"/>
                <w:kern w:val="0"/>
                <w14:ligatures w14:val="none"/>
              </w:rPr>
              <w:t>kaina, E</w:t>
            </w:r>
            <w:r w:rsidR="008C6CAE" w:rsidRPr="00DB268B">
              <w:rPr>
                <w:rFonts w:ascii="Times New Roman" w:eastAsia="Calibri" w:hAnsi="Times New Roman" w:cs="Times New Roman"/>
                <w:kern w:val="0"/>
                <w14:ligatures w14:val="none"/>
              </w:rPr>
              <w:t>ur</w:t>
            </w:r>
            <w:r w:rsidR="004F7B53" w:rsidRPr="00DB268B">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631A5ED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Pirkimo sutarties objekto dalies, perduodamos </w:t>
            </w:r>
            <w:r w:rsidRPr="004614D8">
              <w:rPr>
                <w:rFonts w:ascii="Times New Roman" w:eastAsia="Calibri" w:hAnsi="Times New Roman" w:cs="Times New Roman"/>
                <w:kern w:val="0"/>
                <w14:ligatures w14:val="none"/>
              </w:rPr>
              <w:lastRenderedPageBreak/>
              <w:t>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lastRenderedPageBreak/>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6D19F2C4"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2233D18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3D2EB2B9" w:rsidR="004F7B53" w:rsidRPr="004614D8" w:rsidRDefault="00DB7713"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5390568" w:rsidR="004F7B53" w:rsidRPr="008E426D" w:rsidRDefault="004F7B53" w:rsidP="004F7B53">
            <w:pPr>
              <w:snapToGrid w:val="0"/>
              <w:spacing w:after="0" w:line="240" w:lineRule="auto"/>
              <w:jc w:val="both"/>
              <w:rPr>
                <w:rFonts w:ascii="Times New Roman" w:eastAsia="Times New Roman" w:hAnsi="Times New Roman" w:cs="Times New Roman"/>
                <w:i/>
                <w:iCs/>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2903898A" w:rsidR="004F7B53" w:rsidRPr="004614D8" w:rsidRDefault="00DB7713"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sectPr w:rsidR="004F7B53"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17F42"/>
    <w:rsid w:val="00024F7A"/>
    <w:rsid w:val="0003324D"/>
    <w:rsid w:val="00033538"/>
    <w:rsid w:val="0007177A"/>
    <w:rsid w:val="00097ADF"/>
    <w:rsid w:val="000F23EC"/>
    <w:rsid w:val="000F786F"/>
    <w:rsid w:val="001262AB"/>
    <w:rsid w:val="00163EF7"/>
    <w:rsid w:val="001F0EAB"/>
    <w:rsid w:val="00214019"/>
    <w:rsid w:val="00215478"/>
    <w:rsid w:val="0023791D"/>
    <w:rsid w:val="00246339"/>
    <w:rsid w:val="002C797C"/>
    <w:rsid w:val="002F78C8"/>
    <w:rsid w:val="00341462"/>
    <w:rsid w:val="003449A6"/>
    <w:rsid w:val="003A0FFA"/>
    <w:rsid w:val="003D7A25"/>
    <w:rsid w:val="003F789C"/>
    <w:rsid w:val="00403041"/>
    <w:rsid w:val="0041030E"/>
    <w:rsid w:val="00416CE8"/>
    <w:rsid w:val="00427CE8"/>
    <w:rsid w:val="00432088"/>
    <w:rsid w:val="004614D8"/>
    <w:rsid w:val="00462957"/>
    <w:rsid w:val="00467098"/>
    <w:rsid w:val="004816F2"/>
    <w:rsid w:val="004B1EEB"/>
    <w:rsid w:val="004F7B53"/>
    <w:rsid w:val="00545867"/>
    <w:rsid w:val="00555D6D"/>
    <w:rsid w:val="00560DE0"/>
    <w:rsid w:val="005D3175"/>
    <w:rsid w:val="006169B7"/>
    <w:rsid w:val="00683AF4"/>
    <w:rsid w:val="006B3A6F"/>
    <w:rsid w:val="006F4D15"/>
    <w:rsid w:val="006F5075"/>
    <w:rsid w:val="007924A7"/>
    <w:rsid w:val="007B7F18"/>
    <w:rsid w:val="007E6CC7"/>
    <w:rsid w:val="00824A25"/>
    <w:rsid w:val="00831958"/>
    <w:rsid w:val="00863E33"/>
    <w:rsid w:val="008C32B6"/>
    <w:rsid w:val="008C6CAE"/>
    <w:rsid w:val="008E0BBD"/>
    <w:rsid w:val="008E426D"/>
    <w:rsid w:val="008E5C2F"/>
    <w:rsid w:val="009739B4"/>
    <w:rsid w:val="00981C39"/>
    <w:rsid w:val="00984579"/>
    <w:rsid w:val="009E5BDB"/>
    <w:rsid w:val="00A43B20"/>
    <w:rsid w:val="00A873AF"/>
    <w:rsid w:val="00AA5DE6"/>
    <w:rsid w:val="00AF2BBC"/>
    <w:rsid w:val="00B27B2A"/>
    <w:rsid w:val="00BC6F3C"/>
    <w:rsid w:val="00C36921"/>
    <w:rsid w:val="00C87C43"/>
    <w:rsid w:val="00C93D4B"/>
    <w:rsid w:val="00CB6A3C"/>
    <w:rsid w:val="00D50533"/>
    <w:rsid w:val="00D63408"/>
    <w:rsid w:val="00D75D3A"/>
    <w:rsid w:val="00D81655"/>
    <w:rsid w:val="00DB268B"/>
    <w:rsid w:val="00DB3D23"/>
    <w:rsid w:val="00DB7713"/>
    <w:rsid w:val="00DE66B8"/>
    <w:rsid w:val="00E25341"/>
    <w:rsid w:val="00E92918"/>
    <w:rsid w:val="00EA6485"/>
    <w:rsid w:val="00F46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2847</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Oksana Gilė</cp:lastModifiedBy>
  <cp:revision>119</cp:revision>
  <cp:lastPrinted>2025-05-30T08:48:00Z</cp:lastPrinted>
  <dcterms:created xsi:type="dcterms:W3CDTF">2025-04-17T11:52:00Z</dcterms:created>
  <dcterms:modified xsi:type="dcterms:W3CDTF">2026-06-04T10:21:00Z</dcterms:modified>
</cp:coreProperties>
</file>