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8098" w14:textId="77777777" w:rsidR="00816E21" w:rsidRPr="002C3EA3" w:rsidRDefault="00816E21" w:rsidP="00816E21">
      <w:pPr>
        <w:tabs>
          <w:tab w:val="left" w:pos="1134"/>
        </w:tabs>
        <w:jc w:val="both"/>
        <w:rPr>
          <w:iCs/>
        </w:rPr>
      </w:pPr>
      <w:r>
        <w:rPr>
          <w:rFonts w:eastAsia="Calibri"/>
          <w:b/>
        </w:rPr>
        <w:tab/>
      </w:r>
      <w:r w:rsidRPr="002C3EA3">
        <w:rPr>
          <w:rFonts w:eastAsia="Calibri"/>
          <w:b/>
        </w:rPr>
        <w:t xml:space="preserve">Tiekėjų kvalifikacijos reikalavimai </w:t>
      </w:r>
      <w:r w:rsidRPr="002C3EA3">
        <w:rPr>
          <w:rFonts w:eastAsia="Calibri"/>
          <w:bCs/>
        </w:rPr>
        <w:t xml:space="preserve">(dokumentai dėl tiekėjo kvalifikacijos reikalavimų bus priimtini ir gali būti išduoti po pasiūlymų pateikimo termino pabaigos, tačiau tiekėjo kvalifikacija turi būti įgyta iki pasiūlymų pateikimo termino pabaigos); </w:t>
      </w:r>
      <w:r w:rsidRPr="002C3EA3">
        <w:rPr>
          <w:i/>
        </w:rPr>
        <w:t>jokie kiti kvalifikacijos reikalavimai, pasiūlymo pateikimo reikalavimai ir subteikėjų ribojimai, kurie gali būti nurodomi techninėje specifikacijoje – netaikomi, galioja tik šiame dokumente (konkurso sąlygų apraše) nurodyti reikalavimai</w:t>
      </w:r>
      <w:r w:rsidRPr="002C3EA3">
        <w:rPr>
          <w:iCs/>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18"/>
        <w:gridCol w:w="4108"/>
      </w:tblGrid>
      <w:tr w:rsidR="00816E21" w14:paraId="60FB2F90" w14:textId="77777777" w:rsidTr="00ED4E94">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F771D9D" w14:textId="77777777" w:rsidR="00816E21" w:rsidRPr="004018DE" w:rsidRDefault="00816E21" w:rsidP="00ED4E94">
            <w:pPr>
              <w:widowControl w:val="0"/>
              <w:spacing w:line="276" w:lineRule="auto"/>
              <w:ind w:firstLine="12"/>
              <w:jc w:val="center"/>
              <w:rPr>
                <w:b/>
                <w:bCs/>
              </w:rPr>
            </w:pPr>
            <w:r w:rsidRPr="004018DE">
              <w:rPr>
                <w:b/>
                <w:bCs/>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7B7D412" w14:textId="77777777" w:rsidR="00816E21" w:rsidRPr="004018DE" w:rsidRDefault="00816E21" w:rsidP="00ED4E94">
            <w:pPr>
              <w:widowControl w:val="0"/>
              <w:spacing w:line="276" w:lineRule="auto"/>
              <w:ind w:firstLine="12"/>
              <w:jc w:val="center"/>
              <w:rPr>
                <w:b/>
                <w:bCs/>
              </w:rPr>
            </w:pPr>
            <w:r w:rsidRPr="004018DE">
              <w:rPr>
                <w:b/>
                <w:bCs/>
              </w:rPr>
              <w:t>Kvalifikacijos reikalavimai</w:t>
            </w:r>
          </w:p>
        </w:tc>
        <w:tc>
          <w:tcPr>
            <w:tcW w:w="41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4F8DAF" w14:textId="77777777" w:rsidR="00816E21" w:rsidRDefault="00816E21" w:rsidP="00ED4E94">
            <w:pPr>
              <w:widowControl w:val="0"/>
              <w:spacing w:line="276" w:lineRule="auto"/>
              <w:ind w:firstLine="12"/>
              <w:jc w:val="center"/>
            </w:pPr>
            <w:r>
              <w:rPr>
                <w:b/>
              </w:rPr>
              <w:t>Kvalifikacijos atitikimą įrodantys dokumentai</w:t>
            </w:r>
          </w:p>
        </w:tc>
      </w:tr>
      <w:tr w:rsidR="00816E21" w14:paraId="36BFBBD6" w14:textId="77777777" w:rsidTr="00ED4E94">
        <w:tc>
          <w:tcPr>
            <w:tcW w:w="704" w:type="dxa"/>
            <w:tcBorders>
              <w:top w:val="single" w:sz="4" w:space="0" w:color="000000"/>
              <w:left w:val="single" w:sz="4" w:space="0" w:color="000000"/>
              <w:bottom w:val="single" w:sz="4" w:space="0" w:color="000000"/>
              <w:right w:val="single" w:sz="4" w:space="0" w:color="000000"/>
            </w:tcBorders>
            <w:hideMark/>
          </w:tcPr>
          <w:p w14:paraId="1F5CA1F9" w14:textId="77777777" w:rsidR="00816E21" w:rsidRDefault="00816E21" w:rsidP="00ED4E94">
            <w:pPr>
              <w:widowControl w:val="0"/>
              <w:spacing w:line="276" w:lineRule="auto"/>
            </w:pPr>
            <w:r>
              <w:t>18.1.</w:t>
            </w:r>
          </w:p>
        </w:tc>
        <w:tc>
          <w:tcPr>
            <w:tcW w:w="4818" w:type="dxa"/>
            <w:tcBorders>
              <w:top w:val="single" w:sz="4" w:space="0" w:color="000000"/>
              <w:left w:val="single" w:sz="4" w:space="0" w:color="000000"/>
              <w:bottom w:val="single" w:sz="4" w:space="0" w:color="000000"/>
              <w:right w:val="single" w:sz="4" w:space="0" w:color="000000"/>
            </w:tcBorders>
          </w:tcPr>
          <w:p w14:paraId="3FBE8E32" w14:textId="77777777" w:rsidR="00816E21" w:rsidRPr="004210E9" w:rsidRDefault="00816E21" w:rsidP="00ED4E94">
            <w:pPr>
              <w:pStyle w:val="CommentText"/>
              <w:jc w:val="both"/>
              <w:rPr>
                <w:sz w:val="24"/>
                <w:szCs w:val="24"/>
              </w:rPr>
            </w:pPr>
            <w:r w:rsidRPr="00901831">
              <w:rPr>
                <w:sz w:val="24"/>
                <w:szCs w:val="24"/>
              </w:rPr>
              <w:t>Tiekėjas per paskutinius 3 (tris) metus iki pasiūlymo pateikimo termino pabaigos pagal  vieną ar daugiau sutarčių yra savo jėgomis  tinkamai pristatęs duomenų tinklo fizinę ir programinę įrangą (kuri apima, bet neapsiriboja – komutatoriai</w:t>
            </w:r>
            <w:r>
              <w:rPr>
                <w:sz w:val="24"/>
                <w:szCs w:val="24"/>
              </w:rPr>
              <w:t>s</w:t>
            </w:r>
            <w:r w:rsidRPr="00901831">
              <w:rPr>
                <w:sz w:val="24"/>
                <w:szCs w:val="24"/>
              </w:rPr>
              <w:t>, tinklo prieigos kontrolės sistema, centralizuoto tinklo valdymo programinė įranga</w:t>
            </w:r>
            <w:r>
              <w:rPr>
                <w:sz w:val="24"/>
                <w:szCs w:val="24"/>
              </w:rPr>
              <w:t>, belaidės prieigos taškai</w:t>
            </w:r>
            <w:r w:rsidRPr="00901831">
              <w:rPr>
                <w:sz w:val="24"/>
                <w:szCs w:val="24"/>
              </w:rPr>
              <w:t xml:space="preserve">) ir atlikęs jos įdiegimo paslaugas, už ne mažiau </w:t>
            </w:r>
            <w:bookmarkStart w:id="0" w:name="_Hlk227586857"/>
            <w:r w:rsidRPr="00901831">
              <w:rPr>
                <w:sz w:val="24"/>
                <w:szCs w:val="24"/>
              </w:rPr>
              <w:t xml:space="preserve">kaip </w:t>
            </w:r>
            <w:r>
              <w:rPr>
                <w:sz w:val="24"/>
                <w:szCs w:val="24"/>
              </w:rPr>
              <w:t>300</w:t>
            </w:r>
            <w:r w:rsidRPr="00901831">
              <w:rPr>
                <w:sz w:val="24"/>
                <w:szCs w:val="24"/>
              </w:rPr>
              <w:t xml:space="preserve"> 000,00 (</w:t>
            </w:r>
            <w:r>
              <w:rPr>
                <w:sz w:val="24"/>
                <w:szCs w:val="24"/>
              </w:rPr>
              <w:t>tris</w:t>
            </w:r>
            <w:r w:rsidRPr="00901831">
              <w:rPr>
                <w:sz w:val="24"/>
                <w:szCs w:val="24"/>
              </w:rPr>
              <w:t xml:space="preserve"> šimt</w:t>
            </w:r>
            <w:r>
              <w:rPr>
                <w:sz w:val="24"/>
                <w:szCs w:val="24"/>
              </w:rPr>
              <w:t>u</w:t>
            </w:r>
            <w:r w:rsidRPr="00901831">
              <w:rPr>
                <w:sz w:val="24"/>
                <w:szCs w:val="24"/>
              </w:rPr>
              <w:t>s tūkstančių) Eur be PVM</w:t>
            </w:r>
            <w:bookmarkEnd w:id="0"/>
            <w:r w:rsidRPr="00901831">
              <w:rPr>
                <w:sz w:val="24"/>
                <w:szCs w:val="24"/>
              </w:rPr>
              <w:t>.</w:t>
            </w:r>
          </w:p>
          <w:p w14:paraId="0C61EB9C" w14:textId="77777777" w:rsidR="00816E21" w:rsidRDefault="00816E21" w:rsidP="00ED4E94">
            <w:pPr>
              <w:widowControl w:val="0"/>
              <w:suppressAutoHyphens/>
              <w:jc w:val="both"/>
              <w:rPr>
                <w:i/>
                <w:color w:val="000000" w:themeColor="text1"/>
              </w:rPr>
            </w:pPr>
          </w:p>
          <w:p w14:paraId="2398722D" w14:textId="77777777" w:rsidR="00816E21" w:rsidRPr="00B7470D" w:rsidRDefault="00816E21" w:rsidP="00ED4E94">
            <w:pPr>
              <w:widowControl w:val="0"/>
              <w:suppressAutoHyphens/>
              <w:jc w:val="both"/>
              <w:rPr>
                <w:i/>
                <w:color w:val="000000" w:themeColor="text1"/>
              </w:rPr>
            </w:pPr>
            <w:r w:rsidRPr="00B7470D">
              <w:rPr>
                <w:i/>
                <w:color w:val="000000" w:themeColor="text1"/>
              </w:rPr>
              <w:t xml:space="preserve">Pastabos: </w:t>
            </w:r>
          </w:p>
          <w:p w14:paraId="2A60EC29" w14:textId="77777777" w:rsidR="00816E21" w:rsidRPr="00B7470D" w:rsidRDefault="00816E21" w:rsidP="00ED4E94">
            <w:pPr>
              <w:widowControl w:val="0"/>
              <w:tabs>
                <w:tab w:val="left" w:pos="166"/>
              </w:tabs>
              <w:suppressAutoHyphens/>
              <w:jc w:val="both"/>
              <w:rPr>
                <w:i/>
                <w:color w:val="000000" w:themeColor="text1"/>
              </w:rPr>
            </w:pPr>
            <w:bookmarkStart w:id="1" w:name="_Hlk132049436"/>
            <w:r w:rsidRPr="00B7470D">
              <w:rPr>
                <w:i/>
                <w:color w:val="000000" w:themeColor="text1"/>
              </w:rPr>
              <w:t>- tiekėjas gali teikti informaciją apie prekes</w:t>
            </w:r>
            <w:r>
              <w:rPr>
                <w:i/>
                <w:color w:val="000000" w:themeColor="text1"/>
              </w:rPr>
              <w:t xml:space="preserve"> ir suteiktas paslaugas</w:t>
            </w:r>
            <w:r w:rsidRPr="00B7470D">
              <w:rPr>
                <w:i/>
                <w:color w:val="000000" w:themeColor="text1"/>
              </w:rPr>
              <w:t xml:space="preserve">, kurios </w:t>
            </w:r>
            <w:r w:rsidRPr="00746534">
              <w:rPr>
                <w:i/>
                <w:color w:val="000000" w:themeColor="text1"/>
              </w:rPr>
              <w:t>pristat</w:t>
            </w:r>
            <w:r>
              <w:rPr>
                <w:i/>
                <w:color w:val="000000" w:themeColor="text1"/>
              </w:rPr>
              <w:t>ytos ir suteiktos</w:t>
            </w:r>
            <w:r w:rsidRPr="00B7470D">
              <w:rPr>
                <w:i/>
                <w:color w:val="000000" w:themeColor="text1"/>
              </w:rPr>
              <w:t xml:space="preserve"> per paskutinius 3 metus iki pasiūlymo pateikimo termino pabaigos;</w:t>
            </w:r>
          </w:p>
          <w:p w14:paraId="6350A321" w14:textId="77777777" w:rsidR="00816E21" w:rsidRPr="00B7470D" w:rsidRDefault="00816E21" w:rsidP="00ED4E9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sutartis, pradėtas vykdyti anksčiau nei per paskutinius 3 metus iki pasiūlymo pateikimo termino pabaigos, tačiau pabaigt</w:t>
            </w:r>
            <w:r>
              <w:rPr>
                <w:i/>
                <w:color w:val="000000" w:themeColor="text1"/>
              </w:rPr>
              <w:t>a</w:t>
            </w:r>
            <w:r w:rsidRPr="00B7470D">
              <w:rPr>
                <w:i/>
                <w:color w:val="000000" w:themeColor="text1"/>
              </w:rPr>
              <w:t xml:space="preserve">s vykdyti per paskutinius 3 metus iki pasiūlymo pateikimo termino pabaigos, tokiu atveju į bendrą sumą bus skaičiuojama per paskutinius 3 metus iki pasiūlymų pateikimo termino pabaigos </w:t>
            </w:r>
            <w:r>
              <w:rPr>
                <w:i/>
                <w:color w:val="000000" w:themeColor="text1"/>
              </w:rPr>
              <w:t>pristatytų</w:t>
            </w:r>
            <w:r w:rsidRPr="00B7470D">
              <w:rPr>
                <w:i/>
                <w:color w:val="000000" w:themeColor="text1"/>
              </w:rPr>
              <w:t xml:space="preserve"> prekių </w:t>
            </w:r>
            <w:r>
              <w:rPr>
                <w:i/>
                <w:color w:val="000000" w:themeColor="text1"/>
              </w:rPr>
              <w:t xml:space="preserve">ir suteiktų paslaugų </w:t>
            </w:r>
            <w:r w:rsidRPr="00B7470D">
              <w:rPr>
                <w:i/>
                <w:color w:val="000000" w:themeColor="text1"/>
              </w:rPr>
              <w:t>vertė (</w:t>
            </w:r>
            <w:r w:rsidRPr="002A0026">
              <w:rPr>
                <w:b/>
                <w:bCs/>
                <w:i/>
                <w:color w:val="000000" w:themeColor="text1"/>
              </w:rPr>
              <w:t>tiekėjas sąraše turi išskirti šią vertę</w:t>
            </w:r>
            <w:r w:rsidRPr="00B7470D">
              <w:rPr>
                <w:i/>
                <w:color w:val="000000" w:themeColor="text1"/>
              </w:rPr>
              <w:t>);</w:t>
            </w:r>
          </w:p>
          <w:p w14:paraId="278F18B5" w14:textId="77777777" w:rsidR="00816E21" w:rsidRPr="00B7470D" w:rsidRDefault="00816E21" w:rsidP="00ED4E9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 xml:space="preserve">tiekėjas gali teikti informaciją apie dar nebaigtų vykdyti sutarčių jau įvykdytas dalis (jau </w:t>
            </w:r>
            <w:r>
              <w:rPr>
                <w:i/>
                <w:color w:val="000000" w:themeColor="text1"/>
              </w:rPr>
              <w:t>pristatytas</w:t>
            </w:r>
            <w:r w:rsidRPr="00B7470D">
              <w:rPr>
                <w:i/>
                <w:color w:val="000000" w:themeColor="text1"/>
              </w:rPr>
              <w:t xml:space="preserve"> prekes</w:t>
            </w:r>
            <w:r>
              <w:rPr>
                <w:i/>
                <w:color w:val="000000" w:themeColor="text1"/>
              </w:rPr>
              <w:t xml:space="preserve"> ir suteiktas paslaugas</w:t>
            </w:r>
            <w:r w:rsidRPr="00B7470D">
              <w:rPr>
                <w:i/>
                <w:color w:val="000000" w:themeColor="text1"/>
              </w:rPr>
              <w:t xml:space="preserve">), tokiu atveju į bendrą sumą bus įskaičiuojama iki pasiūlymų pateikimo termino pabaigos per paskutinius 3 metus jau </w:t>
            </w:r>
            <w:r>
              <w:rPr>
                <w:i/>
                <w:color w:val="000000" w:themeColor="text1"/>
              </w:rPr>
              <w:t>pristatytų</w:t>
            </w:r>
            <w:r w:rsidRPr="00B7470D">
              <w:rPr>
                <w:i/>
                <w:color w:val="000000" w:themeColor="text1"/>
              </w:rPr>
              <w:t xml:space="preserve"> prekių</w:t>
            </w:r>
            <w:r>
              <w:rPr>
                <w:i/>
                <w:color w:val="000000" w:themeColor="text1"/>
              </w:rPr>
              <w:t xml:space="preserve"> ir suteiktų paslaugų</w:t>
            </w:r>
            <w:r w:rsidRPr="00B7470D">
              <w:rPr>
                <w:i/>
                <w:color w:val="000000" w:themeColor="text1"/>
              </w:rPr>
              <w:t xml:space="preserve"> vertė (</w:t>
            </w:r>
            <w:r w:rsidRPr="002C6C12">
              <w:rPr>
                <w:b/>
                <w:bCs/>
                <w:i/>
                <w:color w:val="000000" w:themeColor="text1"/>
              </w:rPr>
              <w:t>tiekėjas sąraše turi nurodyti šią vertę</w:t>
            </w:r>
            <w:r w:rsidRPr="00B7470D">
              <w:rPr>
                <w:i/>
                <w:color w:val="000000" w:themeColor="text1"/>
              </w:rPr>
              <w:t>);</w:t>
            </w:r>
          </w:p>
          <w:p w14:paraId="37B3AAED" w14:textId="77777777" w:rsidR="00816E21" w:rsidRDefault="00816E21" w:rsidP="00ED4E94">
            <w:pPr>
              <w:widowControl w:val="0"/>
              <w:suppressAutoHyphens/>
              <w:spacing w:line="276" w:lineRule="auto"/>
              <w:jc w:val="both"/>
              <w:rPr>
                <w:i/>
                <w:color w:val="000000" w:themeColor="text1"/>
              </w:rPr>
            </w:pPr>
            <w:r w:rsidRPr="00B7470D">
              <w:rPr>
                <w:i/>
                <w:color w:val="000000" w:themeColor="text1"/>
              </w:rPr>
              <w:t>-</w:t>
            </w:r>
            <w:r>
              <w:rPr>
                <w:i/>
                <w:color w:val="000000" w:themeColor="text1"/>
              </w:rPr>
              <w:t xml:space="preserve"> </w:t>
            </w:r>
            <w:r w:rsidRPr="00B7470D">
              <w:rPr>
                <w:i/>
                <w:color w:val="000000" w:themeColor="text1"/>
              </w:rPr>
              <w:t xml:space="preserve">tiekėjui nedraudžiama remtis sutartimi, kurią tiekėjas vykdė ne vienas, bet kartu su kitais ūkio subjektais. Tačiau tokiu atveju </w:t>
            </w:r>
            <w:r w:rsidRPr="002C6C12">
              <w:rPr>
                <w:b/>
                <w:bCs/>
                <w:i/>
                <w:color w:val="000000" w:themeColor="text1"/>
              </w:rPr>
              <w:t xml:space="preserve">bus vertinamos būtent konkretaus ūkio subjekto, dalyvaujančio viešajame pirkime, </w:t>
            </w:r>
            <w:r>
              <w:rPr>
                <w:b/>
                <w:bCs/>
                <w:i/>
                <w:color w:val="000000" w:themeColor="text1"/>
              </w:rPr>
              <w:t>pristatytos</w:t>
            </w:r>
            <w:r w:rsidRPr="002C6C12">
              <w:rPr>
                <w:b/>
                <w:bCs/>
                <w:i/>
                <w:color w:val="000000" w:themeColor="text1"/>
              </w:rPr>
              <w:t xml:space="preserve"> prekės</w:t>
            </w:r>
            <w:r>
              <w:rPr>
                <w:b/>
                <w:bCs/>
                <w:i/>
                <w:color w:val="000000" w:themeColor="text1"/>
              </w:rPr>
              <w:t xml:space="preserve"> ir suteiktos paslaugos</w:t>
            </w:r>
            <w:r w:rsidRPr="002C6C12">
              <w:rPr>
                <w:b/>
                <w:bCs/>
                <w:i/>
                <w:color w:val="000000" w:themeColor="text1"/>
              </w:rPr>
              <w:t xml:space="preserve">, jų apimtis, vertė, </w:t>
            </w:r>
            <w:r w:rsidRPr="002C6C12">
              <w:rPr>
                <w:b/>
                <w:bCs/>
                <w:i/>
                <w:color w:val="000000" w:themeColor="text1"/>
              </w:rPr>
              <w:lastRenderedPageBreak/>
              <w:t>o ne visas vykdytos sutarties objektas</w:t>
            </w:r>
            <w:bookmarkEnd w:id="1"/>
            <w:r>
              <w:rPr>
                <w:i/>
                <w:color w:val="000000" w:themeColor="text1"/>
              </w:rPr>
              <w:t>;</w:t>
            </w:r>
          </w:p>
          <w:p w14:paraId="02B11168" w14:textId="77777777" w:rsidR="00816E21" w:rsidRPr="007E3763" w:rsidRDefault="00816E21" w:rsidP="00ED4E94">
            <w:pPr>
              <w:widowControl w:val="0"/>
              <w:suppressAutoHyphens/>
              <w:spacing w:line="276" w:lineRule="auto"/>
              <w:jc w:val="both"/>
              <w:rPr>
                <w:i/>
                <w:color w:val="000000" w:themeColor="text1"/>
              </w:rPr>
            </w:pPr>
            <w:r>
              <w:rPr>
                <w:i/>
                <w:color w:val="000000" w:themeColor="text1"/>
              </w:rPr>
              <w:t xml:space="preserve">- </w:t>
            </w:r>
            <w:r w:rsidRPr="007E3763">
              <w:rPr>
                <w:i/>
                <w:color w:val="000000" w:themeColor="text1"/>
              </w:rPr>
              <w:t>j</w:t>
            </w:r>
            <w:r w:rsidRPr="00E43532">
              <w:rPr>
                <w:i/>
                <w:color w:val="000000"/>
                <w:lang w:eastAsia="lt-LT"/>
              </w:rPr>
              <w:t>eigu pasiūlymą teikia ūkio subjektų grupė – reikalavimą turi atitikti visi ūkio subjektų grupės nariai kartu (ūkio subjektų grupės narių turima patirtis sumuojama), atsižvelgiant į jų prisiimamus įsipareigojimus;</w:t>
            </w:r>
          </w:p>
          <w:p w14:paraId="5DF564F2" w14:textId="77777777" w:rsidR="00816E21" w:rsidRPr="007E3763" w:rsidRDefault="00816E21" w:rsidP="00ED4E94">
            <w:pPr>
              <w:widowControl w:val="0"/>
              <w:suppressAutoHyphens/>
              <w:spacing w:line="276" w:lineRule="auto"/>
              <w:jc w:val="both"/>
              <w:rPr>
                <w:i/>
                <w:iCs/>
                <w:color w:val="000000" w:themeColor="text1"/>
              </w:rPr>
            </w:pPr>
            <w:r w:rsidRPr="007E3763">
              <w:rPr>
                <w:i/>
                <w:color w:val="000000" w:themeColor="text1"/>
              </w:rPr>
              <w:t xml:space="preserve">- </w:t>
            </w:r>
            <w:r w:rsidRPr="00E43532">
              <w:rPr>
                <w:i/>
                <w:iCs/>
                <w:color w:val="000000"/>
                <w:lang w:eastAsia="lt-LT"/>
              </w:rPr>
              <w:t>tiekėjas gali remtis kitų ūkio subjektų pajėgumais tik tuo atveju, jeigu tie subjektai patys vykdys tą pirkimo sutarties dalį, kuriai reikia jų turimų pajėgumų;</w:t>
            </w:r>
          </w:p>
          <w:p w14:paraId="2A2E9187" w14:textId="77777777" w:rsidR="00816E21" w:rsidRPr="007E3763" w:rsidRDefault="00816E21" w:rsidP="00ED4E94">
            <w:pPr>
              <w:widowControl w:val="0"/>
              <w:suppressAutoHyphens/>
              <w:spacing w:line="276" w:lineRule="auto"/>
              <w:jc w:val="both"/>
              <w:rPr>
                <w:i/>
                <w:iCs/>
                <w:color w:val="000000" w:themeColor="text1"/>
              </w:rPr>
            </w:pPr>
            <w:r w:rsidRPr="007954C9">
              <w:rPr>
                <w:i/>
                <w:iCs/>
                <w:color w:val="000000" w:themeColor="text1"/>
              </w:rPr>
              <w:t xml:space="preserve">- </w:t>
            </w:r>
            <w:r w:rsidRPr="007954C9">
              <w:rPr>
                <w:i/>
                <w:iCs/>
                <w:color w:val="000000"/>
                <w:lang w:eastAsia="lt-LT"/>
              </w:rPr>
              <w:t>subtiekėjams šis reikalavimas nenustatomas.</w:t>
            </w:r>
          </w:p>
        </w:tc>
        <w:tc>
          <w:tcPr>
            <w:tcW w:w="4108" w:type="dxa"/>
            <w:tcBorders>
              <w:top w:val="single" w:sz="4" w:space="0" w:color="000000"/>
              <w:left w:val="single" w:sz="4" w:space="0" w:color="000000"/>
              <w:bottom w:val="single" w:sz="4" w:space="0" w:color="000000"/>
              <w:right w:val="single" w:sz="4" w:space="0" w:color="000000"/>
            </w:tcBorders>
          </w:tcPr>
          <w:p w14:paraId="5791AAF4" w14:textId="77777777" w:rsidR="00816E21" w:rsidRPr="00B7470D" w:rsidRDefault="00816E21" w:rsidP="00ED4E94">
            <w:pPr>
              <w:jc w:val="both"/>
              <w:rPr>
                <w:lang w:eastAsia="lt-LT"/>
              </w:rPr>
            </w:pPr>
            <w:r w:rsidRPr="00B7470D">
              <w:rPr>
                <w:lang w:eastAsia="lt-LT"/>
              </w:rPr>
              <w:lastRenderedPageBreak/>
              <w:t>Pateikiam</w:t>
            </w:r>
            <w:r>
              <w:rPr>
                <w:lang w:eastAsia="lt-LT"/>
              </w:rPr>
              <w:t>i dokumentai</w:t>
            </w:r>
            <w:r w:rsidRPr="00B7470D">
              <w:rPr>
                <w:lang w:eastAsia="lt-LT"/>
              </w:rPr>
              <w:t>:</w:t>
            </w:r>
          </w:p>
          <w:p w14:paraId="0A58345A" w14:textId="77777777" w:rsidR="00816E21" w:rsidRDefault="00816E21" w:rsidP="00ED4E94">
            <w:pPr>
              <w:jc w:val="both"/>
              <w:rPr>
                <w:b/>
                <w:lang w:eastAsia="lt-LT"/>
              </w:rPr>
            </w:pPr>
            <w:r w:rsidRPr="00B7470D">
              <w:rPr>
                <w:lang w:eastAsia="lt-LT"/>
              </w:rPr>
              <w:t xml:space="preserve">1) </w:t>
            </w:r>
            <w:r>
              <w:rPr>
                <w:lang w:eastAsia="lt-LT"/>
              </w:rPr>
              <w:t>P</w:t>
            </w:r>
            <w:r w:rsidRPr="00B7470D">
              <w:rPr>
                <w:lang w:eastAsia="lt-LT"/>
              </w:rPr>
              <w:t>er paskutinius 3 metus</w:t>
            </w:r>
            <w:r w:rsidRPr="00B7470D">
              <w:t xml:space="preserve"> iki pasiūlymo pateikimo termino pabaigos</w:t>
            </w:r>
            <w:r w:rsidRPr="00B7470D">
              <w:rPr>
                <w:lang w:eastAsia="lt-LT"/>
              </w:rPr>
              <w:t xml:space="preserve"> </w:t>
            </w:r>
            <w:r w:rsidRPr="00CF25BC">
              <w:rPr>
                <w:b/>
                <w:lang w:eastAsia="lt-LT"/>
              </w:rPr>
              <w:t>pristatytų prekių ir suteiktų paslaugų sąrašas</w:t>
            </w:r>
            <w:r>
              <w:rPr>
                <w:b/>
                <w:lang w:eastAsia="lt-LT"/>
              </w:rPr>
              <w:t xml:space="preserve">  </w:t>
            </w:r>
          </w:p>
          <w:p w14:paraId="74DD0EC6" w14:textId="77777777" w:rsidR="00816E21" w:rsidRPr="00901831" w:rsidRDefault="00816E21" w:rsidP="00ED4E94">
            <w:pPr>
              <w:jc w:val="both"/>
              <w:rPr>
                <w:bCs/>
                <w:lang w:eastAsia="lt-LT"/>
              </w:rPr>
            </w:pPr>
            <w:r w:rsidRPr="00264BE5">
              <w:rPr>
                <w:bCs/>
                <w:lang w:eastAsia="lt-LT"/>
              </w:rPr>
              <w:t>(</w:t>
            </w:r>
            <w:r>
              <w:rPr>
                <w:bCs/>
                <w:lang w:eastAsia="lt-LT"/>
              </w:rPr>
              <w:t>nurodant klientą, prekes/paslaugas, sutarties laikotarpį, sumas)</w:t>
            </w:r>
          </w:p>
          <w:p w14:paraId="5F8CB6F7" w14:textId="77777777" w:rsidR="00816E21" w:rsidRDefault="00816E21" w:rsidP="00ED4E94">
            <w:pPr>
              <w:jc w:val="both"/>
              <w:rPr>
                <w:i/>
                <w:iCs/>
              </w:rPr>
            </w:pPr>
          </w:p>
          <w:p w14:paraId="34541772" w14:textId="77777777" w:rsidR="00816E21" w:rsidRPr="00B7470D" w:rsidRDefault="00816E21" w:rsidP="00962941">
            <w:pPr>
              <w:rPr>
                <w:bCs/>
                <w:lang w:eastAsia="lt-LT"/>
              </w:rPr>
            </w:pPr>
            <w:r w:rsidRPr="00B7470D">
              <w:rPr>
                <w:i/>
                <w:iCs/>
              </w:rPr>
              <w:t>Pateikiami skenuoti arba el. parašu pasirašyti dokumentai.</w:t>
            </w:r>
          </w:p>
          <w:p w14:paraId="1914319B" w14:textId="77777777" w:rsidR="00816E21" w:rsidRDefault="00816E21" w:rsidP="00ED4E94">
            <w:pPr>
              <w:spacing w:line="276" w:lineRule="auto"/>
              <w:jc w:val="both"/>
            </w:pPr>
          </w:p>
        </w:tc>
      </w:tr>
      <w:tr w:rsidR="00816E21" w14:paraId="61DC5E50" w14:textId="77777777" w:rsidTr="00ED4E94">
        <w:tc>
          <w:tcPr>
            <w:tcW w:w="704" w:type="dxa"/>
            <w:tcBorders>
              <w:top w:val="single" w:sz="4" w:space="0" w:color="000000"/>
              <w:left w:val="single" w:sz="4" w:space="0" w:color="000000"/>
              <w:bottom w:val="single" w:sz="4" w:space="0" w:color="000000"/>
              <w:right w:val="single" w:sz="4" w:space="0" w:color="000000"/>
            </w:tcBorders>
          </w:tcPr>
          <w:p w14:paraId="7495C0E1" w14:textId="77777777" w:rsidR="00816E21" w:rsidRDefault="00816E21" w:rsidP="00ED4E94">
            <w:pPr>
              <w:widowControl w:val="0"/>
              <w:spacing w:line="276" w:lineRule="auto"/>
            </w:pPr>
            <w:r>
              <w:t>18.2.</w:t>
            </w:r>
          </w:p>
        </w:tc>
        <w:tc>
          <w:tcPr>
            <w:tcW w:w="4818" w:type="dxa"/>
            <w:tcBorders>
              <w:top w:val="single" w:sz="4" w:space="0" w:color="000000"/>
              <w:left w:val="single" w:sz="4" w:space="0" w:color="000000"/>
              <w:bottom w:val="single" w:sz="4" w:space="0" w:color="000000"/>
              <w:right w:val="single" w:sz="4" w:space="0" w:color="000000"/>
            </w:tcBorders>
          </w:tcPr>
          <w:p w14:paraId="30156429" w14:textId="77777777" w:rsidR="00816E21" w:rsidRPr="00B52087" w:rsidRDefault="00816E21" w:rsidP="00ED4E94">
            <w:pPr>
              <w:jc w:val="both"/>
              <w:rPr>
                <w:lang w:eastAsia="lt-LT"/>
              </w:rPr>
            </w:pPr>
            <w:bookmarkStart w:id="2" w:name="_Hlk227323557"/>
            <w:bookmarkStart w:id="3" w:name="_Hlk227586805"/>
            <w:r w:rsidRPr="00B52087">
              <w:rPr>
                <w:lang w:eastAsia="lt-LT"/>
              </w:rPr>
              <w:t>Tiekėjas sutarčiai vykdyti turi pasiūlyti:</w:t>
            </w:r>
          </w:p>
          <w:p w14:paraId="3FB04C71" w14:textId="77777777" w:rsidR="00816E21" w:rsidRPr="00B52087" w:rsidRDefault="00816E21" w:rsidP="00ED4E94">
            <w:pPr>
              <w:jc w:val="both"/>
              <w:rPr>
                <w:lang w:eastAsia="lt-LT"/>
              </w:rPr>
            </w:pPr>
            <w:r w:rsidRPr="00B52087">
              <w:rPr>
                <w:lang w:eastAsia="lt-LT"/>
              </w:rPr>
              <w:t xml:space="preserve">1) informacinių technologijų projekto vadovą, </w:t>
            </w:r>
            <w:r>
              <w:rPr>
                <w:lang w:eastAsia="lt-LT"/>
              </w:rPr>
              <w:t>vadovavusį</w:t>
            </w:r>
            <w:r w:rsidRPr="00B52087">
              <w:rPr>
                <w:lang w:eastAsia="lt-LT"/>
              </w:rPr>
              <w:t xml:space="preserve"> bent vienam duomenų tinklo fizinės ir programinės įrangos diegimo projekt</w:t>
            </w:r>
            <w:r>
              <w:rPr>
                <w:lang w:eastAsia="lt-LT"/>
              </w:rPr>
              <w:t>ui</w:t>
            </w:r>
            <w:r w:rsidRPr="00B52087">
              <w:rPr>
                <w:lang w:eastAsia="lt-LT"/>
              </w:rPr>
              <w:t xml:space="preserve">*, kurio vertė yra ne mažesnė kaip </w:t>
            </w:r>
            <w:r>
              <w:rPr>
                <w:lang w:eastAsia="lt-LT"/>
              </w:rPr>
              <w:t>300</w:t>
            </w:r>
            <w:r w:rsidRPr="00B52087">
              <w:rPr>
                <w:lang w:eastAsia="lt-LT"/>
              </w:rPr>
              <w:t xml:space="preserve"> 000,00 (</w:t>
            </w:r>
            <w:r>
              <w:t>trys</w:t>
            </w:r>
            <w:r w:rsidRPr="00B52087">
              <w:t xml:space="preserve"> šimta</w:t>
            </w:r>
            <w:r>
              <w:t>i</w:t>
            </w:r>
            <w:r w:rsidRPr="00B52087">
              <w:t xml:space="preserve"> tūkstančių) Eur be PVM</w:t>
            </w:r>
            <w:r w:rsidRPr="00B52087">
              <w:rPr>
                <w:lang w:eastAsia="lt-LT"/>
              </w:rPr>
              <w:t>, ir turintį tarptautiniu mastu pripažįstamą projektų valdymo kvalifikaciją;</w:t>
            </w:r>
          </w:p>
          <w:p w14:paraId="697152D4" w14:textId="77777777" w:rsidR="00816E21" w:rsidRPr="00E82CAB" w:rsidRDefault="00816E21" w:rsidP="00ED4E94">
            <w:pPr>
              <w:jc w:val="both"/>
              <w:rPr>
                <w:i/>
                <w:iCs/>
                <w:lang w:eastAsia="lt-LT"/>
              </w:rPr>
            </w:pPr>
            <w:bookmarkStart w:id="4" w:name="_Hlk227323625"/>
            <w:bookmarkEnd w:id="2"/>
            <w:r w:rsidRPr="003E445F">
              <w:rPr>
                <w:i/>
                <w:iCs/>
                <w:lang w:eastAsia="lt-LT"/>
              </w:rPr>
              <w:t>*Projektas gali būti pradėtas vykdyti anksčiau negu per paskutinius 3 (tris) metus iki pasiūlymų pateikimo termino pabaigos, tačiau jo įvykdymo termino pabaiga turi būti ne ankstesnė kaip 3 (trijų) paskutinių metų laikotarpyje iki pasiūlymų pateikimo termino pabaigos.</w:t>
            </w:r>
          </w:p>
          <w:bookmarkEnd w:id="3"/>
          <w:bookmarkEnd w:id="4"/>
          <w:p w14:paraId="3B838FAB" w14:textId="77777777" w:rsidR="00816E21" w:rsidRPr="00B52087" w:rsidRDefault="00816E21" w:rsidP="00ED4E94">
            <w:pPr>
              <w:jc w:val="both"/>
              <w:rPr>
                <w:lang w:eastAsia="lt-LT"/>
              </w:rPr>
            </w:pPr>
            <w:r>
              <w:rPr>
                <w:lang w:eastAsia="lt-LT"/>
              </w:rPr>
              <w:t xml:space="preserve">2) </w:t>
            </w:r>
            <w:r w:rsidRPr="00B52087">
              <w:rPr>
                <w:lang w:eastAsia="lt-LT"/>
              </w:rPr>
              <w:t>duomenų perdavimo tinklo specialistą, turintį tarptautiniu mastu pripažįstamą duomenų perdavimo tinklo eksperto lygio specialisto kvalifikaciją;</w:t>
            </w:r>
          </w:p>
          <w:p w14:paraId="412B683D" w14:textId="77777777" w:rsidR="00816E21" w:rsidRPr="00B52087" w:rsidRDefault="00816E21" w:rsidP="00ED4E94">
            <w:pPr>
              <w:jc w:val="both"/>
              <w:rPr>
                <w:lang w:eastAsia="lt-LT"/>
              </w:rPr>
            </w:pPr>
            <w:r w:rsidRPr="00B52087">
              <w:rPr>
                <w:lang w:eastAsia="lt-LT"/>
              </w:rPr>
              <w:t>3) duomenų perdavimo tinklo specialistą, turintį tarptautiniu mastu pripažįstamą duomenų perdavimo tinklo saugumo profesionalo lygio specialisto kvalifikaciją;</w:t>
            </w:r>
          </w:p>
          <w:p w14:paraId="394AD330" w14:textId="77777777" w:rsidR="00816E21" w:rsidRDefault="00816E21" w:rsidP="00ED4E94">
            <w:pPr>
              <w:jc w:val="both"/>
              <w:rPr>
                <w:lang w:eastAsia="lt-LT"/>
              </w:rPr>
            </w:pPr>
            <w:r w:rsidRPr="00B52087">
              <w:rPr>
                <w:lang w:eastAsia="lt-LT"/>
              </w:rPr>
              <w:t>4) duomenų perdavimo tinklo specialistą, turintį tarptautiniu mastu pripažįstamą duomenų perdavimo tinklo įrenginių centralizuoto valdymo programinės įrangos specialisto kvalifikaciją.</w:t>
            </w:r>
          </w:p>
          <w:p w14:paraId="0694A8EA" w14:textId="77777777" w:rsidR="00816E21" w:rsidRDefault="00816E21" w:rsidP="00ED4E94">
            <w:pPr>
              <w:jc w:val="both"/>
              <w:rPr>
                <w:lang w:eastAsia="lt-LT"/>
              </w:rPr>
            </w:pPr>
          </w:p>
          <w:p w14:paraId="1020CFA2" w14:textId="77777777" w:rsidR="00816E21" w:rsidRPr="00C756FA" w:rsidRDefault="00816E21" w:rsidP="00ED4E94">
            <w:pPr>
              <w:autoSpaceDE w:val="0"/>
              <w:autoSpaceDN w:val="0"/>
              <w:adjustRightInd w:val="0"/>
              <w:rPr>
                <w:rFonts w:eastAsiaTheme="minorHAnsi"/>
                <w:i/>
                <w:iCs/>
                <w:color w:val="000000"/>
              </w:rPr>
            </w:pPr>
            <w:bookmarkStart w:id="5" w:name="_Hlk227071627"/>
            <w:r w:rsidRPr="00C756FA">
              <w:rPr>
                <w:rFonts w:eastAsiaTheme="minorHAnsi"/>
                <w:i/>
                <w:iCs/>
                <w:color w:val="000000"/>
              </w:rPr>
              <w:t>Pastabos:</w:t>
            </w:r>
          </w:p>
          <w:p w14:paraId="55CA3D49" w14:textId="77777777" w:rsidR="00816E21" w:rsidRPr="00C756FA" w:rsidRDefault="00816E21" w:rsidP="00ED4E94">
            <w:pPr>
              <w:tabs>
                <w:tab w:val="left" w:pos="175"/>
              </w:tabs>
              <w:autoSpaceDE w:val="0"/>
              <w:autoSpaceDN w:val="0"/>
              <w:adjustRightInd w:val="0"/>
              <w:jc w:val="both"/>
              <w:rPr>
                <w:rFonts w:eastAsiaTheme="minorHAnsi"/>
                <w:i/>
                <w:iCs/>
                <w:color w:val="000000"/>
              </w:rPr>
            </w:pPr>
            <w:r w:rsidRPr="00C756FA">
              <w:rPr>
                <w:rFonts w:eastAsiaTheme="minorHAnsi"/>
                <w:i/>
                <w:iCs/>
                <w:color w:val="000000"/>
              </w:rPr>
              <w:t>-</w:t>
            </w:r>
            <w:r w:rsidRPr="00C756FA">
              <w:rPr>
                <w:rFonts w:eastAsiaTheme="minorHAnsi"/>
                <w:i/>
                <w:iCs/>
                <w:color w:val="000000"/>
              </w:rPr>
              <w:tab/>
            </w:r>
            <w:r w:rsidRPr="00B86071">
              <w:rPr>
                <w:rFonts w:eastAsiaTheme="minorHAnsi"/>
                <w:i/>
                <w:iCs/>
                <w:color w:val="000000"/>
              </w:rPr>
              <w:t>tas pats specialistas gali būti siūlomas kelioms ar visoms pozicijoms, jeigu atitinka specialistui nustatytus reikalavimus;</w:t>
            </w:r>
          </w:p>
          <w:p w14:paraId="4A9E05A4" w14:textId="77777777" w:rsidR="00816E21" w:rsidRPr="000F1D22" w:rsidRDefault="00816E21" w:rsidP="00ED4E94">
            <w:pPr>
              <w:jc w:val="both"/>
              <w:rPr>
                <w:i/>
                <w:iCs/>
                <w:color w:val="000000"/>
              </w:rPr>
            </w:pPr>
            <w:r>
              <w:rPr>
                <w:rFonts w:eastAsiaTheme="minorHAnsi"/>
                <w:i/>
                <w:iCs/>
                <w:color w:val="000000"/>
              </w:rPr>
              <w:t xml:space="preserve">- </w:t>
            </w:r>
            <w:r w:rsidRPr="000F1D22">
              <w:rPr>
                <w:i/>
                <w:iCs/>
                <w:color w:val="000000"/>
              </w:rPr>
              <w:t>jeigu pasiūlymą teikia ūkio subjektų grupė – reikalavimą turi atitikti ūkio subjektų grupės nario (-</w:t>
            </w:r>
            <w:proofErr w:type="spellStart"/>
            <w:r w:rsidRPr="000F1D22">
              <w:rPr>
                <w:i/>
                <w:iCs/>
                <w:color w:val="000000"/>
              </w:rPr>
              <w:t>ių</w:t>
            </w:r>
            <w:proofErr w:type="spellEnd"/>
            <w:r w:rsidRPr="000F1D22">
              <w:rPr>
                <w:i/>
                <w:iCs/>
                <w:color w:val="000000"/>
              </w:rPr>
              <w:t>) specialistai, atsižvelgiant į jų prisiimamus įsipareigojimus pirkimo sutarčiai vykdyti;</w:t>
            </w:r>
          </w:p>
          <w:p w14:paraId="2B4B428A" w14:textId="77777777" w:rsidR="00816E21" w:rsidRPr="000F1D22" w:rsidRDefault="00816E21" w:rsidP="00ED4E94">
            <w:pPr>
              <w:jc w:val="both"/>
              <w:rPr>
                <w:i/>
                <w:iCs/>
                <w:color w:val="000000"/>
              </w:rPr>
            </w:pPr>
            <w:r w:rsidRPr="000F1D22">
              <w:rPr>
                <w:i/>
                <w:iCs/>
                <w:color w:val="000000"/>
              </w:rPr>
              <w:lastRenderedPageBreak/>
              <w:t>- tiekėjas gali remtis kitų ūkio subjektų pajėgumais tik tuo atveju, jeigu tie subjektai (jų darbuotojai) patys vykdys tą pirkimo sutarties dalį, kuriai reikia jų turimų pajėgumų;</w:t>
            </w:r>
          </w:p>
          <w:p w14:paraId="0144796F" w14:textId="77777777" w:rsidR="00816E21" w:rsidRDefault="00816E21" w:rsidP="00ED4E94">
            <w:pPr>
              <w:jc w:val="both"/>
              <w:rPr>
                <w:lang w:eastAsia="lt-LT"/>
              </w:rPr>
            </w:pPr>
            <w:r w:rsidRPr="000F1D22">
              <w:rPr>
                <w:i/>
                <w:iCs/>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bookmarkEnd w:id="5"/>
          <w:p w14:paraId="3AF34DDF" w14:textId="77777777" w:rsidR="00816E21" w:rsidRDefault="00816E21" w:rsidP="00ED4E94">
            <w:pPr>
              <w:jc w:val="both"/>
              <w:rPr>
                <w:lang w:eastAsia="lt-LT"/>
              </w:rPr>
            </w:pPr>
          </w:p>
          <w:p w14:paraId="22FF46D8" w14:textId="77777777" w:rsidR="00816E21" w:rsidRDefault="00816E21" w:rsidP="00ED4E94">
            <w:pPr>
              <w:jc w:val="both"/>
              <w:rPr>
                <w:lang w:eastAsia="lt-LT"/>
              </w:rPr>
            </w:pPr>
          </w:p>
          <w:p w14:paraId="364DA1D0" w14:textId="77777777" w:rsidR="00816E21" w:rsidRPr="002A0026" w:rsidRDefault="00816E21" w:rsidP="00ED4E94">
            <w:pPr>
              <w:jc w:val="both"/>
            </w:pPr>
          </w:p>
        </w:tc>
        <w:tc>
          <w:tcPr>
            <w:tcW w:w="4108" w:type="dxa"/>
            <w:tcBorders>
              <w:top w:val="single" w:sz="4" w:space="0" w:color="000000"/>
              <w:left w:val="single" w:sz="4" w:space="0" w:color="000000"/>
              <w:bottom w:val="single" w:sz="4" w:space="0" w:color="000000"/>
              <w:right w:val="single" w:sz="4" w:space="0" w:color="000000"/>
            </w:tcBorders>
          </w:tcPr>
          <w:p w14:paraId="5B457E21" w14:textId="77777777" w:rsidR="00816E21" w:rsidRDefault="00816E21" w:rsidP="00ED4E94">
            <w:pPr>
              <w:jc w:val="both"/>
              <w:rPr>
                <w:lang w:eastAsia="lt-LT"/>
              </w:rPr>
            </w:pPr>
            <w:r>
              <w:rPr>
                <w:lang w:eastAsia="lt-LT"/>
              </w:rPr>
              <w:lastRenderedPageBreak/>
              <w:t>Pateikiami dokumentai:</w:t>
            </w:r>
          </w:p>
          <w:p w14:paraId="1404A277" w14:textId="77777777" w:rsidR="00816E21" w:rsidRPr="006B2E08" w:rsidRDefault="00816E21" w:rsidP="00816E21">
            <w:pPr>
              <w:numPr>
                <w:ilvl w:val="0"/>
                <w:numId w:val="1"/>
              </w:numPr>
              <w:tabs>
                <w:tab w:val="left" w:pos="347"/>
                <w:tab w:val="left" w:pos="1665"/>
              </w:tabs>
              <w:ind w:left="34" w:firstLine="0"/>
              <w:contextualSpacing/>
              <w:jc w:val="both"/>
              <w:rPr>
                <w:lang w:eastAsia="lt-LT"/>
              </w:rPr>
            </w:pPr>
            <w:r w:rsidRPr="00E82CAB">
              <w:rPr>
                <w:lang w:eastAsia="lt-LT"/>
              </w:rPr>
              <w:t xml:space="preserve">specialistų, kurie bus atsakingi už </w:t>
            </w:r>
            <w:r w:rsidRPr="006B2E08">
              <w:rPr>
                <w:lang w:eastAsia="lt-LT"/>
              </w:rPr>
              <w:t>sutarties vykdymą, sąrašas, užpildytas pagal konkurso sąlygų aprašo 9 priedą;</w:t>
            </w:r>
          </w:p>
          <w:p w14:paraId="10D966FB" w14:textId="77777777" w:rsidR="00816E21" w:rsidRPr="006B2E08" w:rsidRDefault="00816E21" w:rsidP="00816E21">
            <w:pPr>
              <w:numPr>
                <w:ilvl w:val="0"/>
                <w:numId w:val="1"/>
              </w:numPr>
              <w:tabs>
                <w:tab w:val="left" w:pos="347"/>
                <w:tab w:val="left" w:pos="1665"/>
              </w:tabs>
              <w:ind w:left="34" w:firstLine="0"/>
              <w:contextualSpacing/>
              <w:jc w:val="both"/>
              <w:rPr>
                <w:sz w:val="32"/>
                <w:szCs w:val="32"/>
                <w:lang w:eastAsia="lt-LT"/>
              </w:rPr>
            </w:pPr>
            <w:r w:rsidRPr="006B2E08">
              <w:rPr>
                <w:lang w:eastAsia="lt-LT"/>
              </w:rPr>
              <w:t xml:space="preserve">siūlomų specialistų darbo patirties aprašymas, nurodytas konkurso sąlygų aprašo 9 priedo lentelės skiltyje „Darbo patirties aprašymas“, iš kurio būtų galima įvertinti specialistų turimą darbo patirtį </w:t>
            </w:r>
            <w:r w:rsidRPr="006B2E08">
              <w:rPr>
                <w:i/>
                <w:iCs/>
                <w:lang w:eastAsia="lt-LT"/>
              </w:rPr>
              <w:t>(taikoma specialistui Nr. 1)</w:t>
            </w:r>
            <w:r w:rsidRPr="006B2E08">
              <w:rPr>
                <w:lang w:eastAsia="lt-LT"/>
              </w:rPr>
              <w:t>;</w:t>
            </w:r>
          </w:p>
          <w:p w14:paraId="7F50640D" w14:textId="77777777" w:rsidR="00816E21" w:rsidRPr="007044A2" w:rsidRDefault="00816E21" w:rsidP="00816E21">
            <w:pPr>
              <w:numPr>
                <w:ilvl w:val="0"/>
                <w:numId w:val="1"/>
              </w:numPr>
              <w:tabs>
                <w:tab w:val="left" w:pos="347"/>
                <w:tab w:val="left" w:pos="1665"/>
              </w:tabs>
              <w:ind w:left="34" w:firstLine="0"/>
              <w:contextualSpacing/>
              <w:jc w:val="both"/>
              <w:rPr>
                <w:sz w:val="32"/>
                <w:szCs w:val="32"/>
                <w:lang w:eastAsia="lt-LT"/>
              </w:rPr>
            </w:pPr>
            <w:r w:rsidRPr="006B2E08">
              <w:rPr>
                <w:lang w:eastAsia="lt-LT"/>
              </w:rPr>
              <w:t xml:space="preserve">specialistui Nr. 1 </w:t>
            </w:r>
            <w:r w:rsidRPr="006B2E08">
              <w:t>pateikiamas</w:t>
            </w:r>
            <w:r w:rsidRPr="007044A2">
              <w:t xml:space="preserve"> siūlomo specialisto kvalifikaciją patvirtinantis Prince2 arba PMP arba </w:t>
            </w:r>
            <w:proofErr w:type="spellStart"/>
            <w:r w:rsidRPr="007044A2">
              <w:t>CompTIA</w:t>
            </w:r>
            <w:proofErr w:type="spellEnd"/>
            <w:r w:rsidRPr="007044A2">
              <w:t xml:space="preserve"> Project+ sertifikatas arba kitas kvalifikaciją įrodantis lygiavertis dokumentas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4A1B41C1" w14:textId="77777777" w:rsidR="00816E21" w:rsidRPr="00D20EAB" w:rsidRDefault="00816E21" w:rsidP="00816E21">
            <w:pPr>
              <w:numPr>
                <w:ilvl w:val="0"/>
                <w:numId w:val="1"/>
              </w:numPr>
              <w:tabs>
                <w:tab w:val="left" w:pos="347"/>
                <w:tab w:val="left" w:pos="1665"/>
              </w:tabs>
              <w:ind w:left="34" w:firstLine="0"/>
              <w:contextualSpacing/>
              <w:jc w:val="both"/>
              <w:rPr>
                <w:sz w:val="32"/>
                <w:szCs w:val="32"/>
                <w:lang w:eastAsia="lt-LT"/>
              </w:rPr>
            </w:pPr>
            <w:r w:rsidRPr="007044A2">
              <w:rPr>
                <w:lang w:eastAsia="lt-LT"/>
              </w:rPr>
              <w:t>specialistui Nr. 2 pateikiamas</w:t>
            </w:r>
            <w:r w:rsidRPr="00D20EAB">
              <w:rPr>
                <w:lang w:eastAsia="lt-LT"/>
              </w:rPr>
              <w:t xml:space="preserve"> siūlomo specialisto eksperto lygio kvalifikaciją patvirtinantis </w:t>
            </w:r>
            <w:proofErr w:type="spellStart"/>
            <w:r w:rsidRPr="00D20EAB">
              <w:rPr>
                <w:lang w:eastAsia="lt-LT"/>
              </w:rPr>
              <w:t>Cisco</w:t>
            </w:r>
            <w:proofErr w:type="spellEnd"/>
            <w:r w:rsidRPr="00D20EAB">
              <w:rPr>
                <w:lang w:eastAsia="lt-LT"/>
              </w:rPr>
              <w:t xml:space="preserve"> </w:t>
            </w:r>
            <w:proofErr w:type="spellStart"/>
            <w:r w:rsidRPr="00D20EAB">
              <w:rPr>
                <w:lang w:eastAsia="lt-LT"/>
              </w:rPr>
              <w:t>Certified</w:t>
            </w:r>
            <w:proofErr w:type="spellEnd"/>
            <w:r w:rsidRPr="00D20EAB">
              <w:rPr>
                <w:lang w:eastAsia="lt-LT"/>
              </w:rPr>
              <w:t xml:space="preserve"> </w:t>
            </w:r>
            <w:proofErr w:type="spellStart"/>
            <w:r w:rsidRPr="00D20EAB">
              <w:rPr>
                <w:lang w:eastAsia="lt-LT"/>
              </w:rPr>
              <w:t>Internetwork</w:t>
            </w:r>
            <w:proofErr w:type="spellEnd"/>
            <w:r w:rsidRPr="00D20EAB">
              <w:rPr>
                <w:lang w:eastAsia="lt-LT"/>
              </w:rPr>
              <w:t xml:space="preserve"> </w:t>
            </w:r>
            <w:proofErr w:type="spellStart"/>
            <w:r w:rsidRPr="00D20EAB">
              <w:rPr>
                <w:lang w:eastAsia="lt-LT"/>
              </w:rPr>
              <w:t>Expert</w:t>
            </w:r>
            <w:proofErr w:type="spellEnd"/>
            <w:r w:rsidRPr="00D20EAB">
              <w:rPr>
                <w:lang w:eastAsia="lt-LT"/>
              </w:rPr>
              <w:t xml:space="preserve"> (CCIE) arba Aruba </w:t>
            </w:r>
            <w:proofErr w:type="spellStart"/>
            <w:r w:rsidRPr="00D20EAB">
              <w:rPr>
                <w:lang w:eastAsia="lt-LT"/>
              </w:rPr>
              <w:t>Certified</w:t>
            </w:r>
            <w:proofErr w:type="spellEnd"/>
            <w:r w:rsidRPr="00D20EAB">
              <w:rPr>
                <w:lang w:eastAsia="lt-LT"/>
              </w:rPr>
              <w:t xml:space="preserve"> </w:t>
            </w:r>
            <w:proofErr w:type="spellStart"/>
            <w:r w:rsidRPr="00D20EAB">
              <w:rPr>
                <w:lang w:eastAsia="lt-LT"/>
              </w:rPr>
              <w:t>Switching</w:t>
            </w:r>
            <w:proofErr w:type="spellEnd"/>
            <w:r w:rsidRPr="00D20EAB">
              <w:rPr>
                <w:lang w:eastAsia="lt-LT"/>
              </w:rPr>
              <w:t xml:space="preserve"> </w:t>
            </w:r>
            <w:proofErr w:type="spellStart"/>
            <w:r w:rsidRPr="00D20EAB">
              <w:rPr>
                <w:lang w:eastAsia="lt-LT"/>
              </w:rPr>
              <w:t>Expert</w:t>
            </w:r>
            <w:proofErr w:type="spellEnd"/>
            <w:r w:rsidRPr="00D20EAB">
              <w:rPr>
                <w:lang w:eastAsia="lt-LT"/>
              </w:rPr>
              <w:t xml:space="preserve"> (ACSX) sertifikatas </w:t>
            </w:r>
            <w:r w:rsidRPr="00C16898">
              <w:rPr>
                <w:lang w:eastAsia="lt-LT"/>
              </w:rPr>
              <w:t>arba kitas kvalifikaciją įrodantis lygiavertis dokumentas</w:t>
            </w:r>
            <w:r w:rsidRPr="00D20EAB">
              <w:rPr>
                <w:lang w:eastAsia="lt-LT"/>
              </w:rPr>
              <w:t xml:space="preserve">. </w:t>
            </w:r>
          </w:p>
          <w:p w14:paraId="12B66CD9" w14:textId="77777777" w:rsidR="00816E21" w:rsidRPr="00D20EAB" w:rsidRDefault="00816E21" w:rsidP="00816E21">
            <w:pPr>
              <w:numPr>
                <w:ilvl w:val="0"/>
                <w:numId w:val="1"/>
              </w:numPr>
              <w:tabs>
                <w:tab w:val="left" w:pos="347"/>
                <w:tab w:val="left" w:pos="1665"/>
              </w:tabs>
              <w:ind w:left="34" w:firstLine="0"/>
              <w:contextualSpacing/>
              <w:jc w:val="both"/>
              <w:rPr>
                <w:sz w:val="32"/>
                <w:szCs w:val="32"/>
                <w:lang w:eastAsia="lt-LT"/>
              </w:rPr>
            </w:pPr>
            <w:r w:rsidRPr="00D20EAB">
              <w:rPr>
                <w:lang w:eastAsia="lt-LT"/>
              </w:rPr>
              <w:t xml:space="preserve">specialistui Nr. 3 pateikiami siūlomų specialistų profesionalų lygio tinklo saugumo kvalifikaciją patvirtinantys </w:t>
            </w:r>
            <w:proofErr w:type="spellStart"/>
            <w:r w:rsidRPr="00D20EAB">
              <w:rPr>
                <w:lang w:eastAsia="lt-LT"/>
              </w:rPr>
              <w:lastRenderedPageBreak/>
              <w:t>Cisco</w:t>
            </w:r>
            <w:proofErr w:type="spellEnd"/>
            <w:r w:rsidRPr="00D20EAB">
              <w:rPr>
                <w:lang w:eastAsia="lt-LT"/>
              </w:rPr>
              <w:t xml:space="preserve"> </w:t>
            </w:r>
            <w:proofErr w:type="spellStart"/>
            <w:r w:rsidRPr="00D20EAB">
              <w:rPr>
                <w:lang w:eastAsia="lt-LT"/>
              </w:rPr>
              <w:t>Certified</w:t>
            </w:r>
            <w:proofErr w:type="spellEnd"/>
            <w:r w:rsidRPr="00D20EAB">
              <w:rPr>
                <w:lang w:eastAsia="lt-LT"/>
              </w:rPr>
              <w:t xml:space="preserve"> Network Professional </w:t>
            </w:r>
            <w:proofErr w:type="spellStart"/>
            <w:r w:rsidRPr="00D20EAB">
              <w:rPr>
                <w:lang w:eastAsia="lt-LT"/>
              </w:rPr>
              <w:t>Security</w:t>
            </w:r>
            <w:proofErr w:type="spellEnd"/>
            <w:r w:rsidRPr="00D20EAB">
              <w:rPr>
                <w:lang w:eastAsia="lt-LT"/>
              </w:rPr>
              <w:t xml:space="preserve"> (CCNP) arba Aruba </w:t>
            </w:r>
            <w:proofErr w:type="spellStart"/>
            <w:r w:rsidRPr="00D20EAB">
              <w:rPr>
                <w:lang w:eastAsia="lt-LT"/>
              </w:rPr>
              <w:t>Certified</w:t>
            </w:r>
            <w:proofErr w:type="spellEnd"/>
            <w:r w:rsidRPr="00D20EAB">
              <w:rPr>
                <w:lang w:eastAsia="lt-LT"/>
              </w:rPr>
              <w:t xml:space="preserve"> </w:t>
            </w:r>
            <w:proofErr w:type="spellStart"/>
            <w:r w:rsidRPr="00D20EAB">
              <w:rPr>
                <w:lang w:eastAsia="lt-LT"/>
              </w:rPr>
              <w:t>ClearPass</w:t>
            </w:r>
            <w:proofErr w:type="spellEnd"/>
            <w:r w:rsidRPr="00D20EAB">
              <w:rPr>
                <w:lang w:eastAsia="lt-LT"/>
              </w:rPr>
              <w:t xml:space="preserve"> Professional sertifikatai </w:t>
            </w:r>
            <w:r w:rsidRPr="00C16898">
              <w:rPr>
                <w:lang w:eastAsia="lt-LT"/>
              </w:rPr>
              <w:t>arba kitas kvalifikaciją įrodantis lygiavertis dokumentas</w:t>
            </w:r>
            <w:r w:rsidRPr="00D20EAB">
              <w:rPr>
                <w:lang w:eastAsia="lt-LT"/>
              </w:rPr>
              <w:t xml:space="preserve">. </w:t>
            </w:r>
          </w:p>
          <w:p w14:paraId="7B7A6B3D" w14:textId="77777777" w:rsidR="00816E21" w:rsidRPr="00D20EAB" w:rsidRDefault="00816E21" w:rsidP="00816E21">
            <w:pPr>
              <w:numPr>
                <w:ilvl w:val="0"/>
                <w:numId w:val="1"/>
              </w:numPr>
              <w:tabs>
                <w:tab w:val="left" w:pos="347"/>
                <w:tab w:val="left" w:pos="1665"/>
              </w:tabs>
              <w:ind w:left="34" w:firstLine="0"/>
              <w:contextualSpacing/>
              <w:jc w:val="both"/>
              <w:rPr>
                <w:sz w:val="32"/>
                <w:szCs w:val="32"/>
                <w:lang w:eastAsia="lt-LT"/>
              </w:rPr>
            </w:pPr>
            <w:r w:rsidRPr="00D20EAB">
              <w:rPr>
                <w:kern w:val="2"/>
                <w:lang w:eastAsia="zh-CN"/>
                <w14:ligatures w14:val="standardContextual"/>
              </w:rPr>
              <w:t xml:space="preserve">specialistui Nr. 4 pateikiamas siūlomo specialisto  kvalifikaciją patvirtinantis Aruba </w:t>
            </w:r>
            <w:proofErr w:type="spellStart"/>
            <w:r w:rsidRPr="00D20EAB">
              <w:rPr>
                <w:kern w:val="2"/>
                <w:lang w:eastAsia="zh-CN"/>
                <w14:ligatures w14:val="standardContextual"/>
              </w:rPr>
              <w:t>Product</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Specialist</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Central</w:t>
            </w:r>
            <w:proofErr w:type="spellEnd"/>
            <w:r w:rsidRPr="00D20EAB">
              <w:rPr>
                <w:kern w:val="2"/>
                <w:lang w:eastAsia="zh-CN"/>
                <w14:ligatures w14:val="standardContextual"/>
              </w:rPr>
              <w:t xml:space="preserve"> (APSC) arba </w:t>
            </w:r>
            <w:proofErr w:type="spellStart"/>
            <w:r w:rsidRPr="00D20EAB">
              <w:rPr>
                <w:kern w:val="2"/>
                <w:lang w:eastAsia="zh-CN"/>
                <w14:ligatures w14:val="standardContextual"/>
              </w:rPr>
              <w:t>SolarWinds</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Certified</w:t>
            </w:r>
            <w:proofErr w:type="spellEnd"/>
            <w:r w:rsidRPr="00D20EAB">
              <w:rPr>
                <w:kern w:val="2"/>
                <w:lang w:eastAsia="zh-CN"/>
                <w14:ligatures w14:val="standardContextual"/>
              </w:rPr>
              <w:t xml:space="preserve"> Professional sertifikatas </w:t>
            </w:r>
            <w:r w:rsidRPr="00C16898">
              <w:rPr>
                <w:lang w:eastAsia="lt-LT"/>
              </w:rPr>
              <w:t>arba kitas kvalifikaciją įrodantis lygiavertis dokumentas</w:t>
            </w:r>
            <w:r w:rsidRPr="00D20EAB">
              <w:rPr>
                <w:lang w:eastAsia="lt-LT"/>
              </w:rPr>
              <w:t xml:space="preserve">. </w:t>
            </w:r>
          </w:p>
          <w:p w14:paraId="2270FC06" w14:textId="77777777" w:rsidR="00816E21" w:rsidRDefault="00816E21" w:rsidP="00ED4E94">
            <w:pPr>
              <w:tabs>
                <w:tab w:val="left" w:pos="347"/>
                <w:tab w:val="left" w:pos="1665"/>
              </w:tabs>
              <w:jc w:val="both"/>
              <w:rPr>
                <w:i/>
              </w:rPr>
            </w:pPr>
            <w:bookmarkStart w:id="6" w:name="_Hlk113354634"/>
            <w:bookmarkStart w:id="7" w:name="_Hlk132143082"/>
          </w:p>
          <w:p w14:paraId="63812534" w14:textId="77777777" w:rsidR="00816E21" w:rsidRPr="00E82CAB" w:rsidRDefault="00816E21" w:rsidP="00ED4E94">
            <w:pPr>
              <w:tabs>
                <w:tab w:val="left" w:pos="347"/>
                <w:tab w:val="left" w:pos="1665"/>
              </w:tabs>
              <w:jc w:val="both"/>
              <w:rPr>
                <w:i/>
              </w:rPr>
            </w:pPr>
            <w:r w:rsidRPr="00E82CAB">
              <w:rPr>
                <w:i/>
              </w:rPr>
              <w:t xml:space="preserve">Pastabos: </w:t>
            </w:r>
          </w:p>
          <w:bookmarkEnd w:id="6"/>
          <w:p w14:paraId="6C7D307A" w14:textId="77777777" w:rsidR="00816E21" w:rsidRPr="00170BA6" w:rsidRDefault="00816E21" w:rsidP="00ED4E94">
            <w:pPr>
              <w:spacing w:line="276" w:lineRule="auto"/>
              <w:jc w:val="both"/>
              <w:rPr>
                <w:i/>
                <w:iCs/>
              </w:rPr>
            </w:pPr>
            <w:r w:rsidRPr="0044109D">
              <w:rPr>
                <w:bCs/>
                <w:i/>
                <w:iCs/>
                <w:lang w:eastAsia="lt-LT"/>
              </w:rPr>
              <w:t>-</w:t>
            </w:r>
            <w:r w:rsidRPr="00E82CAB">
              <w:rPr>
                <w:b/>
                <w:i/>
                <w:iCs/>
                <w:lang w:eastAsia="lt-LT"/>
              </w:rPr>
              <w:t xml:space="preserve"> </w:t>
            </w:r>
            <w:r w:rsidRPr="00170BA6">
              <w:rPr>
                <w:i/>
                <w:iCs/>
                <w:color w:val="000000"/>
              </w:rPr>
              <w:t>iškilus abejonių dėl pateiktų dokumentų ar juose nurodytos informacijos, Perkančioji organizacija, turi teisę pareikalauti tiekėjo pateikti nurodytą informaciją patvirtinančių dokumentų;</w:t>
            </w:r>
          </w:p>
          <w:p w14:paraId="19B9AA70" w14:textId="77777777" w:rsidR="00816E21" w:rsidRPr="00170BA6" w:rsidRDefault="00816E21" w:rsidP="00ED4E94">
            <w:pPr>
              <w:spacing w:line="276" w:lineRule="auto"/>
              <w:jc w:val="both"/>
              <w:rPr>
                <w:i/>
                <w:iCs/>
              </w:rPr>
            </w:pPr>
            <w:r w:rsidRPr="00170BA6">
              <w:rPr>
                <w:i/>
                <w:iCs/>
              </w:rPr>
              <w:t xml:space="preserve">- </w:t>
            </w:r>
            <w:r w:rsidRPr="00170BA6">
              <w:rPr>
                <w:i/>
                <w:iCs/>
                <w:color w:val="000000"/>
              </w:rPr>
              <w:t>Perkančioji organizacija taip pat turi teisę pati patikrinti nurodytų dokumentų, informacijos teisingumą;</w:t>
            </w:r>
          </w:p>
          <w:p w14:paraId="02CC56BE" w14:textId="77777777" w:rsidR="00816E21" w:rsidRPr="00E82CAB" w:rsidRDefault="00816E21" w:rsidP="00ED4E94">
            <w:pPr>
              <w:tabs>
                <w:tab w:val="left" w:pos="34"/>
                <w:tab w:val="left" w:pos="176"/>
                <w:tab w:val="left" w:pos="317"/>
              </w:tabs>
              <w:ind w:left="33"/>
              <w:contextualSpacing/>
              <w:jc w:val="both"/>
              <w:rPr>
                <w:b/>
                <w:i/>
                <w:iCs/>
                <w:lang w:eastAsia="lt-LT"/>
              </w:rPr>
            </w:pPr>
            <w:r w:rsidRPr="0044109D">
              <w:rPr>
                <w:b/>
                <w:i/>
                <w:iCs/>
                <w:lang w:eastAsia="lt-LT"/>
              </w:rPr>
              <w:t>- jei kvalifikacija yra</w:t>
            </w:r>
            <w:r w:rsidRPr="00E82CAB">
              <w:rPr>
                <w:b/>
                <w:i/>
                <w:iCs/>
                <w:lang w:eastAsia="lt-LT"/>
              </w:rPr>
              <w:t xml:space="preserve"> grindžiama nurodant specialistą, kuris</w:t>
            </w:r>
            <w:r w:rsidRPr="00E82CAB">
              <w:rPr>
                <w:i/>
                <w:iCs/>
                <w:lang w:eastAsia="lt-LT"/>
              </w:rPr>
              <w:t xml:space="preserve"> nėra tiekėjo ar ūkio subjekto, kurio pajėgumais remiamasi, darbuotojas, tačiau</w:t>
            </w:r>
            <w:r w:rsidRPr="00E82CAB">
              <w:rPr>
                <w:b/>
                <w:i/>
                <w:iCs/>
                <w:lang w:eastAsia="lt-LT"/>
              </w:rPr>
              <w:t xml:space="preserve"> yra ketinamas įdarbinti, </w:t>
            </w:r>
            <w:r w:rsidRPr="00E82CAB">
              <w:rPr>
                <w:i/>
                <w:lang w:eastAsia="lt-LT"/>
              </w:rPr>
              <w:t>jei pasiūlymas bus pripažintas laimėjusiu</w:t>
            </w:r>
            <w:r w:rsidRPr="00E82CAB">
              <w:rPr>
                <w:i/>
                <w:iCs/>
                <w:lang w:eastAsia="lt-LT"/>
              </w:rPr>
              <w:t xml:space="preserve">, tokiu atveju specialistas </w:t>
            </w:r>
            <w:r w:rsidRPr="00E82CAB">
              <w:rPr>
                <w:b/>
                <w:i/>
                <w:iCs/>
                <w:lang w:eastAsia="lt-LT"/>
              </w:rPr>
              <w:t xml:space="preserve">turi būti išviešintas pasiūlyme kaip </w:t>
            </w:r>
            <w:proofErr w:type="spellStart"/>
            <w:r w:rsidRPr="00E82CAB">
              <w:rPr>
                <w:b/>
                <w:i/>
                <w:iCs/>
                <w:lang w:eastAsia="lt-LT"/>
              </w:rPr>
              <w:t>kvazisubtiekėjas</w:t>
            </w:r>
            <w:proofErr w:type="spellEnd"/>
            <w:r w:rsidRPr="00E82CAB">
              <w:rPr>
                <w:b/>
                <w:i/>
                <w:iCs/>
                <w:lang w:eastAsia="lt-LT"/>
              </w:rPr>
              <w:t>;</w:t>
            </w:r>
          </w:p>
          <w:p w14:paraId="74287882" w14:textId="77777777" w:rsidR="00816E21" w:rsidRPr="00E82CAB" w:rsidRDefault="00816E21" w:rsidP="00ED4E94">
            <w:pPr>
              <w:widowControl w:val="0"/>
              <w:tabs>
                <w:tab w:val="left" w:pos="34"/>
                <w:tab w:val="left" w:pos="176"/>
                <w:tab w:val="left" w:pos="317"/>
                <w:tab w:val="left" w:pos="347"/>
                <w:tab w:val="left" w:pos="1665"/>
              </w:tabs>
              <w:ind w:left="33"/>
              <w:contextualSpacing/>
              <w:jc w:val="both"/>
              <w:rPr>
                <w:i/>
                <w:lang w:eastAsia="lt-LT"/>
              </w:rPr>
            </w:pPr>
            <w:r w:rsidRPr="00E82CAB">
              <w:rPr>
                <w:i/>
                <w:lang w:eastAsia="lt-LT"/>
              </w:rPr>
              <w:t>- sutartį galės vykdyti tik nustatytus kvalifikacijos reikalavimus atitinkantys specialistai.</w:t>
            </w:r>
          </w:p>
          <w:bookmarkEnd w:id="7"/>
          <w:p w14:paraId="4FA409FD" w14:textId="77777777" w:rsidR="00816E21" w:rsidRPr="00E82CAB" w:rsidRDefault="00816E21" w:rsidP="00ED4E94">
            <w:pPr>
              <w:tabs>
                <w:tab w:val="left" w:pos="347"/>
                <w:tab w:val="left" w:pos="1665"/>
              </w:tabs>
              <w:ind w:left="32"/>
              <w:jc w:val="both"/>
              <w:rPr>
                <w:i/>
              </w:rPr>
            </w:pPr>
          </w:p>
          <w:p w14:paraId="63201BEE" w14:textId="77777777" w:rsidR="00816E21" w:rsidRPr="00B7470D" w:rsidRDefault="00816E21" w:rsidP="00E1058D">
            <w:pPr>
              <w:jc w:val="both"/>
              <w:rPr>
                <w:lang w:eastAsia="lt-LT"/>
              </w:rPr>
            </w:pPr>
            <w:r w:rsidRPr="00E82CAB">
              <w:rPr>
                <w:i/>
              </w:rPr>
              <w:t>Pateikiami skenuoti dokumentai elektronine forma ar pasirašyti el. parašu.</w:t>
            </w:r>
          </w:p>
        </w:tc>
      </w:tr>
    </w:tbl>
    <w:p w14:paraId="5E1B0FA2" w14:textId="77777777" w:rsidR="00816E21" w:rsidRDefault="00816E21" w:rsidP="00816E21"/>
    <w:p w14:paraId="4F339B42" w14:textId="77777777" w:rsidR="00816E21" w:rsidRDefault="00816E21" w:rsidP="00816E21"/>
    <w:p w14:paraId="2913300A" w14:textId="77777777" w:rsidR="00703F90" w:rsidRDefault="00703F90"/>
    <w:sectPr w:rsidR="00703F90" w:rsidSect="00816E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432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21"/>
    <w:rsid w:val="0032343A"/>
    <w:rsid w:val="003E36D0"/>
    <w:rsid w:val="00703F90"/>
    <w:rsid w:val="00794F8F"/>
    <w:rsid w:val="00816E21"/>
    <w:rsid w:val="00854445"/>
    <w:rsid w:val="00962941"/>
    <w:rsid w:val="00974108"/>
    <w:rsid w:val="00CD2A9C"/>
    <w:rsid w:val="00E10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A93C"/>
  <w15:chartTrackingRefBased/>
  <w15:docId w15:val="{C4D60992-E6D8-413F-A11A-3E4C567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6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E21"/>
    <w:rPr>
      <w:rFonts w:eastAsiaTheme="majorEastAsia" w:cstheme="majorBidi"/>
      <w:color w:val="272727" w:themeColor="text1" w:themeTint="D8"/>
    </w:rPr>
  </w:style>
  <w:style w:type="paragraph" w:styleId="Title">
    <w:name w:val="Title"/>
    <w:basedOn w:val="Normal"/>
    <w:next w:val="Normal"/>
    <w:link w:val="TitleChar"/>
    <w:uiPriority w:val="10"/>
    <w:qFormat/>
    <w:rsid w:val="00816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E21"/>
    <w:pPr>
      <w:spacing w:before="160"/>
      <w:jc w:val="center"/>
    </w:pPr>
    <w:rPr>
      <w:i/>
      <w:iCs/>
      <w:color w:val="404040" w:themeColor="text1" w:themeTint="BF"/>
    </w:rPr>
  </w:style>
  <w:style w:type="character" w:customStyle="1" w:styleId="QuoteChar">
    <w:name w:val="Quote Char"/>
    <w:basedOn w:val="DefaultParagraphFont"/>
    <w:link w:val="Quote"/>
    <w:uiPriority w:val="29"/>
    <w:rsid w:val="00816E21"/>
    <w:rPr>
      <w:i/>
      <w:iCs/>
      <w:color w:val="404040" w:themeColor="text1" w:themeTint="BF"/>
    </w:rPr>
  </w:style>
  <w:style w:type="paragraph" w:styleId="ListParagraph">
    <w:name w:val="List Paragraph"/>
    <w:basedOn w:val="Normal"/>
    <w:uiPriority w:val="34"/>
    <w:qFormat/>
    <w:rsid w:val="00816E21"/>
    <w:pPr>
      <w:ind w:left="720"/>
      <w:contextualSpacing/>
    </w:pPr>
  </w:style>
  <w:style w:type="character" w:styleId="IntenseEmphasis">
    <w:name w:val="Intense Emphasis"/>
    <w:basedOn w:val="DefaultParagraphFont"/>
    <w:uiPriority w:val="21"/>
    <w:qFormat/>
    <w:rsid w:val="00816E21"/>
    <w:rPr>
      <w:i/>
      <w:iCs/>
      <w:color w:val="2F5496" w:themeColor="accent1" w:themeShade="BF"/>
    </w:rPr>
  </w:style>
  <w:style w:type="paragraph" w:styleId="IntenseQuote">
    <w:name w:val="Intense Quote"/>
    <w:basedOn w:val="Normal"/>
    <w:next w:val="Normal"/>
    <w:link w:val="IntenseQuoteChar"/>
    <w:uiPriority w:val="30"/>
    <w:qFormat/>
    <w:rsid w:val="00816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E21"/>
    <w:rPr>
      <w:i/>
      <w:iCs/>
      <w:color w:val="2F5496" w:themeColor="accent1" w:themeShade="BF"/>
    </w:rPr>
  </w:style>
  <w:style w:type="character" w:styleId="IntenseReference">
    <w:name w:val="Intense Reference"/>
    <w:basedOn w:val="DefaultParagraphFont"/>
    <w:uiPriority w:val="32"/>
    <w:qFormat/>
    <w:rsid w:val="00816E21"/>
    <w:rPr>
      <w:b/>
      <w:bCs/>
      <w:smallCaps/>
      <w:color w:val="2F5496" w:themeColor="accent1" w:themeShade="BF"/>
      <w:spacing w:val="5"/>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1"/>
    <w:uiPriority w:val="99"/>
    <w:qFormat/>
    <w:rsid w:val="00816E21"/>
    <w:rPr>
      <w:rFonts w:eastAsia="Calibri"/>
      <w:sz w:val="20"/>
      <w:szCs w:val="20"/>
    </w:rPr>
  </w:style>
  <w:style w:type="character" w:customStyle="1" w:styleId="CommentTextChar">
    <w:name w:val="Comment Text Char"/>
    <w:basedOn w:val="DefaultParagraphFont"/>
    <w:uiPriority w:val="99"/>
    <w:semiHidden/>
    <w:rsid w:val="00816E21"/>
    <w:rPr>
      <w:rFonts w:ascii="Times New Roman" w:eastAsia="Times New Roman" w:hAnsi="Times New Roman" w:cs="Times New Roman"/>
      <w:kern w:val="0"/>
      <w:sz w:val="20"/>
      <w:szCs w:val="20"/>
      <w14:ligatures w14:val="none"/>
    </w:rPr>
  </w:style>
  <w:style w:type="character" w:customStyle="1" w:styleId="CommentTextChar1">
    <w:name w:val="Comment Text Char1"/>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rsid w:val="00816E21"/>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4725</Words>
  <Characters>2694</Characters>
  <Application>Microsoft Office Word</Application>
  <DocSecurity>0</DocSecurity>
  <Lines>22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Mikalauskas</dc:creator>
  <cp:keywords/>
  <dc:description/>
  <cp:lastModifiedBy>Marius Mikalauskas</cp:lastModifiedBy>
  <cp:revision>3</cp:revision>
  <dcterms:created xsi:type="dcterms:W3CDTF">2026-06-30T13:11:00Z</dcterms:created>
  <dcterms:modified xsi:type="dcterms:W3CDTF">2026-07-01T05:26:00Z</dcterms:modified>
</cp:coreProperties>
</file>