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133FE" w14:textId="4A54607C" w:rsidR="00F329F1" w:rsidRDefault="00F329F1" w:rsidP="00F329F1">
      <w:pPr>
        <w:spacing w:after="0" w:line="240" w:lineRule="auto"/>
        <w:ind w:firstLine="576"/>
        <w:jc w:val="both"/>
        <w:rPr>
          <w:rFonts w:ascii="Times New Roman" w:hAnsi="Times New Roman" w:cs="Times New Roman"/>
        </w:rPr>
      </w:pPr>
      <w:r w:rsidRPr="00171A16">
        <w:rPr>
          <w:rFonts w:ascii="Times New Roman" w:hAnsi="Times New Roman" w:cs="Times New Roman"/>
        </w:rPr>
        <w:t>VšĮ Lietuvos sveikatos mokslų universiteto Kauno ligoninė (toliau - Perkančioji organizacija) centrinės viešųjų pirkimų informacinės sistemos (toliau – CVP IS) priemonėmis vykdo tarptautinį pirkimą atviro konkurso būdu „</w:t>
      </w:r>
      <w:r w:rsidRPr="00F329F1">
        <w:rPr>
          <w:rStyle w:val="t51"/>
          <w:rFonts w:ascii="Times New Roman" w:hAnsi="Times New Roman" w:cs="Times New Roman"/>
          <w:b/>
          <w:bCs/>
          <w:bdr w:val="none" w:sz="0" w:space="0" w:color="auto" w:frame="1"/>
          <w:shd w:val="clear" w:color="auto" w:fill="FFFFFF"/>
        </w:rPr>
        <w:t>Finansų apskaitos informacinė sistema ir papildomos paslaugos</w:t>
      </w:r>
      <w:r w:rsidRPr="00171A16">
        <w:rPr>
          <w:rFonts w:ascii="Times New Roman" w:hAnsi="Times New Roman" w:cs="Times New Roman"/>
        </w:rPr>
        <w:t xml:space="preserve">“, </w:t>
      </w:r>
      <w:r>
        <w:rPr>
          <w:rFonts w:ascii="Times New Roman" w:hAnsi="Times New Roman" w:cs="Times New Roman"/>
        </w:rPr>
        <w:t>ID</w:t>
      </w:r>
      <w:r w:rsidRPr="00171A16">
        <w:rPr>
          <w:rFonts w:ascii="Times New Roman" w:hAnsi="Times New Roman" w:cs="Times New Roman"/>
        </w:rPr>
        <w:t xml:space="preserve">. </w:t>
      </w:r>
      <w:r>
        <w:rPr>
          <w:rFonts w:ascii="Times New Roman" w:hAnsi="Times New Roman" w:cs="Times New Roman"/>
        </w:rPr>
        <w:t>553074</w:t>
      </w:r>
      <w:r w:rsidRPr="00171A16">
        <w:rPr>
          <w:rFonts w:ascii="Times New Roman" w:hAnsi="Times New Roman" w:cs="Times New Roman"/>
        </w:rPr>
        <w:t xml:space="preserve"> (toliau pranešime – Pirkimas). </w:t>
      </w:r>
    </w:p>
    <w:p w14:paraId="5DBEA2B6" w14:textId="5CFA2C47" w:rsidR="00834ACF" w:rsidRDefault="00F329F1" w:rsidP="00834ACF">
      <w:pPr>
        <w:ind w:firstLine="576"/>
        <w:jc w:val="both"/>
        <w:rPr>
          <w:rFonts w:ascii="Times New Roman" w:hAnsi="Times New Roman" w:cs="Times New Roman"/>
        </w:rPr>
      </w:pPr>
      <w:r w:rsidRPr="000F4967">
        <w:rPr>
          <w:rFonts w:ascii="Times New Roman" w:hAnsi="Times New Roman" w:cs="Times New Roman"/>
        </w:rPr>
        <w:t>Pranešame, kad Viešųjų pirkimų komisija (toliau – Komisija) gavo prašym</w:t>
      </w:r>
      <w:r>
        <w:rPr>
          <w:rFonts w:ascii="Times New Roman" w:hAnsi="Times New Roman" w:cs="Times New Roman"/>
        </w:rPr>
        <w:t>us</w:t>
      </w:r>
      <w:r w:rsidRPr="000F4967">
        <w:rPr>
          <w:rFonts w:ascii="Times New Roman" w:hAnsi="Times New Roman" w:cs="Times New Roman"/>
        </w:rPr>
        <w:t xml:space="preserve"> paaiškinti pirkimo dokumentus CVP IS priemonėmis. Komisija posėdyje išnagrinėjo gaut</w:t>
      </w:r>
      <w:r>
        <w:rPr>
          <w:rFonts w:ascii="Times New Roman" w:hAnsi="Times New Roman" w:cs="Times New Roman"/>
        </w:rPr>
        <w:t>us</w:t>
      </w:r>
      <w:r w:rsidRPr="000F4967">
        <w:rPr>
          <w:rFonts w:ascii="Times New Roman" w:hAnsi="Times New Roman" w:cs="Times New Roman"/>
        </w:rPr>
        <w:t xml:space="preserve"> prašym</w:t>
      </w:r>
      <w:r>
        <w:rPr>
          <w:rFonts w:ascii="Times New Roman" w:hAnsi="Times New Roman" w:cs="Times New Roman"/>
        </w:rPr>
        <w:t>us</w:t>
      </w:r>
      <w:r w:rsidRPr="000F4967">
        <w:rPr>
          <w:rFonts w:ascii="Times New Roman" w:hAnsi="Times New Roman" w:cs="Times New Roman"/>
        </w:rPr>
        <w:t xml:space="preserve"> ir teikia atsakymus:</w:t>
      </w:r>
    </w:p>
    <w:p w14:paraId="79B064A7" w14:textId="52E398E5" w:rsidR="00834ACF" w:rsidRPr="00FA4C91" w:rsidRDefault="00FA4C91" w:rsidP="00FA4C91">
      <w:pPr>
        <w:pStyle w:val="Sraopastraipa"/>
        <w:numPr>
          <w:ilvl w:val="0"/>
          <w:numId w:val="2"/>
        </w:numPr>
        <w:jc w:val="both"/>
        <w:rPr>
          <w:rFonts w:ascii="Times New Roman" w:hAnsi="Times New Roman" w:cs="Times New Roman"/>
        </w:rPr>
      </w:pPr>
      <w:r>
        <w:rPr>
          <w:rFonts w:ascii="Times New Roman" w:hAnsi="Times New Roman" w:cs="Times New Roman"/>
        </w:rPr>
        <w:t>Klausimas</w:t>
      </w:r>
    </w:p>
    <w:tbl>
      <w:tblPr>
        <w:tblStyle w:val="Lentelstinklelis"/>
        <w:tblW w:w="0" w:type="auto"/>
        <w:tblInd w:w="-5" w:type="dxa"/>
        <w:tblLook w:val="04A0" w:firstRow="1" w:lastRow="0" w:firstColumn="1" w:lastColumn="0" w:noHBand="0" w:noVBand="1"/>
      </w:tblPr>
      <w:tblGrid>
        <w:gridCol w:w="4680"/>
        <w:gridCol w:w="4953"/>
      </w:tblGrid>
      <w:tr w:rsidR="00F329F1" w:rsidRPr="001319CE" w14:paraId="0F15FDE8" w14:textId="77777777" w:rsidTr="002F6114">
        <w:tc>
          <w:tcPr>
            <w:tcW w:w="4680" w:type="dxa"/>
            <w:tcBorders>
              <w:top w:val="single" w:sz="4" w:space="0" w:color="auto"/>
              <w:left w:val="single" w:sz="4" w:space="0" w:color="auto"/>
              <w:bottom w:val="single" w:sz="4" w:space="0" w:color="auto"/>
              <w:right w:val="single" w:sz="4" w:space="0" w:color="auto"/>
            </w:tcBorders>
            <w:hideMark/>
          </w:tcPr>
          <w:p w14:paraId="2B81742A" w14:textId="77777777" w:rsidR="00F329F1" w:rsidRPr="001319CE" w:rsidRDefault="00F329F1" w:rsidP="002F6114">
            <w:pPr>
              <w:autoSpaceDN w:val="0"/>
              <w:jc w:val="both"/>
              <w:textAlignment w:val="baseline"/>
              <w:rPr>
                <w:rFonts w:eastAsia="NSimSun"/>
                <w:b/>
                <w:bCs/>
                <w:sz w:val="22"/>
                <w:szCs w:val="22"/>
                <w:lang w:val="lt-LT" w:bidi="hi-IN"/>
              </w:rPr>
            </w:pPr>
            <w:r w:rsidRPr="001319CE">
              <w:rPr>
                <w:rFonts w:eastAsia="NSimSun"/>
                <w:b/>
                <w:bCs/>
                <w:sz w:val="22"/>
                <w:szCs w:val="22"/>
                <w:lang w:val="lt-LT" w:bidi="hi-IN"/>
              </w:rPr>
              <w:t>Pirkimo dokumentų (techninės specifikacijos) sąlyga</w:t>
            </w:r>
          </w:p>
        </w:tc>
        <w:tc>
          <w:tcPr>
            <w:tcW w:w="4953" w:type="dxa"/>
            <w:tcBorders>
              <w:top w:val="single" w:sz="4" w:space="0" w:color="auto"/>
              <w:left w:val="single" w:sz="4" w:space="0" w:color="auto"/>
              <w:bottom w:val="single" w:sz="4" w:space="0" w:color="auto"/>
              <w:right w:val="single" w:sz="4" w:space="0" w:color="auto"/>
            </w:tcBorders>
            <w:hideMark/>
          </w:tcPr>
          <w:p w14:paraId="20524461" w14:textId="77777777" w:rsidR="00F329F1" w:rsidRPr="001319CE" w:rsidRDefault="00F329F1" w:rsidP="002F6114">
            <w:pPr>
              <w:autoSpaceDN w:val="0"/>
              <w:jc w:val="both"/>
              <w:textAlignment w:val="baseline"/>
              <w:rPr>
                <w:rFonts w:eastAsia="NSimSun"/>
                <w:b/>
                <w:bCs/>
                <w:sz w:val="22"/>
                <w:szCs w:val="22"/>
                <w:lang w:val="lt-LT" w:bidi="hi-IN"/>
              </w:rPr>
            </w:pPr>
            <w:r w:rsidRPr="001319CE">
              <w:rPr>
                <w:rFonts w:eastAsia="NSimSun"/>
                <w:b/>
                <w:bCs/>
                <w:sz w:val="22"/>
                <w:szCs w:val="22"/>
                <w:lang w:val="lt-LT" w:bidi="hi-IN"/>
              </w:rPr>
              <w:t>Tiekėjo klausimas</w:t>
            </w:r>
          </w:p>
        </w:tc>
      </w:tr>
      <w:tr w:rsidR="00F329F1" w:rsidRPr="001319CE" w14:paraId="79E35573" w14:textId="77777777" w:rsidTr="002F6114">
        <w:tc>
          <w:tcPr>
            <w:tcW w:w="4680" w:type="dxa"/>
            <w:tcBorders>
              <w:top w:val="single" w:sz="4" w:space="0" w:color="auto"/>
              <w:left w:val="single" w:sz="4" w:space="0" w:color="auto"/>
              <w:bottom w:val="single" w:sz="4" w:space="0" w:color="auto"/>
              <w:right w:val="single" w:sz="4" w:space="0" w:color="auto"/>
            </w:tcBorders>
          </w:tcPr>
          <w:p w14:paraId="59BA5764" w14:textId="77777777" w:rsidR="00F329F1" w:rsidRPr="001319CE" w:rsidRDefault="00F329F1" w:rsidP="002F6114">
            <w:pPr>
              <w:autoSpaceDN w:val="0"/>
              <w:jc w:val="both"/>
              <w:textAlignment w:val="baseline"/>
              <w:rPr>
                <w:rFonts w:eastAsia="NSimSun"/>
                <w:sz w:val="22"/>
                <w:szCs w:val="22"/>
                <w:lang w:val="lt-LT" w:bidi="hi-IN"/>
              </w:rPr>
            </w:pPr>
            <w:r w:rsidRPr="001319CE">
              <w:rPr>
                <w:rFonts w:eastAsia="NSimSun"/>
                <w:sz w:val="22"/>
                <w:szCs w:val="22"/>
                <w:lang w:val="lt-LT" w:bidi="hi-IN"/>
              </w:rPr>
              <w:t>Modifikavimo reikalaujantys funkcionalumai negali viršyti 20 proc. visų reikalaujamų. Priešingu atveju tiekėjas turi pateikti argumentuotus įrodymus ir dokumentus (Projekto įgyvendinimo aprašymą, kuriame pateikiami trūkstamų modulių ir funkcijų specifikacijos realizavimo būdai), kad yra pajėgus įgyvendinti visus darbus laiku (</w:t>
            </w:r>
            <w:proofErr w:type="spellStart"/>
            <w:r w:rsidRPr="001319CE">
              <w:rPr>
                <w:rFonts w:eastAsia="NSimSun"/>
                <w:sz w:val="22"/>
                <w:szCs w:val="22"/>
                <w:lang w:val="lt-LT" w:bidi="hi-IN"/>
              </w:rPr>
              <w:t>t.y</w:t>
            </w:r>
            <w:proofErr w:type="spellEnd"/>
            <w:r w:rsidRPr="001319CE">
              <w:rPr>
                <w:rFonts w:eastAsia="NSimSun"/>
                <w:sz w:val="22"/>
                <w:szCs w:val="22"/>
                <w:lang w:val="lt-LT" w:bidi="hi-IN"/>
              </w:rPr>
              <w:t xml:space="preserve">. per IS diegimui skirtą laiką, iki bandomosios eksploatacijos etapo). </w:t>
            </w:r>
          </w:p>
          <w:p w14:paraId="5CB77450" w14:textId="77777777" w:rsidR="00F329F1" w:rsidRPr="001319CE" w:rsidRDefault="00F329F1" w:rsidP="002F6114">
            <w:pPr>
              <w:autoSpaceDN w:val="0"/>
              <w:jc w:val="both"/>
              <w:textAlignment w:val="baseline"/>
              <w:rPr>
                <w:rFonts w:eastAsia="NSimSun"/>
                <w:b/>
                <w:bCs/>
                <w:sz w:val="22"/>
                <w:szCs w:val="22"/>
                <w:lang w:val="lt-LT" w:bidi="hi-IN"/>
              </w:rPr>
            </w:pPr>
          </w:p>
        </w:tc>
        <w:tc>
          <w:tcPr>
            <w:tcW w:w="4953" w:type="dxa"/>
            <w:tcBorders>
              <w:top w:val="single" w:sz="4" w:space="0" w:color="auto"/>
              <w:left w:val="single" w:sz="4" w:space="0" w:color="auto"/>
              <w:bottom w:val="single" w:sz="4" w:space="0" w:color="auto"/>
              <w:right w:val="single" w:sz="4" w:space="0" w:color="auto"/>
            </w:tcBorders>
          </w:tcPr>
          <w:p w14:paraId="04F60ADD" w14:textId="77777777" w:rsidR="00F329F1" w:rsidRPr="001319CE" w:rsidRDefault="00F329F1" w:rsidP="002F6114">
            <w:pPr>
              <w:autoSpaceDN w:val="0"/>
              <w:jc w:val="both"/>
              <w:textAlignment w:val="baseline"/>
              <w:rPr>
                <w:rFonts w:eastAsia="NSimSun"/>
                <w:sz w:val="22"/>
                <w:szCs w:val="22"/>
                <w:lang w:val="lt-LT" w:bidi="hi-IN"/>
              </w:rPr>
            </w:pPr>
            <w:r w:rsidRPr="001319CE">
              <w:rPr>
                <w:rFonts w:eastAsia="NSimSun"/>
                <w:sz w:val="22"/>
                <w:szCs w:val="22"/>
                <w:lang w:val="lt-LT" w:bidi="hi-IN"/>
              </w:rPr>
              <w:t>Ar teisingai suprantame, kad reikalavimas "</w:t>
            </w:r>
            <w:r w:rsidRPr="001319CE">
              <w:rPr>
                <w:rFonts w:eastAsia="NSimSun"/>
                <w:i/>
                <w:iCs/>
                <w:sz w:val="22"/>
                <w:szCs w:val="22"/>
                <w:lang w:val="lt-LT" w:bidi="hi-IN"/>
              </w:rPr>
              <w:t>modifikavimo reikalaujantys funkcionalumai negali viršyti 20 % visų reikalavimų</w:t>
            </w:r>
            <w:r w:rsidRPr="001319CE">
              <w:rPr>
                <w:rFonts w:eastAsia="NSimSun"/>
                <w:sz w:val="22"/>
                <w:szCs w:val="22"/>
                <w:lang w:val="lt-LT" w:bidi="hi-IN"/>
              </w:rPr>
              <w:t>" yra keliamas visiems M (</w:t>
            </w:r>
            <w:proofErr w:type="spellStart"/>
            <w:r w:rsidRPr="001319CE">
              <w:rPr>
                <w:rFonts w:eastAsia="NSimSun"/>
                <w:sz w:val="22"/>
                <w:szCs w:val="22"/>
                <w:lang w:val="lt-LT" w:bidi="hi-IN"/>
              </w:rPr>
              <w:t>must</w:t>
            </w:r>
            <w:proofErr w:type="spellEnd"/>
            <w:r w:rsidRPr="001319CE">
              <w:rPr>
                <w:rFonts w:eastAsia="NSimSun"/>
                <w:sz w:val="22"/>
                <w:szCs w:val="22"/>
                <w:lang w:val="lt-LT" w:bidi="hi-IN"/>
              </w:rPr>
              <w:t xml:space="preserve"> </w:t>
            </w:r>
            <w:proofErr w:type="spellStart"/>
            <w:r w:rsidRPr="001319CE">
              <w:rPr>
                <w:rFonts w:eastAsia="NSimSun"/>
                <w:sz w:val="22"/>
                <w:szCs w:val="22"/>
                <w:lang w:val="lt-LT" w:bidi="hi-IN"/>
              </w:rPr>
              <w:t>have</w:t>
            </w:r>
            <w:proofErr w:type="spellEnd"/>
            <w:r w:rsidRPr="001319CE">
              <w:rPr>
                <w:rFonts w:eastAsia="NSimSun"/>
                <w:sz w:val="22"/>
                <w:szCs w:val="22"/>
                <w:lang w:val="lt-LT" w:bidi="hi-IN"/>
              </w:rPr>
              <w:t>) ir nekeliamas S (</w:t>
            </w:r>
            <w:proofErr w:type="spellStart"/>
            <w:r w:rsidRPr="001319CE">
              <w:rPr>
                <w:rFonts w:eastAsia="NSimSun"/>
                <w:sz w:val="22"/>
                <w:szCs w:val="22"/>
                <w:lang w:val="lt-LT" w:bidi="hi-IN"/>
              </w:rPr>
              <w:t>should</w:t>
            </w:r>
            <w:proofErr w:type="spellEnd"/>
            <w:r w:rsidRPr="001319CE">
              <w:rPr>
                <w:rFonts w:eastAsia="NSimSun"/>
                <w:sz w:val="22"/>
                <w:szCs w:val="22"/>
                <w:lang w:val="lt-LT" w:bidi="hi-IN"/>
              </w:rPr>
              <w:t xml:space="preserve"> </w:t>
            </w:r>
            <w:proofErr w:type="spellStart"/>
            <w:r w:rsidRPr="001319CE">
              <w:rPr>
                <w:rFonts w:eastAsia="NSimSun"/>
                <w:sz w:val="22"/>
                <w:szCs w:val="22"/>
                <w:lang w:val="lt-LT" w:bidi="hi-IN"/>
              </w:rPr>
              <w:t>have</w:t>
            </w:r>
            <w:proofErr w:type="spellEnd"/>
            <w:r w:rsidRPr="001319CE">
              <w:rPr>
                <w:rFonts w:eastAsia="NSimSun"/>
                <w:sz w:val="22"/>
                <w:szCs w:val="22"/>
                <w:lang w:val="lt-LT" w:bidi="hi-IN"/>
              </w:rPr>
              <w:t xml:space="preserve">)? </w:t>
            </w:r>
          </w:p>
          <w:p w14:paraId="6E0B860A" w14:textId="77777777" w:rsidR="00F329F1" w:rsidRPr="001319CE" w:rsidRDefault="00F329F1" w:rsidP="002F6114">
            <w:pPr>
              <w:autoSpaceDN w:val="0"/>
              <w:jc w:val="both"/>
              <w:textAlignment w:val="baseline"/>
              <w:rPr>
                <w:rFonts w:eastAsia="NSimSun"/>
                <w:sz w:val="22"/>
                <w:szCs w:val="22"/>
                <w:lang w:val="lt-LT" w:bidi="hi-IN"/>
              </w:rPr>
            </w:pPr>
            <w:r w:rsidRPr="001319CE">
              <w:rPr>
                <w:rFonts w:eastAsia="NSimSun"/>
                <w:sz w:val="22"/>
                <w:szCs w:val="22"/>
                <w:lang w:val="lt-LT" w:bidi="hi-IN"/>
              </w:rPr>
              <w:t>Manytina, kad Pirkimo dokumentai turėtų būti aiškinami taip, jog 20 % reikalavimas taikomas tik M (</w:t>
            </w:r>
            <w:proofErr w:type="spellStart"/>
            <w:r w:rsidRPr="001319CE">
              <w:rPr>
                <w:rFonts w:eastAsia="NSimSun"/>
                <w:sz w:val="22"/>
                <w:szCs w:val="22"/>
                <w:lang w:val="lt-LT" w:bidi="hi-IN"/>
              </w:rPr>
              <w:t>must</w:t>
            </w:r>
            <w:proofErr w:type="spellEnd"/>
            <w:r w:rsidRPr="001319CE">
              <w:rPr>
                <w:rFonts w:eastAsia="NSimSun"/>
                <w:sz w:val="22"/>
                <w:szCs w:val="22"/>
                <w:lang w:val="lt-LT" w:bidi="hi-IN"/>
              </w:rPr>
              <w:t xml:space="preserve"> </w:t>
            </w:r>
            <w:proofErr w:type="spellStart"/>
            <w:r w:rsidRPr="001319CE">
              <w:rPr>
                <w:rFonts w:eastAsia="NSimSun"/>
                <w:sz w:val="22"/>
                <w:szCs w:val="22"/>
                <w:lang w:val="lt-LT" w:bidi="hi-IN"/>
              </w:rPr>
              <w:t>have</w:t>
            </w:r>
            <w:proofErr w:type="spellEnd"/>
            <w:r w:rsidRPr="001319CE">
              <w:rPr>
                <w:rFonts w:eastAsia="NSimSun"/>
                <w:sz w:val="22"/>
                <w:szCs w:val="22"/>
                <w:lang w:val="lt-LT" w:bidi="hi-IN"/>
              </w:rPr>
              <w:t>) reikalavimams. Tai pagrindžiama Techninės specifikacijos nuostata, kurioje nurodyta, kad tik M (</w:t>
            </w:r>
            <w:proofErr w:type="spellStart"/>
            <w:r w:rsidRPr="001319CE">
              <w:rPr>
                <w:rFonts w:eastAsia="NSimSun"/>
                <w:sz w:val="22"/>
                <w:szCs w:val="22"/>
                <w:lang w:val="lt-LT" w:bidi="hi-IN"/>
              </w:rPr>
              <w:t>must</w:t>
            </w:r>
            <w:proofErr w:type="spellEnd"/>
            <w:r w:rsidRPr="001319CE">
              <w:rPr>
                <w:rFonts w:eastAsia="NSimSun"/>
                <w:sz w:val="22"/>
                <w:szCs w:val="22"/>
                <w:lang w:val="lt-LT" w:bidi="hi-IN"/>
              </w:rPr>
              <w:t xml:space="preserve"> </w:t>
            </w:r>
            <w:proofErr w:type="spellStart"/>
            <w:r w:rsidRPr="001319CE">
              <w:rPr>
                <w:rFonts w:eastAsia="NSimSun"/>
                <w:sz w:val="22"/>
                <w:szCs w:val="22"/>
                <w:lang w:val="lt-LT" w:bidi="hi-IN"/>
              </w:rPr>
              <w:t>have</w:t>
            </w:r>
            <w:proofErr w:type="spellEnd"/>
            <w:r w:rsidRPr="001319CE">
              <w:rPr>
                <w:rFonts w:eastAsia="NSimSun"/>
                <w:sz w:val="22"/>
                <w:szCs w:val="22"/>
                <w:lang w:val="lt-LT" w:bidi="hi-IN"/>
              </w:rPr>
              <w:t>) funkcionalumai yra būtini sistemos paleidimui, o S (</w:t>
            </w:r>
            <w:proofErr w:type="spellStart"/>
            <w:r w:rsidRPr="001319CE">
              <w:rPr>
                <w:rFonts w:eastAsia="NSimSun"/>
                <w:sz w:val="22"/>
                <w:szCs w:val="22"/>
                <w:lang w:val="lt-LT" w:bidi="hi-IN"/>
              </w:rPr>
              <w:t>should</w:t>
            </w:r>
            <w:proofErr w:type="spellEnd"/>
            <w:r w:rsidRPr="001319CE">
              <w:rPr>
                <w:rFonts w:eastAsia="NSimSun"/>
                <w:sz w:val="22"/>
                <w:szCs w:val="22"/>
                <w:lang w:val="lt-LT" w:bidi="hi-IN"/>
              </w:rPr>
              <w:t xml:space="preserve"> </w:t>
            </w:r>
            <w:proofErr w:type="spellStart"/>
            <w:r w:rsidRPr="001319CE">
              <w:rPr>
                <w:rFonts w:eastAsia="NSimSun"/>
                <w:sz w:val="22"/>
                <w:szCs w:val="22"/>
                <w:lang w:val="lt-LT" w:bidi="hi-IN"/>
              </w:rPr>
              <w:t>have</w:t>
            </w:r>
            <w:proofErr w:type="spellEnd"/>
            <w:r w:rsidRPr="001319CE">
              <w:rPr>
                <w:rFonts w:eastAsia="NSimSun"/>
                <w:sz w:val="22"/>
                <w:szCs w:val="22"/>
                <w:lang w:val="lt-LT" w:bidi="hi-IN"/>
              </w:rPr>
              <w:t>) reikalavimai gali būti įgyvendinti ir garantinio aptarnavimo metu. Todėl logiškai nebūtina, kad S (</w:t>
            </w:r>
            <w:proofErr w:type="spellStart"/>
            <w:r w:rsidRPr="001319CE">
              <w:rPr>
                <w:rFonts w:eastAsia="NSimSun"/>
                <w:sz w:val="22"/>
                <w:szCs w:val="22"/>
                <w:lang w:val="lt-LT" w:bidi="hi-IN"/>
              </w:rPr>
              <w:t>should</w:t>
            </w:r>
            <w:proofErr w:type="spellEnd"/>
            <w:r w:rsidRPr="001319CE">
              <w:rPr>
                <w:rFonts w:eastAsia="NSimSun"/>
                <w:sz w:val="22"/>
                <w:szCs w:val="22"/>
                <w:lang w:val="lt-LT" w:bidi="hi-IN"/>
              </w:rPr>
              <w:t xml:space="preserve"> </w:t>
            </w:r>
            <w:proofErr w:type="spellStart"/>
            <w:r w:rsidRPr="001319CE">
              <w:rPr>
                <w:rFonts w:eastAsia="NSimSun"/>
                <w:sz w:val="22"/>
                <w:szCs w:val="22"/>
                <w:lang w:val="lt-LT" w:bidi="hi-IN"/>
              </w:rPr>
              <w:t>have</w:t>
            </w:r>
            <w:proofErr w:type="spellEnd"/>
            <w:r w:rsidRPr="001319CE">
              <w:rPr>
                <w:rFonts w:eastAsia="NSimSun"/>
                <w:sz w:val="22"/>
                <w:szCs w:val="22"/>
                <w:lang w:val="lt-LT" w:bidi="hi-IN"/>
              </w:rPr>
              <w:t>) funkcionalumai jau būtų realizuoti sistemoje – jie gali būti modifikuojami ir įgyvendinami vėliau, net garantinio aptarnavimo laikotarpiu.</w:t>
            </w:r>
          </w:p>
          <w:p w14:paraId="4B2231F5" w14:textId="77777777" w:rsidR="00F329F1" w:rsidRPr="001319CE" w:rsidRDefault="00F329F1" w:rsidP="002F6114">
            <w:pPr>
              <w:autoSpaceDN w:val="0"/>
              <w:jc w:val="both"/>
              <w:textAlignment w:val="baseline"/>
              <w:rPr>
                <w:rFonts w:eastAsia="NSimSun"/>
                <w:b/>
                <w:bCs/>
                <w:sz w:val="22"/>
                <w:szCs w:val="22"/>
                <w:lang w:val="lt-LT" w:bidi="hi-IN"/>
              </w:rPr>
            </w:pPr>
          </w:p>
        </w:tc>
      </w:tr>
    </w:tbl>
    <w:p w14:paraId="464DA360" w14:textId="77777777" w:rsidR="00F329F1" w:rsidRPr="00F329F1" w:rsidRDefault="00F329F1" w:rsidP="00F329F1">
      <w:pPr>
        <w:ind w:firstLine="576"/>
        <w:rPr>
          <w:rFonts w:ascii="Times New Roman" w:hAnsi="Times New Roman" w:cs="Times New Roman"/>
        </w:rPr>
      </w:pPr>
    </w:p>
    <w:p w14:paraId="4580AE1A" w14:textId="5DE29E9F" w:rsidR="00F329F1" w:rsidRPr="00F329F1" w:rsidRDefault="00F329F1" w:rsidP="00F329F1">
      <w:pPr>
        <w:ind w:firstLine="567"/>
        <w:rPr>
          <w:rFonts w:ascii="Times New Roman" w:hAnsi="Times New Roman" w:cs="Times New Roman"/>
          <w:b/>
          <w:bCs/>
        </w:rPr>
      </w:pPr>
      <w:r w:rsidRPr="00F329F1">
        <w:rPr>
          <w:rFonts w:ascii="Times New Roman" w:hAnsi="Times New Roman" w:cs="Times New Roman"/>
          <w:b/>
          <w:bCs/>
        </w:rPr>
        <w:t>Atsakome:</w:t>
      </w:r>
    </w:p>
    <w:p w14:paraId="43394B46" w14:textId="77777777" w:rsidR="00BB4CD0" w:rsidRPr="00BB4CD0" w:rsidRDefault="00BB4CD0" w:rsidP="00BB4CD0">
      <w:pPr>
        <w:pStyle w:val="Betarp"/>
        <w:ind w:firstLine="567"/>
        <w:jc w:val="both"/>
        <w:rPr>
          <w:rFonts w:ascii="Times New Roman" w:hAnsi="Times New Roman" w:cs="Times New Roman"/>
          <w:bdr w:val="none" w:sz="0" w:space="0" w:color="auto" w:frame="1"/>
          <w:lang w:bidi="hi-IN"/>
        </w:rPr>
      </w:pPr>
      <w:r w:rsidRPr="00BB4CD0">
        <w:rPr>
          <w:rFonts w:ascii="Times New Roman" w:hAnsi="Times New Roman" w:cs="Times New Roman"/>
          <w:bdr w:val="none" w:sz="0" w:space="0" w:color="auto" w:frame="1"/>
          <w:lang w:bidi="hi-IN"/>
        </w:rPr>
        <w:t>Pabrėžiame, kad sąlyga „Modifikavimo reikalaujantys funkcionalumai negali viršyti 20 proc. visų reikalaujamų“ taikoma visiems (tiek M, tiek S) reikalavimams.</w:t>
      </w:r>
    </w:p>
    <w:p w14:paraId="080997B2" w14:textId="77777777" w:rsidR="00BB4CD0" w:rsidRPr="00BB4CD0" w:rsidRDefault="00BB4CD0" w:rsidP="00BB4CD0">
      <w:pPr>
        <w:pStyle w:val="Betarp"/>
        <w:ind w:firstLine="567"/>
        <w:jc w:val="both"/>
        <w:rPr>
          <w:rFonts w:ascii="Times New Roman" w:hAnsi="Times New Roman" w:cs="Times New Roman"/>
          <w:bdr w:val="none" w:sz="0" w:space="0" w:color="auto" w:frame="1"/>
          <w:lang w:bidi="hi-IN"/>
        </w:rPr>
      </w:pPr>
      <w:r w:rsidRPr="00BB4CD0">
        <w:rPr>
          <w:rFonts w:ascii="Times New Roman" w:hAnsi="Times New Roman" w:cs="Times New Roman"/>
          <w:bdr w:val="none" w:sz="0" w:space="0" w:color="auto" w:frame="1"/>
          <w:lang w:bidi="hi-IN"/>
        </w:rPr>
        <w:t>Paaiškiname, kad visi, tiek M, tiek S reikalavimai turės būti realizuoti sistemoje. Atkreipiame dėmesį į reikalavimą: „Jeigu nurodytas reikalavimas šio metu sistemoje nėra realizuotas, Tiekėjas turi tai aiškiai nurodyti ir patvirtinti, kad funkcionalumas bus įgyvendintas atlikus modifikacijas. Visos tokios modifikacijos turės būti atliktos sistemos diegimo metu iki sistemos starto.“, kuris nurodo visas modifikacijas (</w:t>
      </w:r>
      <w:proofErr w:type="spellStart"/>
      <w:r w:rsidRPr="00BB4CD0">
        <w:rPr>
          <w:rFonts w:ascii="Times New Roman" w:hAnsi="Times New Roman" w:cs="Times New Roman"/>
          <w:bdr w:val="none" w:sz="0" w:space="0" w:color="auto" w:frame="1"/>
          <w:lang w:bidi="hi-IN"/>
        </w:rPr>
        <w:t>t.y</w:t>
      </w:r>
      <w:proofErr w:type="spellEnd"/>
      <w:r w:rsidRPr="00BB4CD0">
        <w:rPr>
          <w:rFonts w:ascii="Times New Roman" w:hAnsi="Times New Roman" w:cs="Times New Roman"/>
          <w:bdr w:val="none" w:sz="0" w:space="0" w:color="auto" w:frame="1"/>
          <w:lang w:bidi="hi-IN"/>
        </w:rPr>
        <w:t>. reikalavimus aprašytus, tiek M, tiek S) užbaigti iki sistemos starto, o ne garantinio aptarnavimo metu.</w:t>
      </w:r>
    </w:p>
    <w:p w14:paraId="730D4447" w14:textId="77777777" w:rsidR="00BB4CD0" w:rsidRPr="00BB4CD0" w:rsidRDefault="00BB4CD0" w:rsidP="00BB4CD0">
      <w:pPr>
        <w:pStyle w:val="Betarp"/>
        <w:ind w:firstLine="567"/>
        <w:jc w:val="both"/>
        <w:rPr>
          <w:rFonts w:ascii="Times New Roman" w:hAnsi="Times New Roman" w:cs="Times New Roman"/>
          <w:bdr w:val="none" w:sz="0" w:space="0" w:color="auto" w:frame="1"/>
          <w:lang w:bidi="hi-IN"/>
        </w:rPr>
      </w:pPr>
      <w:r w:rsidRPr="00BB4CD0">
        <w:rPr>
          <w:rFonts w:ascii="Times New Roman" w:hAnsi="Times New Roman" w:cs="Times New Roman"/>
          <w:bdr w:val="none" w:sz="0" w:space="0" w:color="auto" w:frame="1"/>
          <w:lang w:bidi="hi-IN"/>
        </w:rPr>
        <w:t xml:space="preserve">Atkreipiame dėmesį, kad „modifikacija“ turėtų būti suprantama kaip veikla, reikalaujanti sukurti (programuoti) sistemos modulius ar komponentus, kurių sistemoje nėra visiškai. Jei sistemoje funkcionalumas ar galimybė yra, tačiau jos įdiegimui į gamybinę aplinką reikalinga atlikti konfigūravimą, parametrizavimą, išvaizdos (išdėstymo) ar šablonų keitimą – </w:t>
      </w:r>
      <w:proofErr w:type="spellStart"/>
      <w:r w:rsidRPr="00BB4CD0">
        <w:rPr>
          <w:rFonts w:ascii="Times New Roman" w:hAnsi="Times New Roman" w:cs="Times New Roman"/>
          <w:bdr w:val="none" w:sz="0" w:space="0" w:color="auto" w:frame="1"/>
          <w:lang w:bidi="hi-IN"/>
        </w:rPr>
        <w:t>t.y</w:t>
      </w:r>
      <w:proofErr w:type="spellEnd"/>
      <w:r w:rsidRPr="00BB4CD0">
        <w:rPr>
          <w:rFonts w:ascii="Times New Roman" w:hAnsi="Times New Roman" w:cs="Times New Roman"/>
          <w:bdr w:val="none" w:sz="0" w:space="0" w:color="auto" w:frame="1"/>
          <w:lang w:bidi="hi-IN"/>
        </w:rPr>
        <w:t>., bendru atveju, pritaikymą pagal perkančiosios organizacijos poreikius nustatytus sistemos diegimo metu (analizės etape), tokia veikla neturėtų būti Tiekėjo traktuojama ir pasiūlyme žymima kaip visos sistemos modifikavimas. (Pavyzdžiui, jei Tiekėjo siūloma sistema turi ataskaitų modulius, o konkrečių ataskaitų suformavimui renka visus reikiamus duomenis, tokie Techninės specifikacijos punktai laikytini egzistuojančiais, o ataskaitų pritaikymas pagal perkančiosios organizacijos poreikius nėra „sistemos modifikavimas“).</w:t>
      </w:r>
    </w:p>
    <w:p w14:paraId="5F0155F8" w14:textId="77777777" w:rsidR="00BB4CD0" w:rsidRPr="00BB4CD0" w:rsidRDefault="00BB4CD0" w:rsidP="00BB4CD0">
      <w:pPr>
        <w:pStyle w:val="Betarp"/>
        <w:ind w:firstLine="567"/>
        <w:jc w:val="both"/>
        <w:rPr>
          <w:rFonts w:ascii="Times New Roman" w:hAnsi="Times New Roman" w:cs="Times New Roman"/>
          <w:bdr w:val="none" w:sz="0" w:space="0" w:color="auto" w:frame="1"/>
        </w:rPr>
      </w:pPr>
      <w:r w:rsidRPr="00BB4CD0">
        <w:rPr>
          <w:rFonts w:ascii="Times New Roman" w:hAnsi="Times New Roman" w:cs="Times New Roman"/>
          <w:bdr w:val="none" w:sz="0" w:space="0" w:color="auto" w:frame="1"/>
          <w:lang w:bidi="hi-IN"/>
        </w:rPr>
        <w:t>Papildomai atkreipiame dėmesį, kad, atsiradus prievolei Tiekėjui teikti argumentuotus įrodymus ir dokumentus (Projekto įgyvendinimo aprašymą, kuriame pateikiami trūkstamų modulių ir funkcijų specifikacijos realizavimo būdai), juose Tiekėjas gali išdėstyti darbų grafiką, apimantį visų modifikacijom numatytų reikalavimų programavimą ir aktyvavimą tam skirtu laiku: pavyzdžiui, S reikalavimų (sistemos komponentų ar modulių) programavimą užbaigti iki sistemos starto, o aktyvavimą ir sukonfigūravimą (jei reikia) – sistemos garantinio aptarnavimo metu</w:t>
      </w:r>
      <w:r w:rsidRPr="00BB4CD0">
        <w:rPr>
          <w:rFonts w:ascii="Times New Roman" w:hAnsi="Times New Roman" w:cs="Times New Roman"/>
          <w:bdr w:val="none" w:sz="0" w:space="0" w:color="auto" w:frame="1"/>
        </w:rPr>
        <w:t xml:space="preserve">. </w:t>
      </w:r>
    </w:p>
    <w:p w14:paraId="1FDCB1FF" w14:textId="77777777" w:rsidR="00F329F1" w:rsidRDefault="00F329F1">
      <w:pPr>
        <w:rPr>
          <w:b/>
          <w:bCs/>
        </w:rPr>
      </w:pPr>
    </w:p>
    <w:p w14:paraId="0FA52ADC" w14:textId="77777777" w:rsidR="00834ACF" w:rsidRDefault="00834ACF">
      <w:pPr>
        <w:rPr>
          <w:b/>
          <w:bCs/>
        </w:rPr>
      </w:pPr>
    </w:p>
    <w:p w14:paraId="5474094F" w14:textId="77777777" w:rsidR="00834ACF" w:rsidRDefault="00834ACF">
      <w:pPr>
        <w:rPr>
          <w:b/>
          <w:bCs/>
        </w:rPr>
      </w:pPr>
    </w:p>
    <w:p w14:paraId="4C8F5119" w14:textId="77777777" w:rsidR="00834ACF" w:rsidRDefault="00834ACF">
      <w:pPr>
        <w:rPr>
          <w:b/>
          <w:bCs/>
        </w:rPr>
      </w:pPr>
    </w:p>
    <w:p w14:paraId="441D74C0" w14:textId="77777777" w:rsidR="00834ACF" w:rsidRDefault="00834ACF">
      <w:pPr>
        <w:rPr>
          <w:b/>
          <w:bCs/>
        </w:rPr>
      </w:pPr>
    </w:p>
    <w:p w14:paraId="7B796DA5" w14:textId="77777777" w:rsidR="00FA4C91" w:rsidRDefault="00FA4C91" w:rsidP="00FA4C91">
      <w:pPr>
        <w:pStyle w:val="Sraopastraipa"/>
        <w:numPr>
          <w:ilvl w:val="0"/>
          <w:numId w:val="2"/>
        </w:numPr>
        <w:jc w:val="both"/>
        <w:rPr>
          <w:rFonts w:ascii="Times New Roman" w:hAnsi="Times New Roman" w:cs="Times New Roman"/>
        </w:rPr>
      </w:pPr>
      <w:r>
        <w:rPr>
          <w:rFonts w:ascii="Times New Roman" w:hAnsi="Times New Roman" w:cs="Times New Roman"/>
        </w:rPr>
        <w:t xml:space="preserve">Klausimas </w:t>
      </w:r>
    </w:p>
    <w:p w14:paraId="0DADCEAC" w14:textId="54A2BE98" w:rsidR="00F329F1" w:rsidRPr="00FA4C91" w:rsidRDefault="00FA4C91" w:rsidP="00FA4C91">
      <w:pPr>
        <w:pStyle w:val="Sraopastraipa"/>
        <w:ind w:left="936"/>
        <w:jc w:val="both"/>
        <w:rPr>
          <w:rFonts w:ascii="Times New Roman" w:hAnsi="Times New Roman" w:cs="Times New Roman"/>
        </w:rPr>
      </w:pPr>
      <w:r>
        <w:rPr>
          <w:rFonts w:ascii="Times New Roman" w:hAnsi="Times New Roman" w:cs="Times New Roman"/>
        </w:rPr>
        <w:t>G</w:t>
      </w:r>
      <w:r w:rsidR="00834ACF" w:rsidRPr="00FA4C91">
        <w:rPr>
          <w:rFonts w:ascii="Times New Roman" w:hAnsi="Times New Roman" w:cs="Times New Roman"/>
        </w:rPr>
        <w:t>autas klausimas dėl pirkimo sąlygų priedo „Kvalifikacijos reikalavimai tiekėjui“</w:t>
      </w:r>
      <w:r>
        <w:rPr>
          <w:rFonts w:ascii="Times New Roman" w:hAnsi="Times New Roman" w:cs="Times New Roman"/>
        </w:rPr>
        <w:t>.</w:t>
      </w:r>
    </w:p>
    <w:p w14:paraId="2C28D94A" w14:textId="77777777" w:rsidR="00834ACF" w:rsidRPr="00F329F1" w:rsidRDefault="00834ACF" w:rsidP="00834ACF">
      <w:pPr>
        <w:ind w:firstLine="567"/>
        <w:rPr>
          <w:rFonts w:ascii="Times New Roman" w:hAnsi="Times New Roman" w:cs="Times New Roman"/>
          <w:b/>
          <w:bCs/>
        </w:rPr>
      </w:pPr>
      <w:r w:rsidRPr="00F329F1">
        <w:rPr>
          <w:rFonts w:ascii="Times New Roman" w:hAnsi="Times New Roman" w:cs="Times New Roman"/>
          <w:b/>
          <w:bCs/>
        </w:rPr>
        <w:t>Atsakome:</w:t>
      </w:r>
    </w:p>
    <w:p w14:paraId="715B6718" w14:textId="58F7B188" w:rsidR="00834ACF" w:rsidRDefault="00834ACF" w:rsidP="00834ACF">
      <w:pPr>
        <w:spacing w:after="0"/>
        <w:ind w:firstLine="720"/>
        <w:jc w:val="both"/>
        <w:rPr>
          <w:rFonts w:ascii="Times New Roman" w:hAnsi="Times New Roman" w:cs="Times New Roman"/>
          <w:bdr w:val="none" w:sz="0" w:space="0" w:color="auto" w:frame="1"/>
        </w:rPr>
      </w:pPr>
      <w:r>
        <w:rPr>
          <w:rFonts w:ascii="Times New Roman" w:hAnsi="Times New Roman" w:cs="Times New Roman"/>
          <w:bdr w:val="none" w:sz="0" w:space="0" w:color="auto" w:frame="1"/>
        </w:rPr>
        <w:t>Pirkimo sąlygų priede „Kvalifikacijos reikalavimai tiekėjui“ nurodyti subjektai, kurie turi atitikti reikalavimą.</w:t>
      </w:r>
    </w:p>
    <w:p w14:paraId="5A8F098A" w14:textId="77777777" w:rsidR="00834ACF" w:rsidRPr="001C6B1A" w:rsidRDefault="00834ACF" w:rsidP="00834ACF">
      <w:pPr>
        <w:spacing w:after="0"/>
        <w:ind w:firstLine="720"/>
        <w:jc w:val="both"/>
        <w:rPr>
          <w:rFonts w:ascii="Times New Roman" w:hAnsi="Times New Roman" w:cs="Times New Roman"/>
          <w:bdr w:val="none" w:sz="0" w:space="0" w:color="auto" w:frame="1"/>
        </w:rPr>
      </w:pPr>
      <w:r w:rsidRPr="001C6B1A">
        <w:rPr>
          <w:rFonts w:ascii="Times New Roman" w:hAnsi="Times New Roman" w:cs="Times New Roman"/>
          <w:bdr w:val="none" w:sz="0" w:space="0" w:color="auto" w:frame="1"/>
        </w:rPr>
        <w:t>Tai pat akcentuojame, kad 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7F9FAFD1" w14:textId="3BC2C1DF" w:rsidR="00834ACF" w:rsidRPr="009F2D82" w:rsidRDefault="005829A4" w:rsidP="005829A4">
      <w:pPr>
        <w:ind w:firstLine="720"/>
        <w:jc w:val="both"/>
        <w:rPr>
          <w:rFonts w:ascii="Times New Roman" w:hAnsi="Times New Roman" w:cs="Times New Roman"/>
        </w:rPr>
      </w:pPr>
      <w:r w:rsidRPr="009F2D82">
        <w:rPr>
          <w:rFonts w:ascii="Times New Roman" w:hAnsi="Times New Roman" w:cs="Times New Roman"/>
        </w:rPr>
        <w:t>Informuojame, kad pirkimo sąlygų priede „Pasiūlymo forma“  lape „Subtiekėjai ir priedai“ privaloma nurodyti ūkio subjektus, kurių pajėgumais tiekėjas remiasi, kad atitiktų keliamus kvalifikacijos reikalavimus.</w:t>
      </w:r>
    </w:p>
    <w:sectPr w:rsidR="00834ACF" w:rsidRPr="009F2D8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pitch w:val="default"/>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237AD"/>
    <w:multiLevelType w:val="hybridMultilevel"/>
    <w:tmpl w:val="8DB6F49A"/>
    <w:lvl w:ilvl="0" w:tplc="7FAA0300">
      <w:start w:val="1"/>
      <w:numFmt w:val="decimal"/>
      <w:lvlText w:val="%1."/>
      <w:lvlJc w:val="left"/>
      <w:pPr>
        <w:ind w:left="936" w:hanging="360"/>
      </w:pPr>
      <w:rPr>
        <w:rFonts w:hint="default"/>
      </w:rPr>
    </w:lvl>
    <w:lvl w:ilvl="1" w:tplc="04270019" w:tentative="1">
      <w:start w:val="1"/>
      <w:numFmt w:val="lowerLetter"/>
      <w:lvlText w:val="%2."/>
      <w:lvlJc w:val="left"/>
      <w:pPr>
        <w:ind w:left="1656" w:hanging="360"/>
      </w:pPr>
    </w:lvl>
    <w:lvl w:ilvl="2" w:tplc="0427001B" w:tentative="1">
      <w:start w:val="1"/>
      <w:numFmt w:val="lowerRoman"/>
      <w:lvlText w:val="%3."/>
      <w:lvlJc w:val="right"/>
      <w:pPr>
        <w:ind w:left="2376" w:hanging="180"/>
      </w:pPr>
    </w:lvl>
    <w:lvl w:ilvl="3" w:tplc="0427000F" w:tentative="1">
      <w:start w:val="1"/>
      <w:numFmt w:val="decimal"/>
      <w:lvlText w:val="%4."/>
      <w:lvlJc w:val="left"/>
      <w:pPr>
        <w:ind w:left="3096" w:hanging="360"/>
      </w:pPr>
    </w:lvl>
    <w:lvl w:ilvl="4" w:tplc="04270019" w:tentative="1">
      <w:start w:val="1"/>
      <w:numFmt w:val="lowerLetter"/>
      <w:lvlText w:val="%5."/>
      <w:lvlJc w:val="left"/>
      <w:pPr>
        <w:ind w:left="3816" w:hanging="360"/>
      </w:pPr>
    </w:lvl>
    <w:lvl w:ilvl="5" w:tplc="0427001B" w:tentative="1">
      <w:start w:val="1"/>
      <w:numFmt w:val="lowerRoman"/>
      <w:lvlText w:val="%6."/>
      <w:lvlJc w:val="right"/>
      <w:pPr>
        <w:ind w:left="4536" w:hanging="180"/>
      </w:pPr>
    </w:lvl>
    <w:lvl w:ilvl="6" w:tplc="0427000F" w:tentative="1">
      <w:start w:val="1"/>
      <w:numFmt w:val="decimal"/>
      <w:lvlText w:val="%7."/>
      <w:lvlJc w:val="left"/>
      <w:pPr>
        <w:ind w:left="5256" w:hanging="360"/>
      </w:pPr>
    </w:lvl>
    <w:lvl w:ilvl="7" w:tplc="04270019" w:tentative="1">
      <w:start w:val="1"/>
      <w:numFmt w:val="lowerLetter"/>
      <w:lvlText w:val="%8."/>
      <w:lvlJc w:val="left"/>
      <w:pPr>
        <w:ind w:left="5976" w:hanging="360"/>
      </w:pPr>
    </w:lvl>
    <w:lvl w:ilvl="8" w:tplc="0427001B" w:tentative="1">
      <w:start w:val="1"/>
      <w:numFmt w:val="lowerRoman"/>
      <w:lvlText w:val="%9."/>
      <w:lvlJc w:val="right"/>
      <w:pPr>
        <w:ind w:left="6696" w:hanging="180"/>
      </w:pPr>
    </w:lvl>
  </w:abstractNum>
  <w:abstractNum w:abstractNumId="1" w15:restartNumberingAfterBreak="0">
    <w:nsid w:val="30B261DC"/>
    <w:multiLevelType w:val="hybridMultilevel"/>
    <w:tmpl w:val="E0A233A8"/>
    <w:lvl w:ilvl="0" w:tplc="E256A45C">
      <w:start w:val="1"/>
      <w:numFmt w:val="decimal"/>
      <w:lvlText w:val="%1."/>
      <w:lvlJc w:val="left"/>
      <w:pPr>
        <w:ind w:left="936" w:hanging="360"/>
      </w:pPr>
      <w:rPr>
        <w:rFonts w:hint="default"/>
      </w:rPr>
    </w:lvl>
    <w:lvl w:ilvl="1" w:tplc="04270019" w:tentative="1">
      <w:start w:val="1"/>
      <w:numFmt w:val="lowerLetter"/>
      <w:lvlText w:val="%2."/>
      <w:lvlJc w:val="left"/>
      <w:pPr>
        <w:ind w:left="1656" w:hanging="360"/>
      </w:pPr>
    </w:lvl>
    <w:lvl w:ilvl="2" w:tplc="0427001B" w:tentative="1">
      <w:start w:val="1"/>
      <w:numFmt w:val="lowerRoman"/>
      <w:lvlText w:val="%3."/>
      <w:lvlJc w:val="right"/>
      <w:pPr>
        <w:ind w:left="2376" w:hanging="180"/>
      </w:pPr>
    </w:lvl>
    <w:lvl w:ilvl="3" w:tplc="0427000F" w:tentative="1">
      <w:start w:val="1"/>
      <w:numFmt w:val="decimal"/>
      <w:lvlText w:val="%4."/>
      <w:lvlJc w:val="left"/>
      <w:pPr>
        <w:ind w:left="3096" w:hanging="360"/>
      </w:pPr>
    </w:lvl>
    <w:lvl w:ilvl="4" w:tplc="04270019" w:tentative="1">
      <w:start w:val="1"/>
      <w:numFmt w:val="lowerLetter"/>
      <w:lvlText w:val="%5."/>
      <w:lvlJc w:val="left"/>
      <w:pPr>
        <w:ind w:left="3816" w:hanging="360"/>
      </w:pPr>
    </w:lvl>
    <w:lvl w:ilvl="5" w:tplc="0427001B" w:tentative="1">
      <w:start w:val="1"/>
      <w:numFmt w:val="lowerRoman"/>
      <w:lvlText w:val="%6."/>
      <w:lvlJc w:val="right"/>
      <w:pPr>
        <w:ind w:left="4536" w:hanging="180"/>
      </w:pPr>
    </w:lvl>
    <w:lvl w:ilvl="6" w:tplc="0427000F" w:tentative="1">
      <w:start w:val="1"/>
      <w:numFmt w:val="decimal"/>
      <w:lvlText w:val="%7."/>
      <w:lvlJc w:val="left"/>
      <w:pPr>
        <w:ind w:left="5256" w:hanging="360"/>
      </w:pPr>
    </w:lvl>
    <w:lvl w:ilvl="7" w:tplc="04270019" w:tentative="1">
      <w:start w:val="1"/>
      <w:numFmt w:val="lowerLetter"/>
      <w:lvlText w:val="%8."/>
      <w:lvlJc w:val="left"/>
      <w:pPr>
        <w:ind w:left="5976" w:hanging="360"/>
      </w:pPr>
    </w:lvl>
    <w:lvl w:ilvl="8" w:tplc="0427001B" w:tentative="1">
      <w:start w:val="1"/>
      <w:numFmt w:val="lowerRoman"/>
      <w:lvlText w:val="%9."/>
      <w:lvlJc w:val="right"/>
      <w:pPr>
        <w:ind w:left="6696" w:hanging="180"/>
      </w:pPr>
    </w:lvl>
  </w:abstractNum>
  <w:num w:numId="1" w16cid:durableId="199634431">
    <w:abstractNumId w:val="0"/>
  </w:num>
  <w:num w:numId="2" w16cid:durableId="48262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8D0"/>
    <w:rsid w:val="00175A17"/>
    <w:rsid w:val="003548D0"/>
    <w:rsid w:val="00505B38"/>
    <w:rsid w:val="005829A4"/>
    <w:rsid w:val="005C10C4"/>
    <w:rsid w:val="0060298E"/>
    <w:rsid w:val="00640139"/>
    <w:rsid w:val="008154AB"/>
    <w:rsid w:val="00834ACF"/>
    <w:rsid w:val="009F2D82"/>
    <w:rsid w:val="00B85BA5"/>
    <w:rsid w:val="00BB4CD0"/>
    <w:rsid w:val="00F329F1"/>
    <w:rsid w:val="00FA4C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EF2FE"/>
  <w15:chartTrackingRefBased/>
  <w15:docId w15:val="{2F8A88C4-205C-49AD-89AB-11CB0A43C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29F1"/>
  </w:style>
  <w:style w:type="paragraph" w:styleId="Antrat1">
    <w:name w:val="heading 1"/>
    <w:basedOn w:val="prastasis"/>
    <w:next w:val="prastasis"/>
    <w:link w:val="Antrat1Diagrama"/>
    <w:uiPriority w:val="9"/>
    <w:qFormat/>
    <w:rsid w:val="003548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548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548D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548D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548D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548D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548D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548D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548D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548D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548D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548D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548D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548D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548D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548D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548D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548D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548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548D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548D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548D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548D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548D0"/>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Sąrašo pastraipa2"/>
    <w:basedOn w:val="prastasis"/>
    <w:uiPriority w:val="34"/>
    <w:qFormat/>
    <w:rsid w:val="003548D0"/>
    <w:pPr>
      <w:ind w:left="720"/>
      <w:contextualSpacing/>
    </w:pPr>
  </w:style>
  <w:style w:type="character" w:styleId="Rykuspabraukimas">
    <w:name w:val="Intense Emphasis"/>
    <w:basedOn w:val="Numatytasispastraiposriftas"/>
    <w:uiPriority w:val="21"/>
    <w:qFormat/>
    <w:rsid w:val="003548D0"/>
    <w:rPr>
      <w:i/>
      <w:iCs/>
      <w:color w:val="2F5496" w:themeColor="accent1" w:themeShade="BF"/>
    </w:rPr>
  </w:style>
  <w:style w:type="paragraph" w:styleId="Iskirtacitata">
    <w:name w:val="Intense Quote"/>
    <w:basedOn w:val="prastasis"/>
    <w:next w:val="prastasis"/>
    <w:link w:val="IskirtacitataDiagrama"/>
    <w:uiPriority w:val="30"/>
    <w:qFormat/>
    <w:rsid w:val="003548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548D0"/>
    <w:rPr>
      <w:i/>
      <w:iCs/>
      <w:color w:val="2F5496" w:themeColor="accent1" w:themeShade="BF"/>
    </w:rPr>
  </w:style>
  <w:style w:type="character" w:styleId="Rykinuoroda">
    <w:name w:val="Intense Reference"/>
    <w:basedOn w:val="Numatytasispastraiposriftas"/>
    <w:uiPriority w:val="32"/>
    <w:qFormat/>
    <w:rsid w:val="003548D0"/>
    <w:rPr>
      <w:b/>
      <w:bCs/>
      <w:smallCaps/>
      <w:color w:val="2F5496" w:themeColor="accent1" w:themeShade="BF"/>
      <w:spacing w:val="5"/>
    </w:rPr>
  </w:style>
  <w:style w:type="character" w:customStyle="1" w:styleId="t51">
    <w:name w:val="t51"/>
    <w:basedOn w:val="Numatytasispastraiposriftas"/>
    <w:rsid w:val="00F329F1"/>
  </w:style>
  <w:style w:type="table" w:styleId="Lentelstinklelis">
    <w:name w:val="Table Grid"/>
    <w:basedOn w:val="prastojilentel"/>
    <w:uiPriority w:val="39"/>
    <w:rsid w:val="00F329F1"/>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F329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2938</Words>
  <Characters>1676</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Baltrušaitė</dc:creator>
  <cp:keywords/>
  <dc:description/>
  <cp:lastModifiedBy>Aušra Baltrušaitė</cp:lastModifiedBy>
  <cp:revision>6</cp:revision>
  <dcterms:created xsi:type="dcterms:W3CDTF">2025-01-17T12:38:00Z</dcterms:created>
  <dcterms:modified xsi:type="dcterms:W3CDTF">2025-01-21T10:03:00Z</dcterms:modified>
</cp:coreProperties>
</file>