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55B9" w14:textId="77777777" w:rsidR="00450A60" w:rsidRPr="008F2C74" w:rsidRDefault="00E8287E" w:rsidP="00450A60">
      <w:pPr>
        <w:jc w:val="right"/>
        <w:rPr>
          <w:rFonts w:eastAsiaTheme="minorEastAsia"/>
          <w:i/>
          <w:iCs/>
          <w:sz w:val="21"/>
          <w:szCs w:val="21"/>
          <w:lang w:eastAsia="lt-LT"/>
        </w:rPr>
      </w:pPr>
      <w:r w:rsidRPr="008F2C74">
        <w:rPr>
          <w:rFonts w:eastAsiaTheme="minorEastAsia"/>
          <w:i/>
          <w:iCs/>
          <w:sz w:val="21"/>
          <w:szCs w:val="21"/>
          <w:lang w:eastAsia="lt-LT"/>
        </w:rPr>
        <w:t xml:space="preserve">Pirkimo sąlygų 2 priedas „Tiekėjų kvalifikacijos reikalavimai </w:t>
      </w:r>
    </w:p>
    <w:p w14:paraId="1EF4B659" w14:textId="3937D8E9" w:rsidR="00E8287E" w:rsidRPr="008F2C74" w:rsidRDefault="00E8287E" w:rsidP="00450A60">
      <w:pPr>
        <w:jc w:val="right"/>
        <w:rPr>
          <w:rFonts w:eastAsiaTheme="minorEastAsia"/>
          <w:i/>
          <w:iCs/>
          <w:sz w:val="21"/>
          <w:szCs w:val="21"/>
          <w:lang w:eastAsia="lt-LT"/>
        </w:rPr>
      </w:pPr>
      <w:r w:rsidRPr="008F2C74">
        <w:rPr>
          <w:rFonts w:eastAsiaTheme="minorEastAsia"/>
          <w:i/>
          <w:iCs/>
          <w:sz w:val="21"/>
          <w:szCs w:val="21"/>
          <w:lang w:eastAsia="lt-LT"/>
        </w:rPr>
        <w:t>ir reikalaujami aplinkos apsaugos vadybos sistem</w:t>
      </w:r>
      <w:r w:rsidR="00CE5A9A" w:rsidRPr="008F2C74">
        <w:rPr>
          <w:rFonts w:eastAsiaTheme="minorEastAsia"/>
          <w:i/>
          <w:iCs/>
          <w:sz w:val="21"/>
          <w:szCs w:val="21"/>
          <w:lang w:eastAsia="lt-LT"/>
        </w:rPr>
        <w:t>os</w:t>
      </w:r>
      <w:r w:rsidRPr="008F2C74">
        <w:rPr>
          <w:rFonts w:eastAsiaTheme="minorEastAsia"/>
          <w:i/>
          <w:iCs/>
          <w:sz w:val="21"/>
          <w:szCs w:val="21"/>
          <w:lang w:eastAsia="lt-LT"/>
        </w:rPr>
        <w:t xml:space="preserve"> standartai“</w:t>
      </w:r>
    </w:p>
    <w:p w14:paraId="2D042EC7" w14:textId="77777777" w:rsidR="00E8287E" w:rsidRPr="008F2C74" w:rsidRDefault="00E8287E" w:rsidP="00E8287E">
      <w:pPr>
        <w:spacing w:before="60" w:after="60" w:line="256" w:lineRule="auto"/>
        <w:ind w:firstLine="697"/>
        <w:jc w:val="center"/>
        <w:rPr>
          <w:rFonts w:eastAsiaTheme="minorHAnsi"/>
          <w:b/>
          <w:bCs/>
          <w:sz w:val="21"/>
          <w:szCs w:val="21"/>
          <w:lang w:eastAsia="lt-LT"/>
        </w:rPr>
      </w:pPr>
    </w:p>
    <w:p w14:paraId="148355D9" w14:textId="2E892781" w:rsidR="00E8287E" w:rsidRPr="008F2C74" w:rsidRDefault="00E8287E" w:rsidP="00E8287E">
      <w:pPr>
        <w:spacing w:line="300" w:lineRule="auto"/>
        <w:ind w:firstLine="697"/>
        <w:jc w:val="center"/>
        <w:rPr>
          <w:b/>
          <w:bCs/>
          <w:smallCaps/>
          <w:szCs w:val="24"/>
          <w:lang w:eastAsia="lt-LT"/>
        </w:rPr>
      </w:pPr>
      <w:r w:rsidRPr="008F2C74">
        <w:rPr>
          <w:b/>
          <w:bCs/>
          <w:smallCaps/>
          <w:szCs w:val="24"/>
          <w:lang w:eastAsia="lt-LT"/>
        </w:rPr>
        <w:t>TIEKĖJŲ KVALIFIKACIJOS REIKALAVIMAI IR REIKALAVIMAI LAIKYTIS APLINKOS APSAUGOS VADYBOS SISTEMOS STANDARTŲ</w:t>
      </w:r>
    </w:p>
    <w:p w14:paraId="0D81193C" w14:textId="77777777" w:rsidR="00E8287E" w:rsidRPr="00E8287E" w:rsidRDefault="00E8287E" w:rsidP="00E8287E">
      <w:pPr>
        <w:spacing w:line="300" w:lineRule="auto"/>
        <w:ind w:firstLine="697"/>
        <w:jc w:val="center"/>
        <w:rPr>
          <w:smallCaps/>
          <w:szCs w:val="24"/>
          <w:lang w:eastAsia="lt-LT"/>
        </w:rPr>
      </w:pPr>
    </w:p>
    <w:p w14:paraId="2CB1DD80" w14:textId="1AC0C397" w:rsidR="00E8287E" w:rsidRPr="00E8287E" w:rsidRDefault="00E8287E" w:rsidP="00E8287E">
      <w:pPr>
        <w:numPr>
          <w:ilvl w:val="0"/>
          <w:numId w:val="24"/>
        </w:numPr>
        <w:spacing w:line="300" w:lineRule="auto"/>
        <w:ind w:left="0" w:firstLine="851"/>
        <w:contextualSpacing/>
        <w:rPr>
          <w:sz w:val="22"/>
          <w:szCs w:val="22"/>
          <w:lang w:eastAsia="lt-LT"/>
        </w:rPr>
      </w:pPr>
      <w:r w:rsidRPr="00E8287E">
        <w:rPr>
          <w:sz w:val="22"/>
          <w:szCs w:val="22"/>
          <w:lang w:eastAsia="lt-LT"/>
        </w:rPr>
        <w:t xml:space="preserve">Tiekėjo kvalifikacija turi </w:t>
      </w:r>
      <w:r w:rsidRPr="00E35614">
        <w:rPr>
          <w:szCs w:val="24"/>
          <w:lang w:eastAsia="lt-LT"/>
        </w:rPr>
        <w:t xml:space="preserve">atitikti </w:t>
      </w:r>
      <w:bookmarkStart w:id="0" w:name="_Hlk188443815"/>
      <w:r w:rsidR="00E35614" w:rsidRPr="00E35614">
        <w:rPr>
          <w:szCs w:val="24"/>
          <w:lang w:eastAsia="lt-LT"/>
        </w:rPr>
        <w:t>(</w:t>
      </w:r>
      <w:r w:rsidR="00E35614" w:rsidRPr="00E35614">
        <w:rPr>
          <w:szCs w:val="24"/>
        </w:rPr>
        <w:t>I, II, III ir IV objektų dalims)</w:t>
      </w:r>
      <w:bookmarkEnd w:id="0"/>
      <w:r w:rsidR="00E35614" w:rsidRPr="00E35614">
        <w:rPr>
          <w:sz w:val="22"/>
          <w:szCs w:val="22"/>
          <w:lang w:eastAsia="lt-LT"/>
        </w:rPr>
        <w:t xml:space="preserve"> </w:t>
      </w:r>
      <w:r w:rsidRPr="00E8287E">
        <w:rPr>
          <w:sz w:val="22"/>
          <w:szCs w:val="22"/>
          <w:lang w:eastAsia="lt-LT"/>
        </w:rPr>
        <w:t xml:space="preserve">šiame priede nustatytus reikalavimus kvalifikacijai. </w:t>
      </w:r>
    </w:p>
    <w:p w14:paraId="3E8B5503" w14:textId="77777777" w:rsidR="00E8287E" w:rsidRPr="00E8287E" w:rsidRDefault="00E8287E" w:rsidP="00E8287E">
      <w:pPr>
        <w:rPr>
          <w:sz w:val="22"/>
          <w:szCs w:val="22"/>
          <w:lang w:eastAsia="lt-LT"/>
        </w:rPr>
      </w:pPr>
    </w:p>
    <w:p w14:paraId="024921F2" w14:textId="77D458CB" w:rsidR="00E8287E" w:rsidRPr="00E8287E" w:rsidRDefault="00E8287E" w:rsidP="00E8287E">
      <w:pPr>
        <w:spacing w:line="256" w:lineRule="auto"/>
        <w:ind w:firstLine="697"/>
        <w:jc w:val="center"/>
        <w:rPr>
          <w:b/>
          <w:bCs/>
          <w:sz w:val="22"/>
          <w:szCs w:val="22"/>
          <w:lang w:eastAsia="lt-LT"/>
        </w:rPr>
      </w:pPr>
      <w:r w:rsidRPr="00E8287E">
        <w:rPr>
          <w:rFonts w:eastAsiaTheme="minorEastAsia"/>
          <w:b/>
          <w:bCs/>
          <w:sz w:val="22"/>
          <w:szCs w:val="22"/>
          <w:lang w:eastAsia="lt-LT"/>
        </w:rPr>
        <w:t xml:space="preserve">Tiekėjų kvalifikacijos reikalavimai </w:t>
      </w:r>
    </w:p>
    <w:tbl>
      <w:tblPr>
        <w:tblStyle w:val="Lentelstinklelis2"/>
        <w:tblW w:w="0" w:type="auto"/>
        <w:tblInd w:w="0" w:type="dxa"/>
        <w:tblLook w:val="04A0" w:firstRow="1" w:lastRow="0" w:firstColumn="1" w:lastColumn="0" w:noHBand="0" w:noVBand="1"/>
      </w:tblPr>
      <w:tblGrid>
        <w:gridCol w:w="559"/>
        <w:gridCol w:w="2555"/>
        <w:gridCol w:w="3685"/>
        <w:gridCol w:w="2829"/>
      </w:tblGrid>
      <w:tr w:rsidR="00E8287E" w:rsidRPr="00E8287E" w14:paraId="5D216DBE" w14:textId="77777777" w:rsidTr="00C42F04">
        <w:tc>
          <w:tcPr>
            <w:tcW w:w="559" w:type="dxa"/>
            <w:shd w:val="clear" w:color="auto" w:fill="D9D9D9" w:themeFill="background1" w:themeFillShade="D9"/>
            <w:vAlign w:val="center"/>
          </w:tcPr>
          <w:p w14:paraId="66D79131" w14:textId="77777777" w:rsidR="00FB7A63" w:rsidRDefault="00E8287E" w:rsidP="00FB7A63">
            <w:pPr>
              <w:tabs>
                <w:tab w:val="left" w:pos="720"/>
              </w:tabs>
              <w:ind w:firstLine="0"/>
              <w:rPr>
                <w:rFonts w:eastAsiaTheme="minorEastAsia"/>
                <w:b/>
                <w:bCs/>
                <w:sz w:val="21"/>
                <w:szCs w:val="21"/>
              </w:rPr>
            </w:pPr>
            <w:r w:rsidRPr="00E8287E">
              <w:rPr>
                <w:rFonts w:eastAsiaTheme="minorEastAsia"/>
                <w:b/>
                <w:bCs/>
                <w:sz w:val="21"/>
                <w:szCs w:val="21"/>
              </w:rPr>
              <w:t xml:space="preserve">Eil. </w:t>
            </w:r>
          </w:p>
          <w:p w14:paraId="4AA7E9D3" w14:textId="54875513" w:rsidR="00E8287E" w:rsidRPr="00E8287E" w:rsidRDefault="00E8287E" w:rsidP="00FB7A63">
            <w:pPr>
              <w:tabs>
                <w:tab w:val="left" w:pos="720"/>
              </w:tabs>
              <w:ind w:firstLine="0"/>
              <w:rPr>
                <w:b/>
                <w:bCs/>
                <w:sz w:val="20"/>
              </w:rPr>
            </w:pPr>
            <w:r w:rsidRPr="00E8287E">
              <w:rPr>
                <w:rFonts w:eastAsiaTheme="minorEastAsia"/>
                <w:b/>
                <w:bCs/>
                <w:sz w:val="21"/>
                <w:szCs w:val="21"/>
              </w:rPr>
              <w:t>Nr.</w:t>
            </w:r>
          </w:p>
        </w:tc>
        <w:tc>
          <w:tcPr>
            <w:tcW w:w="2555" w:type="dxa"/>
            <w:shd w:val="clear" w:color="auto" w:fill="D9D9D9" w:themeFill="background1" w:themeFillShade="D9"/>
            <w:vAlign w:val="center"/>
          </w:tcPr>
          <w:p w14:paraId="26C2243D"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Kvalifikacijos reikalavimas</w:t>
            </w:r>
            <w:r w:rsidRPr="00E8287E">
              <w:rPr>
                <w:rFonts w:eastAsiaTheme="minorEastAsia"/>
                <w:b/>
                <w:bCs/>
                <w:color w:val="000000"/>
                <w:sz w:val="21"/>
                <w:szCs w:val="21"/>
                <w:vertAlign w:val="superscript"/>
              </w:rPr>
              <w:footnoteReference w:id="1"/>
            </w:r>
          </w:p>
        </w:tc>
        <w:tc>
          <w:tcPr>
            <w:tcW w:w="3685" w:type="dxa"/>
            <w:shd w:val="clear" w:color="auto" w:fill="D9D9D9" w:themeFill="background1" w:themeFillShade="D9"/>
            <w:vAlign w:val="center"/>
          </w:tcPr>
          <w:p w14:paraId="00F507D0" w14:textId="77777777" w:rsidR="00E8287E" w:rsidRPr="00E8287E" w:rsidRDefault="00E8287E" w:rsidP="00FB7A63">
            <w:pPr>
              <w:tabs>
                <w:tab w:val="left" w:pos="720"/>
              </w:tabs>
              <w:ind w:firstLine="0"/>
              <w:jc w:val="center"/>
              <w:rPr>
                <w:b/>
                <w:bCs/>
                <w:sz w:val="20"/>
              </w:rPr>
            </w:pPr>
            <w:r w:rsidRPr="00E8287E">
              <w:rPr>
                <w:rFonts w:eastAsiaTheme="minorEastAsia"/>
                <w:b/>
                <w:bCs/>
                <w:color w:val="000000"/>
                <w:sz w:val="21"/>
                <w:szCs w:val="21"/>
              </w:rPr>
              <w:t>Atitiktį reikalavimui įrodantys  dokumentai</w:t>
            </w:r>
          </w:p>
        </w:tc>
        <w:tc>
          <w:tcPr>
            <w:tcW w:w="2829" w:type="dxa"/>
            <w:shd w:val="clear" w:color="auto" w:fill="D9D9D9" w:themeFill="background1" w:themeFillShade="D9"/>
          </w:tcPr>
          <w:p w14:paraId="53396D42" w14:textId="77777777" w:rsidR="00E8287E" w:rsidRPr="00E8287E" w:rsidRDefault="00E8287E" w:rsidP="00FB7A63">
            <w:pPr>
              <w:autoSpaceDE w:val="0"/>
              <w:autoSpaceDN w:val="0"/>
              <w:adjustRightInd w:val="0"/>
              <w:spacing w:line="300" w:lineRule="auto"/>
              <w:ind w:firstLine="0"/>
              <w:jc w:val="center"/>
              <w:rPr>
                <w:rFonts w:eastAsiaTheme="minorEastAsia"/>
                <w:b/>
                <w:bCs/>
                <w:color w:val="000000"/>
                <w:sz w:val="21"/>
                <w:szCs w:val="21"/>
              </w:rPr>
            </w:pPr>
            <w:r w:rsidRPr="00E8287E">
              <w:rPr>
                <w:rFonts w:eastAsiaTheme="minorEastAsia"/>
                <w:b/>
                <w:bCs/>
                <w:color w:val="000000"/>
                <w:sz w:val="21"/>
                <w:szCs w:val="21"/>
              </w:rPr>
              <w:t>Subjektas, kuris turi atitikti reikalavimą</w:t>
            </w:r>
          </w:p>
        </w:tc>
      </w:tr>
      <w:tr w:rsidR="00E8287E" w:rsidRPr="00E8287E" w14:paraId="3EEB62BA" w14:textId="77777777" w:rsidTr="00C42F04">
        <w:tc>
          <w:tcPr>
            <w:tcW w:w="9628" w:type="dxa"/>
            <w:gridSpan w:val="4"/>
            <w:shd w:val="clear" w:color="auto" w:fill="D9D9D9" w:themeFill="background1" w:themeFillShade="D9"/>
          </w:tcPr>
          <w:p w14:paraId="667C057C" w14:textId="77777777" w:rsidR="00E8287E" w:rsidRPr="00E8287E" w:rsidRDefault="00E8287E" w:rsidP="00FB7A63">
            <w:pPr>
              <w:tabs>
                <w:tab w:val="left" w:pos="720"/>
              </w:tabs>
              <w:ind w:firstLine="0"/>
              <w:rPr>
                <w:b/>
                <w:bCs/>
                <w:sz w:val="22"/>
                <w:szCs w:val="22"/>
              </w:rPr>
            </w:pPr>
            <w:r w:rsidRPr="00E8287E">
              <w:rPr>
                <w:b/>
                <w:bCs/>
                <w:sz w:val="22"/>
                <w:szCs w:val="22"/>
              </w:rPr>
              <w:t>Techninis ir profesinis pajėgumas</w:t>
            </w:r>
          </w:p>
        </w:tc>
      </w:tr>
      <w:tr w:rsidR="00E8287E" w:rsidRPr="00E8287E" w14:paraId="676A4447" w14:textId="77777777" w:rsidTr="00881A9A">
        <w:tc>
          <w:tcPr>
            <w:tcW w:w="559" w:type="dxa"/>
          </w:tcPr>
          <w:p w14:paraId="67375D00" w14:textId="77777777" w:rsidR="00E8287E" w:rsidRPr="00E8287E" w:rsidRDefault="00E8287E" w:rsidP="00FB7A63">
            <w:pPr>
              <w:tabs>
                <w:tab w:val="left" w:pos="720"/>
              </w:tabs>
              <w:ind w:firstLine="0"/>
              <w:rPr>
                <w:rFonts w:hAnsiTheme="minorHAnsi" w:cstheme="minorBidi"/>
                <w:b/>
                <w:bCs/>
                <w:sz w:val="20"/>
              </w:rPr>
            </w:pPr>
            <w:r w:rsidRPr="00E8287E">
              <w:rPr>
                <w:rFonts w:hAnsiTheme="minorHAnsi" w:cstheme="minorBidi"/>
                <w:b/>
                <w:bCs/>
                <w:sz w:val="20"/>
              </w:rPr>
              <w:t>1.</w:t>
            </w:r>
          </w:p>
        </w:tc>
        <w:tc>
          <w:tcPr>
            <w:tcW w:w="2555" w:type="dxa"/>
          </w:tcPr>
          <w:p w14:paraId="60D4C7B9" w14:textId="7317843D" w:rsidR="00763655" w:rsidRPr="008F2C74" w:rsidRDefault="006C3517" w:rsidP="002D6C2C">
            <w:pPr>
              <w:ind w:firstLine="0"/>
              <w:jc w:val="left"/>
              <w:rPr>
                <w:rFonts w:eastAsia="Calibri"/>
                <w:szCs w:val="24"/>
              </w:rPr>
            </w:pPr>
            <w:r w:rsidRPr="008F2C74">
              <w:rPr>
                <w:rFonts w:eastAsia="Calibri"/>
                <w:szCs w:val="24"/>
              </w:rPr>
              <w:t>Tiekėjas privalo turėti</w:t>
            </w:r>
            <w:r w:rsidR="00763655" w:rsidRPr="008F2C74">
              <w:rPr>
                <w:rFonts w:eastAsia="Calibri"/>
                <w:szCs w:val="24"/>
              </w:rPr>
              <w:t>:</w:t>
            </w:r>
          </w:p>
          <w:p w14:paraId="330344D5" w14:textId="07B656E8" w:rsidR="006C3517" w:rsidRPr="008F2C74" w:rsidRDefault="00763655" w:rsidP="002D6C2C">
            <w:pPr>
              <w:ind w:firstLine="0"/>
              <w:jc w:val="left"/>
              <w:rPr>
                <w:rFonts w:eastAsia="Calibri"/>
                <w:szCs w:val="24"/>
              </w:rPr>
            </w:pPr>
            <w:r w:rsidRPr="008F2C74">
              <w:rPr>
                <w:rFonts w:eastAsia="Calibri"/>
                <w:szCs w:val="24"/>
              </w:rPr>
              <w:t xml:space="preserve">- </w:t>
            </w:r>
            <w:r w:rsidR="006C3517" w:rsidRPr="008F2C74">
              <w:rPr>
                <w:rFonts w:eastAsia="Calibri"/>
                <w:szCs w:val="24"/>
              </w:rPr>
              <w:t xml:space="preserve">bent </w:t>
            </w:r>
            <w:r w:rsidR="00C63BA0" w:rsidRPr="008F2C74">
              <w:rPr>
                <w:rFonts w:eastAsia="Calibri"/>
                <w:szCs w:val="24"/>
              </w:rPr>
              <w:t>1 (</w:t>
            </w:r>
            <w:r w:rsidR="006C3517" w:rsidRPr="008F2C74">
              <w:rPr>
                <w:rFonts w:eastAsia="Calibri"/>
                <w:szCs w:val="24"/>
              </w:rPr>
              <w:t>vieną</w:t>
            </w:r>
            <w:r w:rsidR="00C63BA0" w:rsidRPr="008F2C74">
              <w:rPr>
                <w:rFonts w:eastAsia="Calibri"/>
                <w:szCs w:val="24"/>
              </w:rPr>
              <w:t>)</w:t>
            </w:r>
            <w:r w:rsidR="002D6C2C" w:rsidRPr="008F2C74">
              <w:rPr>
                <w:rFonts w:eastAsia="Calibri"/>
                <w:szCs w:val="24"/>
              </w:rPr>
              <w:t xml:space="preserve"> specialistą, kuris</w:t>
            </w:r>
            <w:r w:rsidR="006C3517" w:rsidRPr="008F2C74">
              <w:rPr>
                <w:rFonts w:eastAsia="Calibri"/>
                <w:szCs w:val="24"/>
              </w:rPr>
              <w:t xml:space="preserve"> </w:t>
            </w:r>
            <w:r w:rsidRPr="008F2C74">
              <w:rPr>
                <w:rFonts w:eastAsia="Calibri"/>
                <w:szCs w:val="24"/>
              </w:rPr>
              <w:t>turi</w:t>
            </w:r>
            <w:r w:rsidR="006C3517" w:rsidRPr="008F2C74">
              <w:rPr>
                <w:rFonts w:eastAsia="Calibri"/>
                <w:szCs w:val="24"/>
              </w:rPr>
              <w:t xml:space="preserve"> teis</w:t>
            </w:r>
            <w:r w:rsidRPr="008F2C74">
              <w:rPr>
                <w:rFonts w:eastAsia="Calibri"/>
                <w:szCs w:val="24"/>
              </w:rPr>
              <w:t>ę</w:t>
            </w:r>
            <w:r w:rsidR="006C3517" w:rsidRPr="008F2C74">
              <w:rPr>
                <w:rFonts w:eastAsia="Calibri"/>
                <w:szCs w:val="24"/>
              </w:rPr>
              <w:t xml:space="preserve"> eiti </w:t>
            </w:r>
            <w:r w:rsidR="006C3517" w:rsidRPr="008F2C74">
              <w:rPr>
                <w:rFonts w:eastAsia="Calibri"/>
                <w:b/>
                <w:bCs/>
                <w:i/>
                <w:iCs/>
                <w:szCs w:val="24"/>
              </w:rPr>
              <w:t>ypatingo statinio statybos vadovo</w:t>
            </w:r>
            <w:r w:rsidRPr="008F2C74">
              <w:rPr>
                <w:rFonts w:eastAsia="Calibri"/>
                <w:b/>
                <w:bCs/>
                <w:i/>
                <w:iCs/>
                <w:szCs w:val="24"/>
              </w:rPr>
              <w:t xml:space="preserve"> </w:t>
            </w:r>
            <w:r w:rsidR="006C3517" w:rsidRPr="008F2C74">
              <w:rPr>
                <w:rFonts w:eastAsia="Calibri"/>
                <w:b/>
                <w:bCs/>
                <w:i/>
                <w:iCs/>
                <w:szCs w:val="24"/>
              </w:rPr>
              <w:t>pareigas</w:t>
            </w:r>
            <w:r w:rsidR="002D6C2C" w:rsidRPr="008F2C74">
              <w:rPr>
                <w:rFonts w:eastAsia="Calibri"/>
                <w:b/>
                <w:bCs/>
                <w:i/>
                <w:iCs/>
                <w:szCs w:val="24"/>
              </w:rPr>
              <w:t xml:space="preserve"> </w:t>
            </w:r>
            <w:r w:rsidR="002D6C2C" w:rsidRPr="008F2C74">
              <w:t>ir turi kvalifikaciją patvirtinantį atestatą ar kitą dokumentą, patvirtinantį minėtą teisę</w:t>
            </w:r>
            <w:r w:rsidR="006C3517" w:rsidRPr="008F2C74">
              <w:rPr>
                <w:rFonts w:eastAsia="Calibri"/>
                <w:szCs w:val="24"/>
              </w:rPr>
              <w:t>.</w:t>
            </w:r>
          </w:p>
          <w:p w14:paraId="012B94EF" w14:textId="77777777" w:rsidR="002D6C2C" w:rsidRPr="008F2C74" w:rsidRDefault="002D6C2C" w:rsidP="002D6C2C">
            <w:pPr>
              <w:ind w:firstLine="0"/>
              <w:jc w:val="left"/>
              <w:rPr>
                <w:rFonts w:eastAsia="Calibri"/>
                <w:szCs w:val="24"/>
              </w:rPr>
            </w:pPr>
          </w:p>
          <w:p w14:paraId="513B6505" w14:textId="490FAD0B" w:rsidR="002D6C2C" w:rsidRPr="008F2C74" w:rsidRDefault="002D6C2C" w:rsidP="002D6C2C">
            <w:pPr>
              <w:ind w:firstLine="0"/>
              <w:jc w:val="left"/>
              <w:rPr>
                <w:i/>
                <w:iCs/>
              </w:rPr>
            </w:pPr>
            <w:r w:rsidRPr="008F2C74">
              <w:rPr>
                <w:i/>
                <w:iCs/>
              </w:rPr>
              <w:t xml:space="preserve">Reikalavimas pagal STR 1,01.03:2017 IV skyrių: </w:t>
            </w:r>
            <w:r w:rsidRPr="008F2C74">
              <w:rPr>
                <w:b/>
                <w:bCs/>
                <w:i/>
                <w:iCs/>
              </w:rPr>
              <w:t xml:space="preserve">Statinių grupė -  </w:t>
            </w:r>
          </w:p>
          <w:p w14:paraId="26F49573" w14:textId="5DDED7F5" w:rsidR="006C3517" w:rsidRPr="008F2C74" w:rsidRDefault="006C3517" w:rsidP="002D6C2C">
            <w:pPr>
              <w:ind w:firstLine="0"/>
              <w:jc w:val="left"/>
              <w:rPr>
                <w:rFonts w:eastAsia="Calibri"/>
                <w:b/>
                <w:bCs/>
                <w:szCs w:val="24"/>
              </w:rPr>
            </w:pPr>
            <w:r w:rsidRPr="008F2C74">
              <w:rPr>
                <w:rFonts w:eastAsia="Calibri"/>
                <w:b/>
                <w:bCs/>
                <w:i/>
                <w:iCs/>
                <w:szCs w:val="24"/>
              </w:rPr>
              <w:t>negyvenamieji arba  gyvenamieji ir negyvenamieji pastatai</w:t>
            </w:r>
            <w:r w:rsidRPr="008F2C74">
              <w:rPr>
                <w:rFonts w:eastAsia="Calibri"/>
                <w:b/>
                <w:bCs/>
                <w:szCs w:val="24"/>
              </w:rPr>
              <w:t>.</w:t>
            </w:r>
          </w:p>
          <w:p w14:paraId="2B9DF502" w14:textId="77777777" w:rsidR="002D6C2C" w:rsidRPr="008F2C74" w:rsidRDefault="002D6C2C" w:rsidP="002D6C2C">
            <w:pPr>
              <w:ind w:firstLine="0"/>
              <w:jc w:val="left"/>
              <w:rPr>
                <w:i/>
                <w:iCs/>
              </w:rPr>
            </w:pPr>
          </w:p>
          <w:p w14:paraId="51F7A443" w14:textId="79895A23" w:rsidR="00E8287E" w:rsidRPr="008F2C74" w:rsidRDefault="002D6C2C" w:rsidP="002D6C2C">
            <w:pPr>
              <w:ind w:firstLine="0"/>
              <w:jc w:val="left"/>
              <w:rPr>
                <w:i/>
                <w:iCs/>
              </w:rPr>
            </w:pPr>
            <w:r w:rsidRPr="008F2C74">
              <w:rPr>
                <w:i/>
                <w:iCs/>
              </w:rPr>
              <w:t xml:space="preserve">Reikalavimai pagal STR 1.06.01:2016  1 priedą: </w:t>
            </w:r>
            <w:r w:rsidR="006C3517" w:rsidRPr="008F2C74">
              <w:rPr>
                <w:rFonts w:eastAsia="Calibri"/>
                <w:b/>
                <w:bCs/>
                <w:i/>
                <w:iCs/>
                <w:szCs w:val="24"/>
              </w:rPr>
              <w:t>Darbų sritis</w:t>
            </w:r>
            <w:r w:rsidRPr="008F2C74">
              <w:rPr>
                <w:rFonts w:eastAsia="Calibri"/>
                <w:b/>
                <w:bCs/>
                <w:szCs w:val="24"/>
              </w:rPr>
              <w:t xml:space="preserve"> -</w:t>
            </w:r>
            <w:r w:rsidR="006C3517" w:rsidRPr="008F2C74">
              <w:rPr>
                <w:rFonts w:eastAsia="Calibri"/>
                <w:szCs w:val="24"/>
              </w:rPr>
              <w:t xml:space="preserve"> </w:t>
            </w:r>
            <w:r w:rsidR="006C3517" w:rsidRPr="008F2C74">
              <w:rPr>
                <w:rFonts w:eastAsia="Calibri"/>
                <w:b/>
                <w:bCs/>
                <w:i/>
                <w:iCs/>
                <w:szCs w:val="24"/>
              </w:rPr>
              <w:t>apdailos darbai</w:t>
            </w:r>
            <w:r w:rsidR="006C3517" w:rsidRPr="008F2C74">
              <w:rPr>
                <w:rFonts w:eastAsia="Calibri"/>
                <w:b/>
                <w:bCs/>
                <w:szCs w:val="24"/>
              </w:rPr>
              <w:t>.</w:t>
            </w:r>
          </w:p>
        </w:tc>
        <w:tc>
          <w:tcPr>
            <w:tcW w:w="3685" w:type="dxa"/>
          </w:tcPr>
          <w:p w14:paraId="3372D280" w14:textId="41D92CC8" w:rsidR="000744B3" w:rsidRPr="00C42F04" w:rsidRDefault="00763655" w:rsidP="00C42F04">
            <w:pPr>
              <w:pStyle w:val="Sraopastraipa"/>
              <w:numPr>
                <w:ilvl w:val="0"/>
                <w:numId w:val="27"/>
              </w:numPr>
              <w:tabs>
                <w:tab w:val="left" w:pos="720"/>
              </w:tabs>
              <w:jc w:val="left"/>
              <w:rPr>
                <w:sz w:val="21"/>
                <w:szCs w:val="21"/>
              </w:rPr>
            </w:pPr>
            <w:r w:rsidRPr="00C42F04">
              <w:rPr>
                <w:sz w:val="21"/>
                <w:szCs w:val="21"/>
              </w:rPr>
              <w:t xml:space="preserve">Lietuvos Respublikos aplinkos ministerijos nustatyta tvarka išduotas kvalifikacijos atestatas, suteikiantis teisę eiti </w:t>
            </w:r>
            <w:r w:rsidRPr="00C42F04">
              <w:rPr>
                <w:i/>
                <w:iCs/>
                <w:sz w:val="21"/>
                <w:szCs w:val="21"/>
              </w:rPr>
              <w:t>ypatingo statinio statybos vadovo pareigas kopija. Statiniai: negyvenamieji arba gyvenamieji ir negyvenamieji pastatai</w:t>
            </w:r>
            <w:r w:rsidRPr="00C42F04">
              <w:rPr>
                <w:sz w:val="21"/>
                <w:szCs w:val="21"/>
              </w:rPr>
              <w:t>.</w:t>
            </w:r>
            <w:r w:rsidR="000744B3" w:rsidRPr="00C42F04">
              <w:rPr>
                <w:sz w:val="21"/>
                <w:szCs w:val="21"/>
              </w:rPr>
              <w:t xml:space="preserve"> </w:t>
            </w:r>
            <w:r w:rsidR="000744B3" w:rsidRPr="00C42F04">
              <w:rPr>
                <w:i/>
                <w:iCs/>
                <w:sz w:val="21"/>
                <w:szCs w:val="21"/>
              </w:rPr>
              <w:t>Darbų sritis: apdailos darbai.</w:t>
            </w:r>
          </w:p>
          <w:p w14:paraId="5C441370" w14:textId="77777777" w:rsidR="00763655" w:rsidRPr="00D41A2C" w:rsidRDefault="00763655" w:rsidP="00763655">
            <w:pPr>
              <w:tabs>
                <w:tab w:val="left" w:pos="720"/>
              </w:tabs>
              <w:ind w:firstLine="0"/>
              <w:jc w:val="left"/>
              <w:rPr>
                <w:sz w:val="21"/>
                <w:szCs w:val="21"/>
              </w:rPr>
            </w:pPr>
            <w:r w:rsidRPr="00D41A2C">
              <w:rPr>
                <w:sz w:val="21"/>
                <w:szCs w:val="21"/>
              </w:rPr>
              <w:t xml:space="preserve">Iš tiekėjo atitiktį šiam reikalavimui įrodančių dokumentų pateikti nereikalaujama. Perkančioji organizacija patikrins duomenis atitinkamuose Statybos sektoriaus vystymo agentūros Statybos specialistų kvalifikacijos atestatų ir teisės pripažinimo dokumentų registruose (https://www.ssva.lt/cms/registrai). </w:t>
            </w:r>
          </w:p>
          <w:p w14:paraId="3AAA990A" w14:textId="77777777" w:rsidR="00763655" w:rsidRPr="00D41A2C" w:rsidRDefault="00763655" w:rsidP="00763655">
            <w:pPr>
              <w:tabs>
                <w:tab w:val="left" w:pos="720"/>
              </w:tabs>
              <w:ind w:firstLine="0"/>
              <w:jc w:val="left"/>
              <w:rPr>
                <w:sz w:val="21"/>
                <w:szCs w:val="21"/>
              </w:rPr>
            </w:pPr>
          </w:p>
          <w:p w14:paraId="3DBDD6F2" w14:textId="77777777" w:rsidR="00763655" w:rsidRPr="00D41A2C" w:rsidRDefault="00763655" w:rsidP="00763655">
            <w:pPr>
              <w:tabs>
                <w:tab w:val="left" w:pos="720"/>
              </w:tabs>
              <w:ind w:firstLine="0"/>
              <w:jc w:val="left"/>
              <w:rPr>
                <w:sz w:val="21"/>
                <w:szCs w:val="21"/>
              </w:rPr>
            </w:pPr>
            <w:r w:rsidRPr="00D41A2C">
              <w:rPr>
                <w:sz w:val="21"/>
                <w:szCs w:val="21"/>
              </w:rPr>
              <w:t>Užsienio šalies specialisto teisę eiti ypatingo statinio statybos vadovo pareigas patvirtina užsienio šalies specialistui išduoti dokumentai, patvirtinantys turimą kvalifikaciją jo kilmės šalyje. Užsienio šalių specialistas (-ai) iki Sutarties pasirašymo turi gauti Statybos įstatymo nustatyta tvarka išduotą teisės pripažinimo dokumentą. Pirmiausia bus vertinami dokumentai, patvirtinantys turimą kvalifikaciją kilmės šalyje, o vėliau, iki Sutarties pasirašymo, tikrinami teisės pripažinimo dokumentai.</w:t>
            </w:r>
          </w:p>
          <w:p w14:paraId="3FEC916C" w14:textId="3A19886A" w:rsidR="00E8287E" w:rsidRPr="00E8287E" w:rsidRDefault="00E8287E" w:rsidP="00FB7A63">
            <w:pPr>
              <w:tabs>
                <w:tab w:val="left" w:pos="720"/>
              </w:tabs>
              <w:ind w:firstLine="0"/>
              <w:jc w:val="left"/>
              <w:rPr>
                <w:sz w:val="22"/>
                <w:szCs w:val="22"/>
              </w:rPr>
            </w:pPr>
          </w:p>
        </w:tc>
        <w:tc>
          <w:tcPr>
            <w:tcW w:w="2829" w:type="dxa"/>
          </w:tcPr>
          <w:p w14:paraId="2ABB406D" w14:textId="5DD2AE6C" w:rsidR="00763655" w:rsidRPr="00CF6356" w:rsidRDefault="00763655" w:rsidP="00763655">
            <w:pPr>
              <w:tabs>
                <w:tab w:val="left" w:pos="720"/>
              </w:tabs>
              <w:ind w:firstLine="0"/>
              <w:jc w:val="left"/>
              <w:rPr>
                <w:sz w:val="21"/>
                <w:szCs w:val="21"/>
              </w:rPr>
            </w:pPr>
            <w:r w:rsidRPr="00CF6356">
              <w:rPr>
                <w:sz w:val="21"/>
                <w:szCs w:val="21"/>
              </w:rPr>
              <w:t>- Jeigu pasiūlymą teikia ūkio subjektų grupė – reikalavimą turi atitikti ūkio subjektų grupės nari</w:t>
            </w:r>
            <w:r w:rsidR="00BC1327">
              <w:rPr>
                <w:sz w:val="21"/>
                <w:szCs w:val="21"/>
              </w:rPr>
              <w:t>o (-ių)</w:t>
            </w:r>
            <w:r w:rsidRPr="00CF6356">
              <w:rPr>
                <w:sz w:val="21"/>
                <w:szCs w:val="21"/>
              </w:rPr>
              <w:t xml:space="preserve"> </w:t>
            </w:r>
            <w:r w:rsidR="00BC1327">
              <w:rPr>
                <w:sz w:val="21"/>
                <w:szCs w:val="21"/>
              </w:rPr>
              <w:t>specialistai, atsižvelgiant į jų prisiimamus įsipareigojimus pirkimo sutarčiai vykdyti;</w:t>
            </w:r>
          </w:p>
          <w:p w14:paraId="6CA3628C" w14:textId="2B5DC8AD" w:rsidR="00763655" w:rsidRPr="00CF6356" w:rsidRDefault="00763655" w:rsidP="00763655">
            <w:pPr>
              <w:tabs>
                <w:tab w:val="left" w:pos="720"/>
              </w:tabs>
              <w:ind w:firstLine="0"/>
              <w:jc w:val="left"/>
              <w:rPr>
                <w:sz w:val="21"/>
                <w:szCs w:val="21"/>
              </w:rPr>
            </w:pPr>
            <w:r w:rsidRPr="00CF6356">
              <w:rPr>
                <w:sz w:val="21"/>
                <w:szCs w:val="21"/>
              </w:rPr>
              <w:t xml:space="preserve">- tiekėjas gali remtis kitų ūkio subjektų pajėgumais tik tuo atveju, jeigu tie subjektai </w:t>
            </w:r>
            <w:r w:rsidR="00BC1327">
              <w:rPr>
                <w:sz w:val="21"/>
                <w:szCs w:val="21"/>
              </w:rPr>
              <w:t xml:space="preserve">(jų darbuotojai) </w:t>
            </w:r>
            <w:r w:rsidRPr="00CF6356">
              <w:rPr>
                <w:sz w:val="21"/>
                <w:szCs w:val="21"/>
              </w:rPr>
              <w:t xml:space="preserve">patys vykdys tą pirkimo sutarties dalį, kuriai reikia jų turimų pajėgumų; </w:t>
            </w:r>
          </w:p>
          <w:p w14:paraId="47B78B5D" w14:textId="0CB98C4E" w:rsidR="00E8287E" w:rsidRPr="00E8287E" w:rsidRDefault="00763655" w:rsidP="00763655">
            <w:pPr>
              <w:tabs>
                <w:tab w:val="left" w:pos="720"/>
              </w:tabs>
              <w:ind w:firstLine="0"/>
              <w:jc w:val="left"/>
              <w:rPr>
                <w:sz w:val="22"/>
                <w:szCs w:val="22"/>
              </w:rPr>
            </w:pPr>
            <w:r w:rsidRPr="00CF6356">
              <w:rPr>
                <w:sz w:val="21"/>
                <w:szCs w:val="21"/>
              </w:rPr>
              <w:t xml:space="preserve">- </w:t>
            </w:r>
            <w:r w:rsidR="00BC1327">
              <w:rPr>
                <w:sz w:val="21"/>
                <w:szCs w:val="21"/>
              </w:rPr>
              <w:t xml:space="preserve">subtiekėjai – jei tiekėjas (jo pasitelkiami specialistai) pats atitinka nustatytą reikalavimą, tačiau ketina pasitelkti subtiekėjus (jo </w:t>
            </w:r>
            <w:r w:rsidR="00C24950">
              <w:rPr>
                <w:sz w:val="21"/>
                <w:szCs w:val="21"/>
              </w:rPr>
              <w:t>specialistus), subtiekėjų specialistai privalo atitikti nustatytus reikalavimus, jeigu subtiekėjai (jų darbuotojai) patys vykdys tą pirkimo sutarties dalį, kuriai reikia nustatytos kvalifikacijos.</w:t>
            </w:r>
          </w:p>
        </w:tc>
      </w:tr>
    </w:tbl>
    <w:p w14:paraId="72CA3B4C" w14:textId="77777777" w:rsidR="00E8287E" w:rsidRPr="00E8287E" w:rsidRDefault="00E8287E" w:rsidP="00E8287E">
      <w:pPr>
        <w:tabs>
          <w:tab w:val="left" w:pos="720"/>
        </w:tabs>
        <w:rPr>
          <w:rFonts w:asciiTheme="minorHAnsi" w:hAnsiTheme="minorHAnsi" w:cs="Calibri"/>
          <w:i/>
          <w:iCs/>
          <w:color w:val="7030A0"/>
          <w:sz w:val="21"/>
          <w:szCs w:val="21"/>
        </w:rPr>
      </w:pPr>
      <w:bookmarkStart w:id="1" w:name="_heading=h.3rdcrjn" w:colFirst="0" w:colLast="0"/>
      <w:bookmarkEnd w:id="1"/>
    </w:p>
    <w:p w14:paraId="00937B0B" w14:textId="77777777" w:rsidR="00E8287E" w:rsidRDefault="00E8287E" w:rsidP="00E8287E">
      <w:pPr>
        <w:ind w:left="567"/>
        <w:rPr>
          <w:sz w:val="21"/>
          <w:szCs w:val="21"/>
          <w:lang w:eastAsia="lt-LT"/>
        </w:rPr>
      </w:pPr>
    </w:p>
    <w:p w14:paraId="50D6DA0B" w14:textId="77777777" w:rsidR="00D95335" w:rsidRDefault="00D95335" w:rsidP="00E8287E">
      <w:pPr>
        <w:ind w:left="567"/>
        <w:rPr>
          <w:sz w:val="21"/>
          <w:szCs w:val="21"/>
          <w:lang w:eastAsia="lt-LT"/>
        </w:rPr>
      </w:pPr>
    </w:p>
    <w:p w14:paraId="541C2E58" w14:textId="77777777" w:rsidR="00D95335" w:rsidRDefault="00D95335" w:rsidP="00E8287E">
      <w:pPr>
        <w:ind w:left="567"/>
        <w:rPr>
          <w:sz w:val="21"/>
          <w:szCs w:val="21"/>
          <w:lang w:eastAsia="lt-LT"/>
        </w:rPr>
      </w:pPr>
    </w:p>
    <w:p w14:paraId="7C99E805" w14:textId="77777777" w:rsidR="00D95335" w:rsidRPr="00E8287E" w:rsidRDefault="00D95335" w:rsidP="00E8287E">
      <w:pPr>
        <w:ind w:left="567"/>
        <w:rPr>
          <w:sz w:val="21"/>
          <w:szCs w:val="21"/>
          <w:lang w:eastAsia="lt-LT"/>
        </w:rPr>
      </w:pPr>
    </w:p>
    <w:p w14:paraId="59781505" w14:textId="77777777" w:rsidR="00E35614" w:rsidRDefault="00E8287E" w:rsidP="008F2C74">
      <w:pPr>
        <w:tabs>
          <w:tab w:val="left" w:pos="709"/>
        </w:tabs>
        <w:jc w:val="center"/>
        <w:rPr>
          <w:b/>
          <w:bCs/>
          <w:sz w:val="22"/>
          <w:szCs w:val="22"/>
        </w:rPr>
      </w:pPr>
      <w:r w:rsidRPr="00E8287E">
        <w:rPr>
          <w:b/>
          <w:bCs/>
          <w:sz w:val="22"/>
          <w:szCs w:val="22"/>
        </w:rPr>
        <w:lastRenderedPageBreak/>
        <w:t xml:space="preserve">Tiekėjams keliami reikalavimai dėl aplinkos apsaugos </w:t>
      </w:r>
    </w:p>
    <w:p w14:paraId="68DBF5FC" w14:textId="18E30D0B" w:rsidR="007001B7" w:rsidRDefault="00E8287E" w:rsidP="008F2C74">
      <w:pPr>
        <w:tabs>
          <w:tab w:val="left" w:pos="709"/>
        </w:tabs>
        <w:jc w:val="center"/>
        <w:rPr>
          <w:b/>
          <w:bCs/>
          <w:sz w:val="22"/>
          <w:szCs w:val="22"/>
        </w:rPr>
      </w:pPr>
      <w:r w:rsidRPr="00E8287E">
        <w:rPr>
          <w:b/>
          <w:bCs/>
          <w:sz w:val="22"/>
          <w:szCs w:val="22"/>
        </w:rPr>
        <w:t xml:space="preserve">vadybos sistemos standartų </w:t>
      </w:r>
      <w:r w:rsidR="004E2A19">
        <w:rPr>
          <w:b/>
          <w:bCs/>
          <w:sz w:val="22"/>
          <w:szCs w:val="22"/>
        </w:rPr>
        <w:t xml:space="preserve">laikymosi </w:t>
      </w:r>
    </w:p>
    <w:p w14:paraId="055F732A" w14:textId="77777777" w:rsidR="00E35614" w:rsidRDefault="00E35614" w:rsidP="008F2C74">
      <w:pPr>
        <w:tabs>
          <w:tab w:val="left" w:pos="709"/>
        </w:tabs>
        <w:jc w:val="center"/>
        <w:rPr>
          <w:b/>
          <w:bCs/>
          <w:sz w:val="22"/>
          <w:szCs w:val="22"/>
        </w:rPr>
      </w:pPr>
    </w:p>
    <w:p w14:paraId="013826C2" w14:textId="7AAF8F73" w:rsidR="007001B7" w:rsidRPr="00E8287E" w:rsidRDefault="007001B7" w:rsidP="007001B7">
      <w:pPr>
        <w:spacing w:line="300" w:lineRule="auto"/>
        <w:ind w:firstLine="851"/>
        <w:contextualSpacing/>
        <w:rPr>
          <w:sz w:val="22"/>
          <w:szCs w:val="22"/>
          <w:lang w:eastAsia="lt-LT"/>
        </w:rPr>
      </w:pPr>
      <w:r>
        <w:rPr>
          <w:sz w:val="22"/>
          <w:szCs w:val="22"/>
          <w:lang w:eastAsia="lt-LT"/>
        </w:rPr>
        <w:t xml:space="preserve">2. </w:t>
      </w:r>
      <w:r w:rsidRPr="00E8287E">
        <w:rPr>
          <w:sz w:val="22"/>
          <w:szCs w:val="22"/>
          <w:lang w:eastAsia="lt-LT"/>
        </w:rPr>
        <w:t>Tiekėjai turi atitikti šiame priede nustatytus reikalavimus</w:t>
      </w:r>
      <w:r w:rsidR="00FE37B3">
        <w:rPr>
          <w:sz w:val="22"/>
          <w:szCs w:val="22"/>
          <w:lang w:eastAsia="lt-LT"/>
        </w:rPr>
        <w:t xml:space="preserve"> </w:t>
      </w:r>
      <w:r w:rsidR="00FE37B3" w:rsidRPr="00FE37B3">
        <w:rPr>
          <w:sz w:val="22"/>
          <w:szCs w:val="22"/>
          <w:lang w:eastAsia="lt-LT"/>
        </w:rPr>
        <w:t>(</w:t>
      </w:r>
      <w:r w:rsidR="00FE37B3" w:rsidRPr="00FE37B3">
        <w:rPr>
          <w:sz w:val="22"/>
          <w:szCs w:val="22"/>
        </w:rPr>
        <w:t>I, II, III ir IV objektų dalims)</w:t>
      </w:r>
      <w:r w:rsidRPr="00E8287E">
        <w:rPr>
          <w:sz w:val="22"/>
          <w:szCs w:val="22"/>
          <w:lang w:eastAsia="lt-LT"/>
        </w:rPr>
        <w:t xml:space="preserve"> dėl aplinkos apsaugos vadybos sistemos standartų laikymosi.</w:t>
      </w:r>
    </w:p>
    <w:p w14:paraId="212EE8E4" w14:textId="77777777" w:rsidR="007001B7" w:rsidRPr="00E8287E" w:rsidRDefault="007001B7" w:rsidP="00E8287E">
      <w:pPr>
        <w:tabs>
          <w:tab w:val="left" w:pos="709"/>
        </w:tabs>
        <w:jc w:val="center"/>
        <w:rPr>
          <w:b/>
          <w:bCs/>
          <w:sz w:val="22"/>
          <w:szCs w:val="22"/>
        </w:rPr>
      </w:pPr>
    </w:p>
    <w:tbl>
      <w:tblPr>
        <w:tblStyle w:val="TableGrid3"/>
        <w:tblW w:w="4980" w:type="pct"/>
        <w:tblInd w:w="-5" w:type="dxa"/>
        <w:tblLook w:val="04A0" w:firstRow="1" w:lastRow="0" w:firstColumn="1" w:lastColumn="0" w:noHBand="0" w:noVBand="1"/>
      </w:tblPr>
      <w:tblGrid>
        <w:gridCol w:w="711"/>
        <w:gridCol w:w="2833"/>
        <w:gridCol w:w="3118"/>
        <w:gridCol w:w="2927"/>
      </w:tblGrid>
      <w:tr w:rsidR="00E8287E" w:rsidRPr="00E8287E" w14:paraId="31733902" w14:textId="77777777" w:rsidTr="00C42F04">
        <w:trPr>
          <w:cantSplit/>
          <w:tblHeader/>
        </w:trPr>
        <w:tc>
          <w:tcPr>
            <w:tcW w:w="371" w:type="pct"/>
            <w:shd w:val="clear" w:color="auto" w:fill="D9D9D9" w:themeFill="background1" w:themeFillShade="D9"/>
            <w:vAlign w:val="center"/>
            <w:hideMark/>
          </w:tcPr>
          <w:p w14:paraId="2BF1F273" w14:textId="77777777" w:rsidR="00E8287E" w:rsidRPr="00E8287E" w:rsidRDefault="00E8287E" w:rsidP="004A3535">
            <w:pPr>
              <w:spacing w:before="60" w:after="60" w:line="256" w:lineRule="auto"/>
              <w:ind w:firstLine="0"/>
              <w:rPr>
                <w:b/>
                <w:bCs/>
                <w:sz w:val="21"/>
                <w:szCs w:val="21"/>
              </w:rPr>
            </w:pPr>
            <w:r w:rsidRPr="00E8287E">
              <w:rPr>
                <w:b/>
                <w:bCs/>
                <w:sz w:val="21"/>
                <w:szCs w:val="21"/>
              </w:rPr>
              <w:t>Eil. Nr.</w:t>
            </w:r>
          </w:p>
        </w:tc>
        <w:tc>
          <w:tcPr>
            <w:tcW w:w="1477" w:type="pct"/>
            <w:shd w:val="clear" w:color="auto" w:fill="D9D9D9" w:themeFill="background1" w:themeFillShade="D9"/>
            <w:vAlign w:val="center"/>
            <w:hideMark/>
          </w:tcPr>
          <w:p w14:paraId="7BEEF29D" w14:textId="77777777" w:rsidR="00E8287E" w:rsidRPr="00E8287E" w:rsidRDefault="00E8287E" w:rsidP="004A3535">
            <w:pPr>
              <w:spacing w:before="60" w:after="60" w:line="256" w:lineRule="auto"/>
              <w:ind w:firstLine="0"/>
              <w:jc w:val="center"/>
              <w:rPr>
                <w:b/>
                <w:bCs/>
                <w:sz w:val="21"/>
                <w:szCs w:val="21"/>
              </w:rPr>
            </w:pPr>
            <w:r w:rsidRPr="00E8287E">
              <w:rPr>
                <w:b/>
                <w:bCs/>
                <w:color w:val="000000"/>
                <w:sz w:val="21"/>
                <w:szCs w:val="21"/>
              </w:rPr>
              <w:t xml:space="preserve">Reikalavimas </w:t>
            </w:r>
            <w:r w:rsidRPr="00E8287E">
              <w:rPr>
                <w:b/>
                <w:bCs/>
                <w:sz w:val="21"/>
                <w:szCs w:val="21"/>
              </w:rPr>
              <w:t xml:space="preserve">dėl </w:t>
            </w:r>
            <w:r w:rsidRPr="00E8287E">
              <w:rPr>
                <w:b/>
                <w:bCs/>
                <w:iCs/>
                <w:sz w:val="21"/>
                <w:szCs w:val="21"/>
              </w:rPr>
              <w:t>aplinkos apsaugos vadybos sistemos standartų</w:t>
            </w:r>
            <w:r w:rsidRPr="00E8287E">
              <w:rPr>
                <w:b/>
                <w:bCs/>
                <w:sz w:val="21"/>
                <w:szCs w:val="21"/>
              </w:rPr>
              <w:t xml:space="preserve"> laikymosi</w:t>
            </w:r>
          </w:p>
        </w:tc>
        <w:tc>
          <w:tcPr>
            <w:tcW w:w="1626" w:type="pct"/>
            <w:shd w:val="clear" w:color="auto" w:fill="D9D9D9" w:themeFill="background1" w:themeFillShade="D9"/>
            <w:vAlign w:val="center"/>
          </w:tcPr>
          <w:p w14:paraId="18DE6883" w14:textId="77777777" w:rsidR="00E8287E" w:rsidRPr="00E8287E" w:rsidRDefault="00E8287E" w:rsidP="004A3535">
            <w:pPr>
              <w:autoSpaceDE w:val="0"/>
              <w:autoSpaceDN w:val="0"/>
              <w:adjustRightInd w:val="0"/>
              <w:ind w:firstLine="0"/>
              <w:jc w:val="center"/>
              <w:rPr>
                <w:b/>
                <w:bCs/>
                <w:color w:val="000000"/>
                <w:sz w:val="21"/>
                <w:szCs w:val="21"/>
              </w:rPr>
            </w:pPr>
            <w:r w:rsidRPr="00E8287E">
              <w:rPr>
                <w:b/>
                <w:bCs/>
                <w:color w:val="000000"/>
                <w:sz w:val="21"/>
                <w:szCs w:val="21"/>
              </w:rPr>
              <w:t>Atitiktį reikalavimui įrodantys dokumentai</w:t>
            </w:r>
          </w:p>
        </w:tc>
        <w:tc>
          <w:tcPr>
            <w:tcW w:w="1526" w:type="pct"/>
            <w:shd w:val="clear" w:color="auto" w:fill="D9D9D9" w:themeFill="background1" w:themeFillShade="D9"/>
          </w:tcPr>
          <w:p w14:paraId="14919E51" w14:textId="4C8D9E89" w:rsidR="00E8287E" w:rsidRPr="00E8287E" w:rsidRDefault="00E8287E" w:rsidP="004A3535">
            <w:pPr>
              <w:autoSpaceDE w:val="0"/>
              <w:autoSpaceDN w:val="0"/>
              <w:adjustRightInd w:val="0"/>
              <w:ind w:firstLine="0"/>
              <w:jc w:val="center"/>
              <w:rPr>
                <w:b/>
                <w:bCs/>
                <w:color w:val="000000"/>
                <w:sz w:val="21"/>
                <w:szCs w:val="21"/>
              </w:rPr>
            </w:pPr>
            <w:r w:rsidRPr="00E8287E">
              <w:rPr>
                <w:b/>
                <w:bCs/>
                <w:color w:val="000000"/>
                <w:sz w:val="21"/>
                <w:szCs w:val="21"/>
              </w:rPr>
              <w:t>Subjektas, kuris turi atitikti reikalavimą</w:t>
            </w:r>
          </w:p>
        </w:tc>
      </w:tr>
      <w:tr w:rsidR="00E8287E" w:rsidRPr="00E8287E" w14:paraId="2FE69992" w14:textId="77777777" w:rsidTr="00881A9A">
        <w:trPr>
          <w:trHeight w:val="326"/>
        </w:trPr>
        <w:tc>
          <w:tcPr>
            <w:tcW w:w="371" w:type="pct"/>
          </w:tcPr>
          <w:p w14:paraId="2C5EC251" w14:textId="77777777" w:rsidR="00E8287E" w:rsidRPr="00E8287E" w:rsidRDefault="00E8287E" w:rsidP="004A3535">
            <w:pPr>
              <w:spacing w:before="60" w:after="60" w:line="256" w:lineRule="auto"/>
              <w:ind w:firstLine="38"/>
              <w:jc w:val="center"/>
              <w:rPr>
                <w:b/>
                <w:bCs/>
                <w:sz w:val="21"/>
                <w:szCs w:val="21"/>
              </w:rPr>
            </w:pPr>
            <w:r w:rsidRPr="00E8287E">
              <w:rPr>
                <w:b/>
                <w:bCs/>
                <w:sz w:val="21"/>
                <w:szCs w:val="21"/>
              </w:rPr>
              <w:t>1.</w:t>
            </w:r>
          </w:p>
        </w:tc>
        <w:tc>
          <w:tcPr>
            <w:tcW w:w="4629" w:type="pct"/>
            <w:gridSpan w:val="3"/>
          </w:tcPr>
          <w:p w14:paraId="4A5166EE" w14:textId="77777777" w:rsidR="00E8287E" w:rsidRPr="00E8287E" w:rsidRDefault="00E8287E" w:rsidP="004A3535">
            <w:pPr>
              <w:autoSpaceDE w:val="0"/>
              <w:autoSpaceDN w:val="0"/>
              <w:adjustRightInd w:val="0"/>
              <w:ind w:firstLine="0"/>
              <w:rPr>
                <w:b/>
                <w:bCs/>
                <w:color w:val="000000"/>
                <w:sz w:val="22"/>
                <w:szCs w:val="22"/>
              </w:rPr>
            </w:pPr>
            <w:r w:rsidRPr="00E8287E">
              <w:rPr>
                <w:b/>
                <w:bCs/>
                <w:color w:val="000000"/>
                <w:sz w:val="22"/>
                <w:szCs w:val="22"/>
              </w:rPr>
              <w:t>Aplinkos apsaugos vadybos sistemos taikymas</w:t>
            </w:r>
          </w:p>
        </w:tc>
      </w:tr>
      <w:tr w:rsidR="00E8287E" w:rsidRPr="00E8287E" w14:paraId="70B28A17" w14:textId="77777777" w:rsidTr="00881A9A">
        <w:tc>
          <w:tcPr>
            <w:tcW w:w="371" w:type="pct"/>
          </w:tcPr>
          <w:p w14:paraId="3C9E391A" w14:textId="77777777" w:rsidR="00E8287E" w:rsidRPr="00E8287E" w:rsidRDefault="00E8287E" w:rsidP="004A3535">
            <w:pPr>
              <w:spacing w:before="60" w:after="60" w:line="256" w:lineRule="auto"/>
              <w:ind w:firstLine="0"/>
              <w:jc w:val="center"/>
              <w:rPr>
                <w:rFonts w:asciiTheme="minorHAnsi" w:hAnsiTheme="minorHAnsi" w:cs="Calibri"/>
                <w:sz w:val="21"/>
                <w:szCs w:val="21"/>
              </w:rPr>
            </w:pPr>
            <w:r w:rsidRPr="00E8287E">
              <w:rPr>
                <w:sz w:val="21"/>
                <w:szCs w:val="21"/>
              </w:rPr>
              <w:t>1.1</w:t>
            </w:r>
            <w:r w:rsidRPr="00E8287E">
              <w:rPr>
                <w:rFonts w:asciiTheme="minorHAnsi" w:hAnsiTheme="minorHAnsi" w:cs="Calibri"/>
                <w:sz w:val="21"/>
                <w:szCs w:val="21"/>
              </w:rPr>
              <w:t>.</w:t>
            </w:r>
          </w:p>
        </w:tc>
        <w:tc>
          <w:tcPr>
            <w:tcW w:w="1477" w:type="pct"/>
          </w:tcPr>
          <w:p w14:paraId="1D0163BA" w14:textId="39A5693A" w:rsidR="00E8287E" w:rsidRPr="00E8287E" w:rsidRDefault="00E8287E" w:rsidP="004A3535">
            <w:pPr>
              <w:autoSpaceDE w:val="0"/>
              <w:autoSpaceDN w:val="0"/>
              <w:adjustRightInd w:val="0"/>
              <w:ind w:firstLine="0"/>
              <w:jc w:val="left"/>
              <w:rPr>
                <w:color w:val="000000"/>
                <w:sz w:val="22"/>
                <w:szCs w:val="22"/>
              </w:rPr>
            </w:pPr>
            <w:r w:rsidRPr="00E8287E">
              <w:rPr>
                <w:sz w:val="22"/>
                <w:szCs w:val="22"/>
              </w:rPr>
              <w:t xml:space="preserve">Perkamiems </w:t>
            </w:r>
            <w:r w:rsidR="00AC20C5">
              <w:rPr>
                <w:b/>
                <w:bCs/>
                <w:sz w:val="22"/>
                <w:szCs w:val="22"/>
              </w:rPr>
              <w:t xml:space="preserve">paprastojo remonto </w:t>
            </w:r>
            <w:r w:rsidRPr="00BF4134">
              <w:rPr>
                <w:b/>
                <w:bCs/>
                <w:sz w:val="22"/>
                <w:szCs w:val="22"/>
              </w:rPr>
              <w:t>darbams</w:t>
            </w:r>
            <w:r w:rsidRPr="00E8287E">
              <w:rPr>
                <w:sz w:val="22"/>
                <w:szCs w:val="22"/>
              </w:rPr>
              <w:t xml:space="preserve"> Tiekėjas taiko standartą LST EN ISO 14001 arba Europos Sąjungos aplinkos apsaugos vadybos ir audito sistemą (angl. Eco–Management and Audit Scheme, EMAS) arba </w:t>
            </w:r>
            <w:r w:rsidRPr="00E8287E">
              <w:rPr>
                <w:color w:val="000000"/>
                <w:sz w:val="22"/>
                <w:szCs w:val="22"/>
              </w:rPr>
              <w:t>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26" w:type="pct"/>
          </w:tcPr>
          <w:p w14:paraId="595BA2C5" w14:textId="0E02471A" w:rsidR="00E8287E" w:rsidRPr="00E8287E" w:rsidRDefault="00E8287E" w:rsidP="004A3535">
            <w:pPr>
              <w:autoSpaceDE w:val="0"/>
              <w:autoSpaceDN w:val="0"/>
              <w:adjustRightInd w:val="0"/>
              <w:ind w:firstLine="0"/>
              <w:jc w:val="left"/>
              <w:rPr>
                <w:i/>
                <w:iCs/>
                <w:color w:val="000000"/>
                <w:sz w:val="22"/>
                <w:szCs w:val="22"/>
              </w:rPr>
            </w:pPr>
            <w:r w:rsidRPr="00E8287E">
              <w:rPr>
                <w:i/>
                <w:iCs/>
                <w:color w:val="000000"/>
                <w:sz w:val="22"/>
                <w:szCs w:val="22"/>
              </w:rPr>
              <w:t>Tiekėjas, kuris pagal vertinimo rezultatus galės būti pripažintas laimėjusiu perkančiajai organizacijai pateikia:</w:t>
            </w:r>
          </w:p>
          <w:p w14:paraId="2B80555B" w14:textId="77777777" w:rsidR="00E8287E" w:rsidRPr="00E8287E" w:rsidRDefault="00E8287E" w:rsidP="004A3535">
            <w:pPr>
              <w:autoSpaceDE w:val="0"/>
              <w:autoSpaceDN w:val="0"/>
              <w:adjustRightInd w:val="0"/>
              <w:ind w:firstLine="0"/>
              <w:jc w:val="left"/>
              <w:rPr>
                <w:color w:val="000000"/>
                <w:sz w:val="22"/>
                <w:szCs w:val="22"/>
              </w:rPr>
            </w:pPr>
            <w:r w:rsidRPr="00E8287E">
              <w:rPr>
                <w:color w:val="000000"/>
                <w:sz w:val="22"/>
                <w:szCs w:val="22"/>
              </w:rPr>
              <w:t xml:space="preserve">Nepriklausomos įstaigos išduoto </w:t>
            </w:r>
            <w:r w:rsidRPr="00E8287E">
              <w:rPr>
                <w:color w:val="000000"/>
                <w:sz w:val="22"/>
                <w:szCs w:val="22"/>
                <w:u w:val="single"/>
              </w:rPr>
              <w:t>galiojančio</w:t>
            </w:r>
            <w:r w:rsidRPr="00E8287E">
              <w:rPr>
                <w:color w:val="000000"/>
                <w:sz w:val="22"/>
                <w:szCs w:val="22"/>
              </w:rPr>
              <w:t xml:space="preserve"> sertifikato, patvirtinančio, kad tiekėjas laikosi reikalaujamos aplinkos apsaugos vadybos sistemos standartų, skaitmeninė kopija.</w:t>
            </w:r>
          </w:p>
          <w:p w14:paraId="75574C36" w14:textId="77777777" w:rsidR="00E8287E" w:rsidRPr="00E8287E" w:rsidRDefault="00E8287E" w:rsidP="00E8287E">
            <w:pPr>
              <w:autoSpaceDE w:val="0"/>
              <w:autoSpaceDN w:val="0"/>
              <w:adjustRightInd w:val="0"/>
              <w:jc w:val="left"/>
              <w:rPr>
                <w:color w:val="000000"/>
                <w:sz w:val="22"/>
                <w:szCs w:val="22"/>
              </w:rPr>
            </w:pPr>
          </w:p>
          <w:p w14:paraId="3113B0C0" w14:textId="77777777" w:rsidR="00E8287E" w:rsidRPr="00E8287E" w:rsidRDefault="00E8287E" w:rsidP="004A3535">
            <w:pPr>
              <w:autoSpaceDE w:val="0"/>
              <w:autoSpaceDN w:val="0"/>
              <w:adjustRightInd w:val="0"/>
              <w:ind w:firstLine="0"/>
              <w:jc w:val="left"/>
              <w:rPr>
                <w:color w:val="000000"/>
                <w:sz w:val="22"/>
                <w:szCs w:val="22"/>
              </w:rPr>
            </w:pPr>
            <w:r w:rsidRPr="00E8287E">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B707669" w14:textId="77777777" w:rsidR="00E8287E" w:rsidRPr="00E8287E" w:rsidRDefault="00E8287E" w:rsidP="00E8287E">
            <w:pPr>
              <w:autoSpaceDE w:val="0"/>
              <w:autoSpaceDN w:val="0"/>
              <w:adjustRightInd w:val="0"/>
              <w:jc w:val="left"/>
              <w:rPr>
                <w:color w:val="000000"/>
                <w:sz w:val="22"/>
                <w:szCs w:val="22"/>
              </w:rPr>
            </w:pPr>
          </w:p>
          <w:p w14:paraId="047B90FC" w14:textId="77777777" w:rsidR="00E8287E" w:rsidRPr="00E8287E" w:rsidRDefault="00E8287E" w:rsidP="004A3535">
            <w:pPr>
              <w:autoSpaceDE w:val="0"/>
              <w:autoSpaceDN w:val="0"/>
              <w:adjustRightInd w:val="0"/>
              <w:ind w:firstLine="0"/>
              <w:jc w:val="left"/>
              <w:rPr>
                <w:color w:val="000000"/>
                <w:sz w:val="22"/>
                <w:szCs w:val="22"/>
              </w:rPr>
            </w:pPr>
            <w:r w:rsidRPr="00E8287E">
              <w:rPr>
                <w:sz w:val="22"/>
                <w:szCs w:val="22"/>
              </w:rPr>
              <w:t>Pe</w:t>
            </w:r>
            <w:r w:rsidRPr="00E8287E">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26" w:type="pct"/>
          </w:tcPr>
          <w:p w14:paraId="6C23127E" w14:textId="0273704C" w:rsidR="001660DB" w:rsidRPr="001660DB" w:rsidRDefault="001660DB" w:rsidP="001660DB">
            <w:pPr>
              <w:autoSpaceDE w:val="0"/>
              <w:autoSpaceDN w:val="0"/>
              <w:adjustRightInd w:val="0"/>
              <w:ind w:right="-159" w:firstLine="0"/>
              <w:jc w:val="left"/>
              <w:rPr>
                <w:rFonts w:cs="Calibri"/>
                <w:color w:val="000000"/>
                <w:sz w:val="21"/>
                <w:szCs w:val="21"/>
              </w:rPr>
            </w:pPr>
            <w:r>
              <w:rPr>
                <w:rFonts w:cs="Calibri"/>
                <w:color w:val="000000"/>
                <w:sz w:val="21"/>
                <w:szCs w:val="21"/>
              </w:rPr>
              <w:t xml:space="preserve">- </w:t>
            </w:r>
            <w:r w:rsidRPr="001660DB">
              <w:rPr>
                <w:rFonts w:cs="Calibri"/>
                <w:color w:val="000000"/>
                <w:sz w:val="21"/>
                <w:szCs w:val="21"/>
              </w:rPr>
              <w:t>jeigu pasiūlymą teikia ūkio subjektų grupė – reikalavimą turi atitikti ūkio subjektų grupės narys (-iai), atsižvelgiant į jų prisiimamus įsipareigojimus pirkimo sutarčiai vykdyti;</w:t>
            </w:r>
          </w:p>
          <w:p w14:paraId="1889666F" w14:textId="524A38EE" w:rsidR="001660DB" w:rsidRPr="00CF6356" w:rsidRDefault="001660DB" w:rsidP="001660DB">
            <w:pPr>
              <w:pStyle w:val="Sraopastraipa"/>
              <w:autoSpaceDE w:val="0"/>
              <w:autoSpaceDN w:val="0"/>
              <w:adjustRightInd w:val="0"/>
              <w:ind w:left="30" w:firstLine="0"/>
              <w:jc w:val="left"/>
              <w:rPr>
                <w:rFonts w:cs="Calibri"/>
                <w:color w:val="000000"/>
                <w:sz w:val="21"/>
                <w:szCs w:val="21"/>
              </w:rPr>
            </w:pPr>
            <w:r>
              <w:rPr>
                <w:rFonts w:cs="Calibri"/>
                <w:color w:val="000000"/>
                <w:sz w:val="21"/>
                <w:szCs w:val="21"/>
              </w:rPr>
              <w:t xml:space="preserve">- </w:t>
            </w:r>
            <w:r w:rsidRPr="00CF6356">
              <w:rPr>
                <w:rFonts w:cs="Calibri"/>
                <w:color w:val="000000"/>
                <w:sz w:val="21"/>
                <w:szCs w:val="21"/>
              </w:rPr>
              <w:t>tiekėjas gali remtis kitų ūkio subjektų pajėgumais atsižvelgiant į jų prisiimamus įsipareigojimus pirkimo sutarčiai vykdyti;</w:t>
            </w:r>
          </w:p>
          <w:p w14:paraId="6A2B7123" w14:textId="68DC810D" w:rsidR="001660DB" w:rsidRPr="00CF6356" w:rsidRDefault="001660DB" w:rsidP="001660DB">
            <w:pPr>
              <w:pStyle w:val="Sraopastraipa"/>
              <w:autoSpaceDE w:val="0"/>
              <w:autoSpaceDN w:val="0"/>
              <w:adjustRightInd w:val="0"/>
              <w:ind w:left="30" w:firstLine="0"/>
              <w:jc w:val="left"/>
              <w:rPr>
                <w:rFonts w:cs="Calibri"/>
                <w:color w:val="000000"/>
                <w:sz w:val="21"/>
                <w:szCs w:val="21"/>
              </w:rPr>
            </w:pPr>
            <w:r>
              <w:rPr>
                <w:rFonts w:cs="Calibri"/>
                <w:color w:val="000000"/>
                <w:sz w:val="21"/>
                <w:szCs w:val="21"/>
              </w:rPr>
              <w:t xml:space="preserve">- </w:t>
            </w:r>
            <w:r w:rsidRPr="00CF6356">
              <w:rPr>
                <w:rFonts w:cs="Calibri"/>
                <w:color w:val="000000"/>
                <w:sz w:val="21"/>
                <w:szCs w:val="21"/>
              </w:rPr>
              <w:t>subtiekėjai turi laikytis reikalaujamų aplinkos apsaugos vadybos priemonių, atsižvelgiant į jų prisiimamus įsipareigojimus pirkimo sutarčiai vykdyti.</w:t>
            </w:r>
          </w:p>
          <w:p w14:paraId="176DF73C" w14:textId="77777777" w:rsidR="00E8287E" w:rsidRPr="00E8287E" w:rsidRDefault="00E8287E" w:rsidP="001660DB">
            <w:pPr>
              <w:numPr>
                <w:ilvl w:val="0"/>
                <w:numId w:val="25"/>
              </w:numPr>
              <w:autoSpaceDE w:val="0"/>
              <w:autoSpaceDN w:val="0"/>
              <w:adjustRightInd w:val="0"/>
              <w:ind w:left="30"/>
              <w:contextualSpacing/>
              <w:jc w:val="left"/>
              <w:rPr>
                <w:rFonts w:cs="Calibri"/>
                <w:color w:val="000000"/>
                <w:sz w:val="22"/>
                <w:szCs w:val="22"/>
              </w:rPr>
            </w:pPr>
          </w:p>
        </w:tc>
      </w:tr>
    </w:tbl>
    <w:p w14:paraId="1496B9AC" w14:textId="1A8F94BA" w:rsidR="00E8287E" w:rsidRPr="00E8287E" w:rsidRDefault="00E8287E" w:rsidP="00852E03">
      <w:pPr>
        <w:spacing w:line="300" w:lineRule="auto"/>
        <w:rPr>
          <w:rFonts w:ascii="Arial" w:hAnsi="Arial" w:cstheme="minorBidi"/>
          <w:b/>
          <w:smallCaps/>
          <w:sz w:val="21"/>
          <w:szCs w:val="21"/>
          <w:lang w:eastAsia="lt-LT"/>
        </w:rPr>
        <w:sectPr w:rsidR="00E8287E" w:rsidRPr="00E8287E" w:rsidSect="002C35FD">
          <w:type w:val="continuous"/>
          <w:pgSz w:w="11906" w:h="16838" w:code="9"/>
          <w:pgMar w:top="1134" w:right="567" w:bottom="1134" w:left="1701" w:header="720" w:footer="720" w:gutter="0"/>
          <w:pgNumType w:start="0"/>
          <w:cols w:space="720"/>
          <w:titlePg/>
          <w:docGrid w:linePitch="360"/>
        </w:sectPr>
      </w:pPr>
    </w:p>
    <w:p w14:paraId="73CEB40F" w14:textId="77777777" w:rsidR="00F30B1C" w:rsidRPr="00E8287E" w:rsidRDefault="00F30B1C" w:rsidP="00852E03">
      <w:bookmarkStart w:id="2" w:name="_heading=h.26in1rg" w:colFirst="0" w:colLast="0"/>
      <w:bookmarkEnd w:id="2"/>
    </w:p>
    <w:sectPr w:rsidR="00F30B1C" w:rsidRPr="00E8287E" w:rsidSect="002C35FD">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8F2F" w14:textId="77777777" w:rsidR="00ED2DB8" w:rsidRDefault="00ED2DB8" w:rsidP="00A76593">
      <w:r>
        <w:separator/>
      </w:r>
    </w:p>
  </w:endnote>
  <w:endnote w:type="continuationSeparator" w:id="0">
    <w:p w14:paraId="7E986F99" w14:textId="77777777" w:rsidR="00ED2DB8" w:rsidRDefault="00ED2DB8"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00"/>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C65C" w14:textId="77777777" w:rsidR="00ED2DB8" w:rsidRDefault="00ED2DB8" w:rsidP="00A76593">
      <w:r>
        <w:separator/>
      </w:r>
    </w:p>
  </w:footnote>
  <w:footnote w:type="continuationSeparator" w:id="0">
    <w:p w14:paraId="1F7845A7" w14:textId="77777777" w:rsidR="00ED2DB8" w:rsidRDefault="00ED2DB8" w:rsidP="00A76593">
      <w:r>
        <w:continuationSeparator/>
      </w:r>
    </w:p>
  </w:footnote>
  <w:footnote w:id="1">
    <w:p w14:paraId="07D9388F" w14:textId="77777777" w:rsidR="00E8287E" w:rsidRDefault="00E8287E" w:rsidP="00E8287E">
      <w:pPr>
        <w:pStyle w:val="Puslapioinaostekstas"/>
        <w:tabs>
          <w:tab w:val="left" w:pos="9639"/>
        </w:tabs>
        <w:ind w:right="193"/>
      </w:pPr>
      <w:r>
        <w:rPr>
          <w:rStyle w:val="Puslapioinaosnuoroda"/>
          <w:rFonts w:cs="Arial"/>
        </w:rPr>
        <w:footnoteRef/>
      </w:r>
      <w:r>
        <w:t xml:space="preserve"> </w:t>
      </w:r>
      <w:r w:rsidRPr="00506858">
        <w:rPr>
          <w:sz w:val="21"/>
          <w:szCs w:val="21"/>
        </w:rPr>
        <w:t>Perkančioji organizacija, nustačiusi kvalifikacijos reikalavimus, turi pateikti informaciją kaip numatyta  Tiekėjo kvalifikacijos reikalavimų nustatymo metodikos 8 punkte.</w:t>
      </w:r>
    </w:p>
    <w:p w14:paraId="335B808B" w14:textId="77777777" w:rsidR="00E8287E" w:rsidRDefault="00E8287E" w:rsidP="00E8287E">
      <w:pPr>
        <w:pStyle w:val="Puslapioinaostekstas"/>
        <w:tabs>
          <w:tab w:val="left" w:pos="9639"/>
        </w:tabs>
        <w:ind w:right="19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A8C5C3D"/>
    <w:multiLevelType w:val="hybridMultilevel"/>
    <w:tmpl w:val="B4024B1A"/>
    <w:lvl w:ilvl="0" w:tplc="3DD0CC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4"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24" w15:restartNumberingAfterBreak="0">
    <w:nsid w:val="7CC20529"/>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4"/>
  </w:num>
  <w:num w:numId="9" w16cid:durableId="1470903168">
    <w:abstractNumId w:val="22"/>
  </w:num>
  <w:num w:numId="10" w16cid:durableId="2098672866">
    <w:abstractNumId w:val="3"/>
  </w:num>
  <w:num w:numId="11" w16cid:durableId="141505197">
    <w:abstractNumId w:val="15"/>
  </w:num>
  <w:num w:numId="12" w16cid:durableId="1311011097">
    <w:abstractNumId w:val="21"/>
  </w:num>
  <w:num w:numId="13" w16cid:durableId="196283538">
    <w:abstractNumId w:val="6"/>
  </w:num>
  <w:num w:numId="14" w16cid:durableId="1737900395">
    <w:abstractNumId w:val="13"/>
  </w:num>
  <w:num w:numId="15" w16cid:durableId="1762095645">
    <w:abstractNumId w:val="20"/>
  </w:num>
  <w:num w:numId="16" w16cid:durableId="230849051">
    <w:abstractNumId w:val="17"/>
  </w:num>
  <w:num w:numId="17" w16cid:durableId="930895244">
    <w:abstractNumId w:val="9"/>
  </w:num>
  <w:num w:numId="18" w16cid:durableId="601495574">
    <w:abstractNumId w:val="10"/>
  </w:num>
  <w:num w:numId="19" w16cid:durableId="1134831678">
    <w:abstractNumId w:val="8"/>
  </w:num>
  <w:num w:numId="20" w16cid:durableId="386148992">
    <w:abstractNumId w:val="16"/>
  </w:num>
  <w:num w:numId="21" w16cid:durableId="272052894">
    <w:abstractNumId w:val="7"/>
  </w:num>
  <w:num w:numId="22" w16cid:durableId="100496217">
    <w:abstractNumId w:val="11"/>
  </w:num>
  <w:num w:numId="23" w16cid:durableId="1983345208">
    <w:abstractNumId w:val="19"/>
  </w:num>
  <w:num w:numId="24" w16cid:durableId="398090867">
    <w:abstractNumId w:val="23"/>
  </w:num>
  <w:num w:numId="25" w16cid:durableId="1602377576">
    <w:abstractNumId w:val="18"/>
  </w:num>
  <w:num w:numId="26" w16cid:durableId="809245546">
    <w:abstractNumId w:val="24"/>
  </w:num>
  <w:num w:numId="27" w16cid:durableId="2045137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31935"/>
    <w:rsid w:val="00060353"/>
    <w:rsid w:val="0006599C"/>
    <w:rsid w:val="00072AA1"/>
    <w:rsid w:val="000744B3"/>
    <w:rsid w:val="00076531"/>
    <w:rsid w:val="00087448"/>
    <w:rsid w:val="000A71A9"/>
    <w:rsid w:val="000D0A3D"/>
    <w:rsid w:val="000F0246"/>
    <w:rsid w:val="00101914"/>
    <w:rsid w:val="00135A32"/>
    <w:rsid w:val="001476B8"/>
    <w:rsid w:val="001660DB"/>
    <w:rsid w:val="001B054C"/>
    <w:rsid w:val="001B0865"/>
    <w:rsid w:val="001B0BE3"/>
    <w:rsid w:val="001C289F"/>
    <w:rsid w:val="001C53D7"/>
    <w:rsid w:val="001D5594"/>
    <w:rsid w:val="001E3681"/>
    <w:rsid w:val="00215025"/>
    <w:rsid w:val="00215C26"/>
    <w:rsid w:val="0023084D"/>
    <w:rsid w:val="00232384"/>
    <w:rsid w:val="00244B45"/>
    <w:rsid w:val="00246AF5"/>
    <w:rsid w:val="002533B6"/>
    <w:rsid w:val="00270FCF"/>
    <w:rsid w:val="002840FF"/>
    <w:rsid w:val="00286747"/>
    <w:rsid w:val="002C0222"/>
    <w:rsid w:val="002C35FD"/>
    <w:rsid w:val="002D6C2C"/>
    <w:rsid w:val="002E1370"/>
    <w:rsid w:val="002E144C"/>
    <w:rsid w:val="002E333C"/>
    <w:rsid w:val="002E5068"/>
    <w:rsid w:val="00305314"/>
    <w:rsid w:val="00315BB2"/>
    <w:rsid w:val="00337B1C"/>
    <w:rsid w:val="003A742E"/>
    <w:rsid w:val="003E561E"/>
    <w:rsid w:val="004132AE"/>
    <w:rsid w:val="004140F4"/>
    <w:rsid w:val="00442FFD"/>
    <w:rsid w:val="00450A60"/>
    <w:rsid w:val="00460B80"/>
    <w:rsid w:val="004644AF"/>
    <w:rsid w:val="004A3535"/>
    <w:rsid w:val="004A55C1"/>
    <w:rsid w:val="004B50A1"/>
    <w:rsid w:val="004C017B"/>
    <w:rsid w:val="004E2A19"/>
    <w:rsid w:val="00513A61"/>
    <w:rsid w:val="005173A9"/>
    <w:rsid w:val="00524A08"/>
    <w:rsid w:val="00524B5E"/>
    <w:rsid w:val="005344DF"/>
    <w:rsid w:val="00540526"/>
    <w:rsid w:val="0056148D"/>
    <w:rsid w:val="00592720"/>
    <w:rsid w:val="005A312F"/>
    <w:rsid w:val="005B4E34"/>
    <w:rsid w:val="005B7D3E"/>
    <w:rsid w:val="005E18BE"/>
    <w:rsid w:val="00641618"/>
    <w:rsid w:val="00645328"/>
    <w:rsid w:val="00660791"/>
    <w:rsid w:val="006819D3"/>
    <w:rsid w:val="006A2D6B"/>
    <w:rsid w:val="006C3517"/>
    <w:rsid w:val="006D22F7"/>
    <w:rsid w:val="006E29A9"/>
    <w:rsid w:val="007001B7"/>
    <w:rsid w:val="007001D3"/>
    <w:rsid w:val="007057E8"/>
    <w:rsid w:val="007101A7"/>
    <w:rsid w:val="00717E15"/>
    <w:rsid w:val="00722007"/>
    <w:rsid w:val="007337C0"/>
    <w:rsid w:val="00735597"/>
    <w:rsid w:val="00763655"/>
    <w:rsid w:val="00783C59"/>
    <w:rsid w:val="007940EB"/>
    <w:rsid w:val="007A0D6D"/>
    <w:rsid w:val="007C019D"/>
    <w:rsid w:val="007C7951"/>
    <w:rsid w:val="007D46AF"/>
    <w:rsid w:val="007E6571"/>
    <w:rsid w:val="007F6490"/>
    <w:rsid w:val="00822382"/>
    <w:rsid w:val="00852E03"/>
    <w:rsid w:val="00886D82"/>
    <w:rsid w:val="0089494A"/>
    <w:rsid w:val="008B4E85"/>
    <w:rsid w:val="008F2C74"/>
    <w:rsid w:val="00912501"/>
    <w:rsid w:val="00945058"/>
    <w:rsid w:val="00951989"/>
    <w:rsid w:val="009850D8"/>
    <w:rsid w:val="009D5AE2"/>
    <w:rsid w:val="00A459B3"/>
    <w:rsid w:val="00A74102"/>
    <w:rsid w:val="00A76593"/>
    <w:rsid w:val="00A80E14"/>
    <w:rsid w:val="00A82F15"/>
    <w:rsid w:val="00A91516"/>
    <w:rsid w:val="00A96F94"/>
    <w:rsid w:val="00AC20C5"/>
    <w:rsid w:val="00AC781B"/>
    <w:rsid w:val="00AD5480"/>
    <w:rsid w:val="00AF07BA"/>
    <w:rsid w:val="00B061AC"/>
    <w:rsid w:val="00B14942"/>
    <w:rsid w:val="00B43AA2"/>
    <w:rsid w:val="00B540E5"/>
    <w:rsid w:val="00B75F9E"/>
    <w:rsid w:val="00B85404"/>
    <w:rsid w:val="00B91AF7"/>
    <w:rsid w:val="00BA4BE9"/>
    <w:rsid w:val="00BB6C6D"/>
    <w:rsid w:val="00BC1242"/>
    <w:rsid w:val="00BC1327"/>
    <w:rsid w:val="00BC6ADF"/>
    <w:rsid w:val="00BF148A"/>
    <w:rsid w:val="00BF4134"/>
    <w:rsid w:val="00C24950"/>
    <w:rsid w:val="00C41C64"/>
    <w:rsid w:val="00C42F04"/>
    <w:rsid w:val="00C63BA0"/>
    <w:rsid w:val="00C878DC"/>
    <w:rsid w:val="00C91EAB"/>
    <w:rsid w:val="00C94D24"/>
    <w:rsid w:val="00CA125E"/>
    <w:rsid w:val="00CE5A9A"/>
    <w:rsid w:val="00D30EBF"/>
    <w:rsid w:val="00D40609"/>
    <w:rsid w:val="00D61AF2"/>
    <w:rsid w:val="00D73ECE"/>
    <w:rsid w:val="00D86F9F"/>
    <w:rsid w:val="00D95335"/>
    <w:rsid w:val="00DB37BD"/>
    <w:rsid w:val="00DE06F3"/>
    <w:rsid w:val="00E35614"/>
    <w:rsid w:val="00E74366"/>
    <w:rsid w:val="00E8287E"/>
    <w:rsid w:val="00E973F9"/>
    <w:rsid w:val="00EA2C1F"/>
    <w:rsid w:val="00EA35DC"/>
    <w:rsid w:val="00EC05A2"/>
    <w:rsid w:val="00ED2DB8"/>
    <w:rsid w:val="00EE2660"/>
    <w:rsid w:val="00F0206A"/>
    <w:rsid w:val="00F07A3E"/>
    <w:rsid w:val="00F23663"/>
    <w:rsid w:val="00F30B1C"/>
    <w:rsid w:val="00F44BDD"/>
    <w:rsid w:val="00F603D5"/>
    <w:rsid w:val="00F612B0"/>
    <w:rsid w:val="00F6394E"/>
    <w:rsid w:val="00F672B3"/>
    <w:rsid w:val="00F73D1D"/>
    <w:rsid w:val="00F95143"/>
    <w:rsid w:val="00F96889"/>
    <w:rsid w:val="00FA40E9"/>
    <w:rsid w:val="00FB7A63"/>
    <w:rsid w:val="00FE37B3"/>
    <w:rsid w:val="00FF60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Lente"/>
    <w:basedOn w:val="prastasis"/>
    <w:link w:val="SraopastraipaDiagrama"/>
    <w:uiPriority w:val="99"/>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34"/>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8287E"/>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8287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3478</Words>
  <Characters>1984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6</cp:revision>
  <cp:lastPrinted>2025-01-22T11:08:00Z</cp:lastPrinted>
  <dcterms:created xsi:type="dcterms:W3CDTF">2025-01-21T12:43:00Z</dcterms:created>
  <dcterms:modified xsi:type="dcterms:W3CDTF">2025-01-22T11:10:00Z</dcterms:modified>
</cp:coreProperties>
</file>