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7C4" w14:textId="68424C22" w:rsidR="007C38FA" w:rsidRPr="00A35DC4" w:rsidRDefault="007C38FA" w:rsidP="009A16CD">
      <w:pPr>
        <w:pStyle w:val="Pagrindinistekstas"/>
        <w:tabs>
          <w:tab w:val="left" w:pos="4820"/>
        </w:tabs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  <w:r w:rsidRPr="00A35DC4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F0ABCC6" wp14:editId="2EB09372">
            <wp:simplePos x="0" y="0"/>
            <wp:positionH relativeFrom="column">
              <wp:posOffset>2586990</wp:posOffset>
            </wp:positionH>
            <wp:positionV relativeFrom="paragraph">
              <wp:posOffset>7620</wp:posOffset>
            </wp:positionV>
            <wp:extent cx="887095" cy="810260"/>
            <wp:effectExtent l="0" t="0" r="8255" b="8890"/>
            <wp:wrapThrough wrapText="bothSides">
              <wp:wrapPolygon edited="0">
                <wp:start x="0" y="0"/>
                <wp:lineTo x="0" y="21329"/>
                <wp:lineTo x="21337" y="21329"/>
                <wp:lineTo x="21337" y="0"/>
                <wp:lineTo x="0" y="0"/>
              </wp:wrapPolygon>
            </wp:wrapThrough>
            <wp:docPr id="3" name="Picture 3" descr="langas i atei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as i ateit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7371" w14:textId="26B68763" w:rsidR="007C38FA" w:rsidRPr="00A35DC4" w:rsidRDefault="007C38FA" w:rsidP="009A16CD">
      <w:pPr>
        <w:pStyle w:val="Pagrindinistekstas"/>
        <w:tabs>
          <w:tab w:val="left" w:pos="4820"/>
        </w:tabs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A35DC4" w:rsidRDefault="007C38FA" w:rsidP="009A16CD">
      <w:pPr>
        <w:pStyle w:val="Pagrindinistekstas"/>
        <w:tabs>
          <w:tab w:val="left" w:pos="4820"/>
        </w:tabs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A35DC4" w:rsidRDefault="007C38FA" w:rsidP="009A16CD">
      <w:pPr>
        <w:tabs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A35DC4" w:rsidRDefault="007C38FA" w:rsidP="009A16CD">
      <w:pPr>
        <w:tabs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7A7B2ABE" w14:textId="06BEFB8F" w:rsidR="003F0660" w:rsidRPr="00A35DC4" w:rsidRDefault="00E34DD8" w:rsidP="009A16CD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ATSAKYMAI Į TIEKĖJŲ KLAUSIMUS</w:t>
      </w:r>
    </w:p>
    <w:p w14:paraId="6B92C65C" w14:textId="77777777" w:rsidR="00C56908" w:rsidRPr="00A35DC4" w:rsidRDefault="00C56908" w:rsidP="009A16C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1935"/>
        <w:gridCol w:w="4439"/>
        <w:gridCol w:w="3402"/>
      </w:tblGrid>
      <w:tr w:rsidR="00E57549" w:rsidRPr="00A35DC4" w14:paraId="18F8AEB6" w14:textId="77777777" w:rsidTr="009A16CD">
        <w:tc>
          <w:tcPr>
            <w:tcW w:w="1935" w:type="dxa"/>
          </w:tcPr>
          <w:p w14:paraId="02248CDF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Nuorodos į planuojamo</w:t>
            </w:r>
          </w:p>
          <w:p w14:paraId="4F3CFC96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viešojo pirkimo</w:t>
            </w:r>
          </w:p>
          <w:p w14:paraId="368642BF" w14:textId="71B2DB76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A35DC4">
              <w:rPr>
                <w:b/>
                <w:bCs/>
              </w:rPr>
              <w:t>dokumentus</w:t>
            </w:r>
          </w:p>
        </w:tc>
        <w:tc>
          <w:tcPr>
            <w:tcW w:w="4439" w:type="dxa"/>
          </w:tcPr>
          <w:p w14:paraId="57BB6CDB" w14:textId="0AABC2F4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  <w:color w:val="000000" w:themeColor="text1"/>
              </w:rPr>
            </w:pPr>
            <w:r w:rsidRPr="00A35DC4">
              <w:rPr>
                <w:b/>
                <w:bCs/>
              </w:rPr>
              <w:t>Pastabos, pasiūlymai, klausimai, įžvalgos, rekomendacijos</w:t>
            </w:r>
          </w:p>
        </w:tc>
        <w:tc>
          <w:tcPr>
            <w:tcW w:w="3402" w:type="dxa"/>
          </w:tcPr>
          <w:p w14:paraId="4C4BF4BC" w14:textId="59CC7D05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  <w:color w:val="000000" w:themeColor="text1"/>
              </w:rPr>
            </w:pPr>
            <w:r w:rsidRPr="00A35DC4">
              <w:rPr>
                <w:b/>
                <w:bCs/>
                <w:color w:val="000000" w:themeColor="text1"/>
              </w:rPr>
              <w:t>Atsakymai į tiekėjų klausimus</w:t>
            </w:r>
          </w:p>
        </w:tc>
      </w:tr>
      <w:tr w:rsidR="00E57549" w:rsidRPr="00A35DC4" w14:paraId="41FE9BDB" w14:textId="77777777" w:rsidTr="009A16CD">
        <w:tc>
          <w:tcPr>
            <w:tcW w:w="1935" w:type="dxa"/>
          </w:tcPr>
          <w:p w14:paraId="2E47E6C7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2_Specialiosios pirkimo</w:t>
            </w:r>
          </w:p>
          <w:p w14:paraId="176D265B" w14:textId="438BCDA3" w:rsidR="00AE5EAE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lygos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Dirbtuvių</w:t>
            </w:r>
          </w:p>
          <w:p w14:paraId="51651E2A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organizavimo paslaugos.</w:t>
            </w:r>
          </w:p>
          <w:p w14:paraId="2F43186F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3. Pirkimo objekto skaidymas į</w:t>
            </w:r>
          </w:p>
          <w:p w14:paraId="3C0D38BC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dalis; pirkimo objekto</w:t>
            </w:r>
          </w:p>
          <w:p w14:paraId="17532A80" w14:textId="6246590A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A35DC4">
              <w:t>neskaidymo į dalis argumentai</w:t>
            </w:r>
          </w:p>
        </w:tc>
        <w:tc>
          <w:tcPr>
            <w:tcW w:w="4439" w:type="dxa"/>
          </w:tcPr>
          <w:p w14:paraId="21527952" w14:textId="6A026274" w:rsidR="00AE5EAE" w:rsidRPr="00AC25C2" w:rsidRDefault="005D3C38" w:rsidP="00D80F5D">
            <w:pPr>
              <w:pStyle w:val="Sraopastraipa"/>
              <w:numPr>
                <w:ilvl w:val="0"/>
                <w:numId w:val="4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21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5EAE" w:rsidRPr="00AC25C2">
              <w:rPr>
                <w:rFonts w:ascii="Times New Roman" w:hAnsi="Times New Roman" w:cs="Times New Roman"/>
                <w:sz w:val="24"/>
                <w:szCs w:val="24"/>
              </w:rPr>
              <w:t>orėtume pasiteirauti dėl pirkimo objekto skaidymo į keturias</w:t>
            </w:r>
            <w:r w:rsidR="00AC25C2" w:rsidRPr="00AC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EAE" w:rsidRPr="00AC25C2">
              <w:rPr>
                <w:rFonts w:ascii="Times New Roman" w:hAnsi="Times New Roman" w:cs="Times New Roman"/>
                <w:sz w:val="24"/>
                <w:szCs w:val="24"/>
              </w:rPr>
              <w:t>atskiras dalis ir paprašyti įvardinti šio skaidymo priežastis.</w:t>
            </w:r>
          </w:p>
          <w:p w14:paraId="01151B11" w14:textId="6E2207F9" w:rsidR="00AE5EAE" w:rsidRPr="00AC25C2" w:rsidRDefault="00AE5EAE" w:rsidP="00D80F5D">
            <w:pPr>
              <w:pStyle w:val="Sraopastraipa"/>
              <w:numPr>
                <w:ilvl w:val="0"/>
                <w:numId w:val="4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21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Prašome paaiškinti, ar toks skaidymas nėra lėšų ir kitų išteklių</w:t>
            </w:r>
            <w:r w:rsidR="00AC25C2" w:rsidRPr="00AC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dubliavimas, pvz., 4 dalių administravimo, informacinių</w:t>
            </w:r>
            <w:r w:rsidR="00AC25C2" w:rsidRPr="00AC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sistemų kūrimo ir palaikymo išlaidos?</w:t>
            </w:r>
          </w:p>
          <w:p w14:paraId="6C9234AF" w14:textId="3CD86549" w:rsidR="00E57549" w:rsidRPr="00AC25C2" w:rsidRDefault="00AE5EAE" w:rsidP="00D80F5D">
            <w:pPr>
              <w:pStyle w:val="Sraopastraipa"/>
              <w:numPr>
                <w:ilvl w:val="0"/>
                <w:numId w:val="4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216" w:hanging="216"/>
              <w:rPr>
                <w:color w:val="000000" w:themeColor="text1"/>
              </w:rPr>
            </w:pP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Atsižvelgiant į galimą lėšų ir kitų išteklių dubliavimą, siūlome</w:t>
            </w:r>
            <w:r w:rsidR="00AC25C2" w:rsidRPr="00AC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pirkimo objektą skaidyti į mažesnį skaičių, pavyzdžiui, ne</w:t>
            </w:r>
            <w:r w:rsidR="00AC25C2" w:rsidRPr="00AC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5C2">
              <w:rPr>
                <w:rFonts w:ascii="Times New Roman" w:hAnsi="Times New Roman" w:cs="Times New Roman"/>
                <w:sz w:val="24"/>
                <w:szCs w:val="24"/>
              </w:rPr>
              <w:t>daugiau nei du pirkimo objektus.</w:t>
            </w:r>
          </w:p>
        </w:tc>
        <w:tc>
          <w:tcPr>
            <w:tcW w:w="3402" w:type="dxa"/>
          </w:tcPr>
          <w:p w14:paraId="46360B93" w14:textId="77777777" w:rsidR="00E57549" w:rsidRDefault="005D3C38" w:rsidP="009A16CD">
            <w:pPr>
              <w:pStyle w:val="Default"/>
              <w:tabs>
                <w:tab w:val="left" w:pos="4820"/>
              </w:tabs>
              <w:jc w:val="both"/>
              <w:rPr>
                <w:rStyle w:val="wysiwyg-color-black"/>
                <w:spacing w:val="2"/>
                <w:shd w:val="clear" w:color="auto" w:fill="FFFFFF"/>
              </w:rPr>
            </w:pPr>
            <w:r w:rsidRPr="00A35DC4">
              <w:rPr>
                <w:color w:val="000000" w:themeColor="text1"/>
              </w:rPr>
              <w:t xml:space="preserve">Lietuvos Respublikos viešųjų pirkimų įstatymo (VPĮ) 28 str. perkančiosioms organizacijoms nustatyta pareiga skaidyti pirkimo objektą į dalis. </w:t>
            </w:r>
            <w:r w:rsidRPr="00A35DC4">
              <w:rPr>
                <w:rStyle w:val="wysiwyg-font-size-medium"/>
                <w:spacing w:val="2"/>
                <w:shd w:val="clear" w:color="auto" w:fill="FFFFFF"/>
              </w:rPr>
              <w:t>Perkančioji organizacija, prieš priimdama sprendimą dėl pirkimo objekto skaidymo į dalis, atlik</w:t>
            </w:r>
            <w:r w:rsidR="00932051">
              <w:rPr>
                <w:rStyle w:val="wysiwyg-font-size-medium"/>
                <w:spacing w:val="2"/>
                <w:shd w:val="clear" w:color="auto" w:fill="FFFFFF"/>
              </w:rPr>
              <w:t>o</w:t>
            </w:r>
            <w:r w:rsidRPr="00A35DC4">
              <w:rPr>
                <w:rStyle w:val="wysiwyg-font-size-medium"/>
                <w:spacing w:val="2"/>
                <w:shd w:val="clear" w:color="auto" w:fill="FFFFFF"/>
              </w:rPr>
              <w:t xml:space="preserve"> pirkimo objekto skaidymo į dalis testą, t. y. įvertino ar pirkimo objektas iš esmės yra dalus</w:t>
            </w:r>
            <w:r w:rsidRPr="00A35DC4">
              <w:rPr>
                <w:rStyle w:val="wysiwyg-color-black"/>
                <w:spacing w:val="2"/>
                <w:shd w:val="clear" w:color="auto" w:fill="FFFFFF"/>
              </w:rPr>
              <w:t xml:space="preserve"> ir kaip reikėtų skaidyti pirkimą, kad būtų užtikrinta konkurencija. Perkančioji organizacija nustatė, kad objektas dalus pagal teritoriją, o kadangi paslaugos turės būti vykdomos visoje Lietuvos Respublikoje, tai perkančioji organizacija vadovaujasi įprasta praktika skaidyti pirkimą į keturias dalis (rytinę, vakarinę, šiaurinę, </w:t>
            </w:r>
            <w:r w:rsidR="00B17CFD" w:rsidRPr="00A35DC4">
              <w:rPr>
                <w:rStyle w:val="wysiwyg-color-black"/>
                <w:spacing w:val="2"/>
                <w:shd w:val="clear" w:color="auto" w:fill="FFFFFF"/>
              </w:rPr>
              <w:t>pietinę</w:t>
            </w:r>
            <w:r w:rsidR="00C55CF9">
              <w:rPr>
                <w:rStyle w:val="wysiwyg-color-black"/>
                <w:spacing w:val="2"/>
                <w:shd w:val="clear" w:color="auto" w:fill="FFFFFF"/>
              </w:rPr>
              <w:t xml:space="preserve"> teritoriją</w:t>
            </w:r>
            <w:r w:rsidR="00B17CFD" w:rsidRPr="00A35DC4">
              <w:rPr>
                <w:rStyle w:val="wysiwyg-color-black"/>
                <w:spacing w:val="2"/>
                <w:shd w:val="clear" w:color="auto" w:fill="FFFFFF"/>
              </w:rPr>
              <w:t>), skaidant pagal apskritis.</w:t>
            </w:r>
          </w:p>
          <w:p w14:paraId="3FFC02A7" w14:textId="41349C10" w:rsidR="00A7586F" w:rsidRPr="00A35DC4" w:rsidRDefault="00A7586F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E57549" w:rsidRPr="00A35DC4" w14:paraId="29E9E579" w14:textId="77777777" w:rsidTr="009A16CD">
        <w:tc>
          <w:tcPr>
            <w:tcW w:w="1935" w:type="dxa"/>
          </w:tcPr>
          <w:p w14:paraId="196C9F43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2_Specialiosios pirkimo</w:t>
            </w:r>
          </w:p>
          <w:p w14:paraId="77269A10" w14:textId="0FAA2FC1" w:rsidR="00AE5EAE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lygos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Dirbtuvių</w:t>
            </w:r>
          </w:p>
          <w:p w14:paraId="1EF15804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organizavimo paslaugos</w:t>
            </w:r>
          </w:p>
          <w:p w14:paraId="2BCA6334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17. Pasiūlymų galiojimo</w:t>
            </w:r>
          </w:p>
          <w:p w14:paraId="5FADFC92" w14:textId="0E4C7BE3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A35DC4">
              <w:t>užtikrinimas</w:t>
            </w:r>
          </w:p>
        </w:tc>
        <w:tc>
          <w:tcPr>
            <w:tcW w:w="4439" w:type="dxa"/>
          </w:tcPr>
          <w:p w14:paraId="30BF48FA" w14:textId="2BBB5EB5" w:rsidR="00E57549" w:rsidRPr="00A35DC4" w:rsidRDefault="00AE5EAE" w:rsidP="00806D2E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Jei Tiekėjas teikia pasiūlymą keliems pirkimo objektams, ar užtenka</w:t>
            </w:r>
            <w:r w:rsidR="0080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vienos banko garantijos arba draudimo bendrovės laidavimo, ar reikia</w:t>
            </w:r>
            <w:r w:rsidR="0080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pateikti kiekvienai pirkimo daliai po atskirą banko garantiją arba</w:t>
            </w:r>
            <w:r w:rsidR="0080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D2E">
              <w:rPr>
                <w:rFonts w:ascii="Times New Roman" w:hAnsi="Times New Roman" w:cs="Times New Roman"/>
                <w:sz w:val="24"/>
                <w:szCs w:val="24"/>
              </w:rPr>
              <w:t>laidavimą?</w:t>
            </w:r>
          </w:p>
        </w:tc>
        <w:tc>
          <w:tcPr>
            <w:tcW w:w="3402" w:type="dxa"/>
          </w:tcPr>
          <w:p w14:paraId="47FB49BD" w14:textId="77777777" w:rsidR="00E57549" w:rsidRPr="00A35DC4" w:rsidRDefault="00EC5B72" w:rsidP="009A16CD">
            <w:pPr>
              <w:pStyle w:val="Antrat1"/>
              <w:tabs>
                <w:tab w:val="left" w:pos="426"/>
                <w:tab w:val="left" w:pos="4820"/>
              </w:tabs>
              <w:ind w:firstLine="0"/>
              <w:outlineLvl w:val="0"/>
              <w:rPr>
                <w:color w:val="000000" w:themeColor="text1"/>
                <w:szCs w:val="24"/>
              </w:rPr>
            </w:pPr>
            <w:r w:rsidRPr="00A35DC4">
              <w:rPr>
                <w:color w:val="000000" w:themeColor="text1"/>
                <w:szCs w:val="24"/>
              </w:rPr>
              <w:t>Kaip ir nurodyta Specialiųjų pirkimo sąlygų 17 punkte:</w:t>
            </w:r>
          </w:p>
          <w:p w14:paraId="0AF9D79F" w14:textId="77777777" w:rsidR="00EC5B72" w:rsidRPr="00A35DC4" w:rsidRDefault="00EC5B72" w:rsidP="00EC5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Reikalaujama pasiūlymo galiojimo užtikrinimo suma: ne mažiau kaip:</w:t>
            </w:r>
          </w:p>
          <w:p w14:paraId="2DD19CC5" w14:textId="77777777" w:rsidR="00EC5B72" w:rsidRPr="00A35DC4" w:rsidRDefault="00EC5B72" w:rsidP="00D80F5D">
            <w:pPr>
              <w:pStyle w:val="Sraopastraip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(pirmajai) Pirkimo objekto daliai – 1 500,00 (vienas tūkstantis penki šimtai) Eur;</w:t>
            </w:r>
          </w:p>
          <w:p w14:paraId="5D77F945" w14:textId="77777777" w:rsidR="00EC5B72" w:rsidRPr="00A35DC4" w:rsidRDefault="00EC5B72" w:rsidP="00D80F5D">
            <w:pPr>
              <w:pStyle w:val="Sraopastraip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 (antrajai) Pirkimo objekto daliai – 1 500,00 (vienas tūkstantis penki šimtai) Eur;</w:t>
            </w:r>
          </w:p>
          <w:p w14:paraId="5EA2C5C0" w14:textId="77777777" w:rsidR="00EC5B72" w:rsidRPr="00A35DC4" w:rsidRDefault="00EC5B72" w:rsidP="00D80F5D">
            <w:pPr>
              <w:pStyle w:val="Sraopastraip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(trečiajai) Pirkimo objekto daliai – 1 500,00 (vienas tūkstantis penki šimtai) Eur;</w:t>
            </w:r>
          </w:p>
          <w:p w14:paraId="25892FFE" w14:textId="01CA5C87" w:rsidR="00EC5B72" w:rsidRPr="00A35DC4" w:rsidRDefault="00EC5B72" w:rsidP="00D80F5D">
            <w:pPr>
              <w:pStyle w:val="Sraopastraip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(ketvirtajai) Pirkimo objekto daliai – 1 500,00 (vienas tūkstantis penki šimtai) Eur;“.</w:t>
            </w:r>
          </w:p>
          <w:p w14:paraId="5DAE15CD" w14:textId="77777777" w:rsidR="00816A80" w:rsidRDefault="00816A80" w:rsidP="00EC5B72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4A7C" w14:textId="7C72DDA6" w:rsidR="00EC5B72" w:rsidRPr="00A35DC4" w:rsidRDefault="00EC5B72" w:rsidP="00EC5B72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Pasiūlymo galiojimo užtikrinimas turi būti pateiktas kiekvienai pirkimo objekto daliai atskirai.</w:t>
            </w:r>
          </w:p>
          <w:p w14:paraId="355F73CA" w14:textId="1B02E391" w:rsidR="00EC5B72" w:rsidRPr="00A35DC4" w:rsidRDefault="00EC5B72" w:rsidP="00EC5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9" w:rsidRPr="00A35DC4" w14:paraId="6D41C88B" w14:textId="77777777" w:rsidTr="009A16CD">
        <w:tc>
          <w:tcPr>
            <w:tcW w:w="1935" w:type="dxa"/>
          </w:tcPr>
          <w:p w14:paraId="575D75DC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2_Specialiosios pirkimo</w:t>
            </w:r>
          </w:p>
          <w:p w14:paraId="377F6259" w14:textId="06877D55" w:rsidR="00AE5EAE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lygos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EAE" w:rsidRPr="00A35DC4">
              <w:rPr>
                <w:rFonts w:ascii="Times New Roman" w:hAnsi="Times New Roman" w:cs="Times New Roman"/>
                <w:sz w:val="24"/>
                <w:szCs w:val="24"/>
              </w:rPr>
              <w:t>Dirbtuvių</w:t>
            </w:r>
          </w:p>
          <w:p w14:paraId="2CECB99D" w14:textId="77777777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organizavimo paslaugos</w:t>
            </w:r>
          </w:p>
          <w:p w14:paraId="0D152BAD" w14:textId="1099883E" w:rsidR="00E57549" w:rsidRPr="00A35DC4" w:rsidRDefault="00AE5EAE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A35DC4">
              <w:t>24. Finansavimas</w:t>
            </w:r>
          </w:p>
        </w:tc>
        <w:tc>
          <w:tcPr>
            <w:tcW w:w="4439" w:type="dxa"/>
          </w:tcPr>
          <w:p w14:paraId="2DEB2876" w14:textId="031F3E6B" w:rsidR="00AE5EAE" w:rsidRPr="00A7586F" w:rsidRDefault="00AE5EAE" w:rsidP="00D80F5D">
            <w:pPr>
              <w:pStyle w:val="Sraopastraipa"/>
              <w:numPr>
                <w:ilvl w:val="0"/>
                <w:numId w:val="5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358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Ar dirbtuvių (renginių) organizavimo paslaugos yra</w:t>
            </w:r>
            <w:r w:rsidR="00A7586F" w:rsidRP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priskiriamos prie PVMĮ įstatyme 22 str. numatytų išimčių, kai</w:t>
            </w:r>
            <w:r w:rsidR="00A7586F" w:rsidRP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pasinaudojant straipsnyje numatyta lengvata yra netaikomas</w:t>
            </w:r>
            <w:r w:rsidR="00A7586F" w:rsidRP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PVM šio pirkimo objektui.</w:t>
            </w:r>
          </w:p>
          <w:p w14:paraId="7BE80BF8" w14:textId="6F4CD3CA" w:rsidR="00AE5EAE" w:rsidRPr="00A7586F" w:rsidRDefault="00AE5EAE" w:rsidP="00D80F5D">
            <w:pPr>
              <w:pStyle w:val="Sraopastraipa"/>
              <w:numPr>
                <w:ilvl w:val="0"/>
                <w:numId w:val="5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358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Norime pasiteirauti kokiu skaičiavimu buvo įvertintos pirkimo</w:t>
            </w:r>
            <w:r w:rsidR="00A7586F" w:rsidRP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objektų sumos:</w:t>
            </w:r>
          </w:p>
          <w:p w14:paraId="3EC2E46D" w14:textId="19C48C4C" w:rsidR="00AE5EAE" w:rsidRPr="00A35DC4" w:rsidRDefault="00AE5EAE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• Ar buvo įvertintos lektorių, lektorių ekspertų, projekto vadovo</w:t>
            </w:r>
            <w:r w:rsid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vidutinis darbo rinkos įkainis?</w:t>
            </w:r>
          </w:p>
          <w:p w14:paraId="5DB5D337" w14:textId="77777777" w:rsidR="00E57549" w:rsidRDefault="00AE5EAE" w:rsidP="00A7586F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• Ar buvo atsižvelgta į patalpų nuomos, informacinės sistemos</w:t>
            </w:r>
            <w:r w:rsidR="00A7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86F">
              <w:rPr>
                <w:rFonts w:ascii="Times New Roman" w:hAnsi="Times New Roman" w:cs="Times New Roman"/>
                <w:sz w:val="24"/>
                <w:szCs w:val="24"/>
              </w:rPr>
              <w:t>kūrimo vidutines rinkos kainas?</w:t>
            </w:r>
          </w:p>
          <w:p w14:paraId="003941BA" w14:textId="6975FA83" w:rsidR="00A7586F" w:rsidRPr="00A7586F" w:rsidRDefault="00A7586F" w:rsidP="00A7586F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306F95" w14:textId="0573BD53" w:rsidR="00112F08" w:rsidRPr="00852E89" w:rsidRDefault="00112F08" w:rsidP="00112F08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112F08">
              <w:rPr>
                <w:color w:val="000000" w:themeColor="text1"/>
              </w:rPr>
              <w:t xml:space="preserve">1. </w:t>
            </w:r>
            <w:r w:rsidR="00852E89">
              <w:rPr>
                <w:color w:val="000000" w:themeColor="text1"/>
              </w:rPr>
              <w:t>Tiekėjai, teikiantys tokio pobūdžio paslaugas</w:t>
            </w:r>
            <w:r w:rsidR="00981FCF">
              <w:rPr>
                <w:color w:val="000000" w:themeColor="text1"/>
              </w:rPr>
              <w:t>,</w:t>
            </w:r>
            <w:r w:rsidR="00852E89">
              <w:rPr>
                <w:color w:val="000000" w:themeColor="text1"/>
              </w:rPr>
              <w:t xml:space="preserve"> turi būti susipažinę su teisiniu reglamentavimu ir įvertinti, ar paslaugos bus priskiriamos prie PVMĮ įstatyme </w:t>
            </w:r>
            <w:r w:rsidR="00852E89" w:rsidRPr="00516872">
              <w:rPr>
                <w:color w:val="000000" w:themeColor="text1"/>
              </w:rPr>
              <w:t>2</w:t>
            </w:r>
            <w:r w:rsidR="00852E89">
              <w:rPr>
                <w:color w:val="000000" w:themeColor="text1"/>
              </w:rPr>
              <w:t>2 str. numatytų išimčių.</w:t>
            </w:r>
          </w:p>
          <w:p w14:paraId="2F9B20B0" w14:textId="5A8A4C36" w:rsidR="00E57549" w:rsidRPr="00A35DC4" w:rsidRDefault="00112F08" w:rsidP="00137BBB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112F08">
              <w:rPr>
                <w:color w:val="000000" w:themeColor="text1"/>
              </w:rPr>
              <w:t xml:space="preserve">2. Perkančioji organizacija pirkimo objektų preliminariais kainas </w:t>
            </w:r>
            <w:r w:rsidR="00852E89">
              <w:rPr>
                <w:color w:val="000000" w:themeColor="text1"/>
              </w:rPr>
              <w:t>nustatė, atlikusi rinkos tyrimą (apklaususi rinkos dalyvius)</w:t>
            </w:r>
            <w:r w:rsidRPr="00112F08">
              <w:rPr>
                <w:color w:val="000000" w:themeColor="text1"/>
              </w:rPr>
              <w:t>.</w:t>
            </w:r>
          </w:p>
        </w:tc>
      </w:tr>
      <w:tr w:rsidR="00E57549" w:rsidRPr="00A35DC4" w14:paraId="17E3610D" w14:textId="77777777" w:rsidTr="009A16CD">
        <w:tc>
          <w:tcPr>
            <w:tcW w:w="1935" w:type="dxa"/>
          </w:tcPr>
          <w:p w14:paraId="7B0ED3B8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</w:p>
          <w:p w14:paraId="02DD3A46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  <w:p w14:paraId="41A5BF74" w14:textId="7C114FCA" w:rsidR="00E57549" w:rsidRPr="00A35DC4" w:rsidRDefault="009A16CD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  <w:lang w:val="en-US"/>
              </w:rPr>
            </w:pPr>
            <w:r w:rsidRPr="00A35DC4">
              <w:t>1.2.2 punktas</w:t>
            </w:r>
          </w:p>
        </w:tc>
        <w:tc>
          <w:tcPr>
            <w:tcW w:w="4439" w:type="dxa"/>
          </w:tcPr>
          <w:p w14:paraId="22A47DB0" w14:textId="714B26D9" w:rsidR="009A16CD" w:rsidRPr="00981FCF" w:rsidRDefault="009A16CD" w:rsidP="00D80F5D">
            <w:pPr>
              <w:pStyle w:val="Sraopastraipa"/>
              <w:numPr>
                <w:ilvl w:val="0"/>
                <w:numId w:val="6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35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81FCF">
              <w:rPr>
                <w:rFonts w:ascii="Times New Roman" w:hAnsi="Times New Roman" w:cs="Times New Roman"/>
                <w:sz w:val="24"/>
                <w:szCs w:val="24"/>
              </w:rPr>
              <w:t>Kaip bus nustatoma, kad dirbtuvėse dalyvaujantys žmonės</w:t>
            </w:r>
            <w:r w:rsidR="00981FCF" w:rsidRPr="00981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FCF">
              <w:rPr>
                <w:rFonts w:ascii="Times New Roman" w:hAnsi="Times New Roman" w:cs="Times New Roman"/>
                <w:sz w:val="24"/>
                <w:szCs w:val="24"/>
              </w:rPr>
              <w:t>atitinka projekto tikslinės grupės apibrėžimą (pvz., vyresnio</w:t>
            </w:r>
            <w:r w:rsidR="00981FCF" w:rsidRPr="00981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FCF">
              <w:rPr>
                <w:rFonts w:ascii="Times New Roman" w:hAnsi="Times New Roman" w:cs="Times New Roman"/>
                <w:sz w:val="24"/>
                <w:szCs w:val="24"/>
              </w:rPr>
              <w:t>amžiaus žmonės, neįgalieji, bedarbiai)?</w:t>
            </w:r>
          </w:p>
          <w:p w14:paraId="0EAE8BBA" w14:textId="68E7740D" w:rsidR="00E57549" w:rsidRPr="00981FCF" w:rsidRDefault="009A16CD" w:rsidP="00D80F5D">
            <w:pPr>
              <w:pStyle w:val="Sraopastraipa"/>
              <w:numPr>
                <w:ilvl w:val="0"/>
                <w:numId w:val="6"/>
              </w:numPr>
              <w:tabs>
                <w:tab w:val="left" w:pos="4820"/>
              </w:tabs>
              <w:autoSpaceDE w:val="0"/>
              <w:autoSpaceDN w:val="0"/>
              <w:adjustRightInd w:val="0"/>
              <w:ind w:left="358" w:hanging="425"/>
              <w:rPr>
                <w:color w:val="000000" w:themeColor="text1"/>
              </w:rPr>
            </w:pPr>
            <w:r w:rsidRPr="00981FCF">
              <w:rPr>
                <w:rFonts w:ascii="Times New Roman" w:hAnsi="Times New Roman" w:cs="Times New Roman"/>
                <w:sz w:val="24"/>
                <w:szCs w:val="24"/>
              </w:rPr>
              <w:t>Kokius įrodymus Tiekėjas turės pateikti, kad atitinka</w:t>
            </w:r>
            <w:r w:rsidR="00981FCF" w:rsidRPr="00981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FCF">
              <w:rPr>
                <w:rFonts w:ascii="Times New Roman" w:hAnsi="Times New Roman" w:cs="Times New Roman"/>
                <w:sz w:val="24"/>
                <w:szCs w:val="24"/>
              </w:rPr>
              <w:t>atstovaujamą tikslinę auditoriją.</w:t>
            </w:r>
          </w:p>
        </w:tc>
        <w:tc>
          <w:tcPr>
            <w:tcW w:w="3402" w:type="dxa"/>
          </w:tcPr>
          <w:p w14:paraId="1D5F292E" w14:textId="7148BDA6" w:rsidR="00E57549" w:rsidRDefault="00517327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Paslaugos tei</w:t>
            </w:r>
            <w:r w:rsidR="00CC5422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 xml:space="preserve">ėjas </w:t>
            </w:r>
            <w:r w:rsidR="00CC5422">
              <w:rPr>
                <w:color w:val="000000" w:themeColor="text1"/>
              </w:rPr>
              <w:t xml:space="preserve">savo parinktomis priemonėmis </w:t>
            </w:r>
            <w:r>
              <w:rPr>
                <w:color w:val="000000" w:themeColor="text1"/>
              </w:rPr>
              <w:t xml:space="preserve">turės </w:t>
            </w:r>
            <w:r w:rsidR="00C1138E">
              <w:rPr>
                <w:color w:val="000000" w:themeColor="text1"/>
              </w:rPr>
              <w:t>užtikrinti</w:t>
            </w:r>
            <w:r>
              <w:rPr>
                <w:color w:val="000000" w:themeColor="text1"/>
              </w:rPr>
              <w:t>, kad dirbtuvėse dalyvau</w:t>
            </w:r>
            <w:r w:rsidR="00C1138E">
              <w:rPr>
                <w:color w:val="000000" w:themeColor="text1"/>
              </w:rPr>
              <w:t>tų</w:t>
            </w:r>
            <w:r>
              <w:rPr>
                <w:color w:val="000000" w:themeColor="text1"/>
              </w:rPr>
              <w:t xml:space="preserve"> </w:t>
            </w:r>
            <w:r w:rsidR="00CC5422">
              <w:rPr>
                <w:color w:val="000000" w:themeColor="text1"/>
              </w:rPr>
              <w:t>tikslinę grupę atstovaujantys asmenys</w:t>
            </w:r>
            <w:r w:rsidR="00012A54">
              <w:rPr>
                <w:color w:val="000000" w:themeColor="text1"/>
              </w:rPr>
              <w:t>.</w:t>
            </w:r>
          </w:p>
          <w:p w14:paraId="2F3AC226" w14:textId="77777777" w:rsidR="00813A5C" w:rsidRDefault="00813A5C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  <w:p w14:paraId="002D33B0" w14:textId="77777777" w:rsidR="00012A54" w:rsidRDefault="00012A54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Tiekėjas turės </w:t>
            </w:r>
            <w:r w:rsidR="00C1138E" w:rsidRPr="00C1138E">
              <w:rPr>
                <w:color w:val="000000" w:themeColor="text1"/>
              </w:rPr>
              <w:t xml:space="preserve">pildyti </w:t>
            </w:r>
            <w:r w:rsidR="00C1138E">
              <w:rPr>
                <w:color w:val="000000" w:themeColor="text1"/>
              </w:rPr>
              <w:t xml:space="preserve">Techninės specifikacijos 2.2.9 punkte nurodytus </w:t>
            </w:r>
            <w:r w:rsidR="00C1138E" w:rsidRPr="00C1138E">
              <w:rPr>
                <w:color w:val="000000" w:themeColor="text1"/>
              </w:rPr>
              <w:t>renginių apskaitos dokumentus</w:t>
            </w:r>
            <w:r w:rsidR="00C1138E">
              <w:rPr>
                <w:color w:val="000000" w:themeColor="text1"/>
              </w:rPr>
              <w:t xml:space="preserve"> ir juos</w:t>
            </w:r>
            <w:r w:rsidR="00C1138E" w:rsidRPr="00C1138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pateikti </w:t>
            </w:r>
            <w:r w:rsidR="00C1138E">
              <w:rPr>
                <w:color w:val="000000" w:themeColor="text1"/>
              </w:rPr>
              <w:t xml:space="preserve">Perkančiajai organizacijai. </w:t>
            </w:r>
            <w:r w:rsidR="00755348">
              <w:rPr>
                <w:color w:val="000000" w:themeColor="text1"/>
              </w:rPr>
              <w:t xml:space="preserve"> </w:t>
            </w:r>
            <w:r w:rsidR="00C1138E">
              <w:rPr>
                <w:color w:val="000000" w:themeColor="text1"/>
              </w:rPr>
              <w:t xml:space="preserve">Dalyvių atitikimą </w:t>
            </w:r>
            <w:r w:rsidR="00342BBE">
              <w:rPr>
                <w:color w:val="000000" w:themeColor="text1"/>
              </w:rPr>
              <w:t xml:space="preserve">tikslinei grupei </w:t>
            </w:r>
            <w:r w:rsidR="00C1138E">
              <w:rPr>
                <w:color w:val="000000" w:themeColor="text1"/>
              </w:rPr>
              <w:t>į</w:t>
            </w:r>
            <w:r w:rsidR="00BB3C51">
              <w:rPr>
                <w:color w:val="000000" w:themeColor="text1"/>
              </w:rPr>
              <w:t xml:space="preserve">rodančių dokumentų pateikti </w:t>
            </w:r>
            <w:r w:rsidR="00C1138E">
              <w:rPr>
                <w:color w:val="000000" w:themeColor="text1"/>
              </w:rPr>
              <w:t>nereikalaujama</w:t>
            </w:r>
            <w:r w:rsidR="00BB3C51">
              <w:rPr>
                <w:color w:val="000000" w:themeColor="text1"/>
              </w:rPr>
              <w:t xml:space="preserve">. </w:t>
            </w:r>
          </w:p>
          <w:p w14:paraId="59331617" w14:textId="4DD20C2D" w:rsidR="00311225" w:rsidRPr="00A35DC4" w:rsidRDefault="00311225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E57549" w:rsidRPr="00A35DC4" w14:paraId="78C4A4E2" w14:textId="77777777" w:rsidTr="009A16CD">
        <w:tc>
          <w:tcPr>
            <w:tcW w:w="1935" w:type="dxa"/>
          </w:tcPr>
          <w:p w14:paraId="15E425A7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</w:p>
          <w:p w14:paraId="6C8541C5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SPECIFIKACIJA</w:t>
            </w:r>
          </w:p>
          <w:p w14:paraId="43F1447E" w14:textId="4F39150E" w:rsidR="00E57549" w:rsidRPr="00A35DC4" w:rsidRDefault="009A16CD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</w:rPr>
            </w:pPr>
            <w:r w:rsidRPr="00A35DC4">
              <w:t>1.3.2. punktas</w:t>
            </w:r>
          </w:p>
        </w:tc>
        <w:tc>
          <w:tcPr>
            <w:tcW w:w="4439" w:type="dxa"/>
          </w:tcPr>
          <w:p w14:paraId="19DD80EC" w14:textId="0888B1ED" w:rsidR="00E57549" w:rsidRPr="00A35DC4" w:rsidRDefault="009A16CD" w:rsidP="00311225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 objektų dalyse yra įvardintas tikslus renginių skaičius. Ar tai</w:t>
            </w:r>
            <w:r w:rsidR="0031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reiškia, kad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Tiekėjas privalės įvykdyti nurodytą renginių skaičių, nei</w:t>
            </w:r>
            <w:r w:rsidR="0031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25">
              <w:rPr>
                <w:rFonts w:ascii="Times New Roman" w:hAnsi="Times New Roman" w:cs="Times New Roman"/>
                <w:sz w:val="24"/>
                <w:szCs w:val="24"/>
              </w:rPr>
              <w:t>daugiau, nei mažiau?</w:t>
            </w:r>
          </w:p>
        </w:tc>
        <w:tc>
          <w:tcPr>
            <w:tcW w:w="3402" w:type="dxa"/>
          </w:tcPr>
          <w:p w14:paraId="1B14B50E" w14:textId="3A6296DD" w:rsidR="00FE3B5E" w:rsidRDefault="00C376B2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 w:rsidRPr="00C376B2">
              <w:rPr>
                <w:color w:val="000000" w:themeColor="text1"/>
              </w:rPr>
              <w:lastRenderedPageBreak/>
              <w:t xml:space="preserve">Techninės specifikacijos 1.3.2. punkte nurodomas </w:t>
            </w:r>
            <w:r w:rsidR="00470EAB">
              <w:rPr>
                <w:color w:val="000000" w:themeColor="text1"/>
              </w:rPr>
              <w:t xml:space="preserve">minimalus </w:t>
            </w:r>
            <w:r w:rsidR="00BD03B0" w:rsidRPr="00C376B2">
              <w:rPr>
                <w:color w:val="000000" w:themeColor="text1"/>
              </w:rPr>
              <w:t xml:space="preserve"> </w:t>
            </w:r>
            <w:r w:rsidRPr="00C376B2">
              <w:rPr>
                <w:color w:val="000000" w:themeColor="text1"/>
              </w:rPr>
              <w:lastRenderedPageBreak/>
              <w:t xml:space="preserve">renginių </w:t>
            </w:r>
            <w:r w:rsidR="00532E2F">
              <w:rPr>
                <w:color w:val="000000" w:themeColor="text1"/>
              </w:rPr>
              <w:t xml:space="preserve">ir minimalus </w:t>
            </w:r>
            <w:r w:rsidRPr="00C376B2">
              <w:rPr>
                <w:color w:val="000000" w:themeColor="text1"/>
              </w:rPr>
              <w:t xml:space="preserve">dalyvių skaičius, kurį paslaugos teikėjas turi įvykdyti. </w:t>
            </w:r>
          </w:p>
          <w:p w14:paraId="5439A3A5" w14:textId="77777777" w:rsidR="00311225" w:rsidRDefault="00311225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  <w:p w14:paraId="5BACDA5F" w14:textId="6B5310D2" w:rsidR="00E57549" w:rsidRPr="00311225" w:rsidRDefault="00532E2F" w:rsidP="00D80F5D">
            <w:pPr>
              <w:pStyle w:val="S2lygis"/>
              <w:numPr>
                <w:ilvl w:val="1"/>
                <w:numId w:val="2"/>
              </w:numPr>
              <w:tabs>
                <w:tab w:val="left" w:pos="567"/>
                <w:tab w:val="left" w:pos="4820"/>
              </w:tabs>
              <w:spacing w:before="0" w:after="0"/>
              <w:ind w:left="0" w:firstLine="709"/>
              <w:rPr>
                <w:color w:val="000000" w:themeColor="text1"/>
              </w:rPr>
            </w:pPr>
            <w:r w:rsidRPr="00311225">
              <w:rPr>
                <w:color w:val="000000" w:themeColor="text1"/>
              </w:rPr>
              <w:t>Sutarties 2.3 punkte nustatyta „</w:t>
            </w:r>
            <w:r w:rsidRPr="00330942">
              <w:t>Į Sutarties kainą įskaitoma Paslaugų kaina, visi mokesčiai ir rinkliavos bei kitos išlaidos, susijusios su tinkamu Sutarties vykdymu.</w:t>
            </w:r>
            <w:r>
              <w:t xml:space="preserve"> </w:t>
            </w:r>
            <w:r w:rsidRPr="00311225">
              <w:rPr>
                <w:i/>
                <w:iCs/>
              </w:rPr>
              <w:t xml:space="preserve">Galutinė kaina, kurią Paslaugų gavėjas turės sumokėti Paslaugų teikėjui, priklausys nuo vykdant Sutartį suteiktų Paslaugų kiekio, tačiau ji negali viršyti Sutarties 2.1 punkte nurodytos Pradinės sutarties vertės.“ </w:t>
            </w:r>
          </w:p>
          <w:p w14:paraId="61A7ADD5" w14:textId="000590AF" w:rsidR="00FE3B5E" w:rsidRPr="00A35DC4" w:rsidRDefault="00FE3B5E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E57549" w:rsidRPr="00A35DC4" w14:paraId="5352C2BA" w14:textId="77777777" w:rsidTr="009A16CD">
        <w:tc>
          <w:tcPr>
            <w:tcW w:w="1935" w:type="dxa"/>
          </w:tcPr>
          <w:p w14:paraId="106F6453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TECHNINĖ</w:t>
            </w:r>
          </w:p>
          <w:p w14:paraId="1C687ADA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  <w:p w14:paraId="7C5DB655" w14:textId="6F3DC799" w:rsidR="00E57549" w:rsidRPr="00A35DC4" w:rsidRDefault="009A16CD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</w:rPr>
            </w:pPr>
            <w:r w:rsidRPr="00A35DC4">
              <w:t>2.2.8 punktas</w:t>
            </w:r>
          </w:p>
        </w:tc>
        <w:tc>
          <w:tcPr>
            <w:tcW w:w="4439" w:type="dxa"/>
          </w:tcPr>
          <w:p w14:paraId="3228CF18" w14:textId="7785FC0C" w:rsidR="00E57549" w:rsidRPr="00A35DC4" w:rsidRDefault="009A16CD" w:rsidP="00311225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Siekiant užtikrinti efektyvų išteklių naudojimą, siūlome apsvarstyti</w:t>
            </w:r>
            <w:r w:rsidR="0031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galimybę, kad pati Perkančioji organizacija sukurtų vieningą sistemą</w:t>
            </w:r>
            <w:r w:rsidR="0031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dirbtuvių renginių ir jų dalyvių apskaitai. Tai leistų optimizuoti</w:t>
            </w:r>
            <w:r w:rsidR="0031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25">
              <w:rPr>
                <w:rFonts w:ascii="Times New Roman" w:hAnsi="Times New Roman" w:cs="Times New Roman"/>
                <w:sz w:val="24"/>
                <w:szCs w:val="24"/>
              </w:rPr>
              <w:t>procesus ir išvengti nereikalingų dubliavimų.</w:t>
            </w:r>
          </w:p>
        </w:tc>
        <w:tc>
          <w:tcPr>
            <w:tcW w:w="3402" w:type="dxa"/>
          </w:tcPr>
          <w:p w14:paraId="3BBB3FEF" w14:textId="6B5D686A" w:rsidR="00E57549" w:rsidRDefault="0045705C" w:rsidP="0045705C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Perkančioji organizacija </w:t>
            </w:r>
            <w:r w:rsidR="002B700A">
              <w:rPr>
                <w:color w:val="000000" w:themeColor="text1"/>
              </w:rPr>
              <w:t>siekia įsigyti vis</w:t>
            </w:r>
            <w:r w:rsidR="00C1138E">
              <w:rPr>
                <w:color w:val="000000" w:themeColor="text1"/>
              </w:rPr>
              <w:t>uminę</w:t>
            </w:r>
            <w:r w:rsidR="002B700A">
              <w:rPr>
                <w:color w:val="000000" w:themeColor="text1"/>
              </w:rPr>
              <w:t xml:space="preserve"> paslaugą iš </w:t>
            </w:r>
            <w:r w:rsidR="00A51D8F">
              <w:rPr>
                <w:color w:val="000000" w:themeColor="text1"/>
              </w:rPr>
              <w:t>t</w:t>
            </w:r>
            <w:r w:rsidR="00C1138E">
              <w:rPr>
                <w:color w:val="000000" w:themeColor="text1"/>
              </w:rPr>
              <w:t>ei</w:t>
            </w:r>
            <w:r w:rsidR="00A51D8F">
              <w:rPr>
                <w:color w:val="000000" w:themeColor="text1"/>
              </w:rPr>
              <w:t>kėjo</w:t>
            </w:r>
            <w:r w:rsidR="00C1138E">
              <w:rPr>
                <w:color w:val="000000" w:themeColor="text1"/>
              </w:rPr>
              <w:t>, kuri apimtų ir dalyvių apskaitą</w:t>
            </w:r>
            <w:r w:rsidR="00A51D8F">
              <w:rPr>
                <w:color w:val="000000" w:themeColor="text1"/>
              </w:rPr>
              <w:t xml:space="preserve">. </w:t>
            </w:r>
          </w:p>
          <w:p w14:paraId="40209B36" w14:textId="3A0C84A6" w:rsidR="00A51D8F" w:rsidRDefault="00A51D8F" w:rsidP="0045705C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Perkančioji organizacija nenustato konkrečių </w:t>
            </w:r>
            <w:r w:rsidR="007D1B41">
              <w:rPr>
                <w:color w:val="000000" w:themeColor="text1"/>
              </w:rPr>
              <w:t xml:space="preserve">apskaitos </w:t>
            </w:r>
            <w:r>
              <w:rPr>
                <w:color w:val="000000" w:themeColor="text1"/>
              </w:rPr>
              <w:t>technin</w:t>
            </w:r>
            <w:r w:rsidR="007D1B41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ų parametrų, </w:t>
            </w:r>
            <w:r w:rsidR="007D1B41">
              <w:rPr>
                <w:color w:val="000000" w:themeColor="text1"/>
              </w:rPr>
              <w:t xml:space="preserve">paslaugos </w:t>
            </w:r>
            <w:r>
              <w:rPr>
                <w:color w:val="000000" w:themeColor="text1"/>
              </w:rPr>
              <w:t>t</w:t>
            </w:r>
            <w:r w:rsidR="007D1B41">
              <w:rPr>
                <w:color w:val="000000" w:themeColor="text1"/>
              </w:rPr>
              <w:t>ei</w:t>
            </w:r>
            <w:r>
              <w:rPr>
                <w:color w:val="000000" w:themeColor="text1"/>
              </w:rPr>
              <w:t xml:space="preserve">kėjas gali </w:t>
            </w:r>
            <w:r w:rsidR="007D1B41">
              <w:rPr>
                <w:color w:val="000000" w:themeColor="text1"/>
              </w:rPr>
              <w:t xml:space="preserve">pats </w:t>
            </w:r>
            <w:r>
              <w:rPr>
                <w:color w:val="000000" w:themeColor="text1"/>
              </w:rPr>
              <w:t>laisvai rinktis</w:t>
            </w:r>
            <w:r w:rsidR="003E7A5E">
              <w:rPr>
                <w:color w:val="000000" w:themeColor="text1"/>
              </w:rPr>
              <w:t xml:space="preserve"> </w:t>
            </w:r>
            <w:r w:rsidR="007D1B41">
              <w:rPr>
                <w:color w:val="000000" w:themeColor="text1"/>
              </w:rPr>
              <w:t xml:space="preserve">jo naudosimą </w:t>
            </w:r>
            <w:r w:rsidR="00F06F8B">
              <w:rPr>
                <w:color w:val="000000" w:themeColor="text1"/>
              </w:rPr>
              <w:t xml:space="preserve">informacinę sistemą. </w:t>
            </w:r>
          </w:p>
          <w:p w14:paraId="74FDD535" w14:textId="67C65955" w:rsidR="00F06F8B" w:rsidRDefault="00F06F8B" w:rsidP="00516872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Perkančioji organizacija nenuma</w:t>
            </w:r>
            <w:r w:rsidR="007D1B41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 xml:space="preserve">o </w:t>
            </w:r>
            <w:r w:rsidR="00C166B8">
              <w:rPr>
                <w:color w:val="000000" w:themeColor="text1"/>
              </w:rPr>
              <w:t xml:space="preserve">atskirai </w:t>
            </w:r>
            <w:r>
              <w:rPr>
                <w:color w:val="000000" w:themeColor="text1"/>
              </w:rPr>
              <w:t xml:space="preserve">kurti </w:t>
            </w:r>
            <w:r w:rsidR="00C166B8">
              <w:rPr>
                <w:color w:val="000000" w:themeColor="text1"/>
              </w:rPr>
              <w:t xml:space="preserve">informacinės </w:t>
            </w:r>
            <w:r>
              <w:rPr>
                <w:color w:val="000000" w:themeColor="text1"/>
              </w:rPr>
              <w:t>sistemos</w:t>
            </w:r>
            <w:r w:rsidR="007D1B41">
              <w:rPr>
                <w:color w:val="000000" w:themeColor="text1"/>
              </w:rPr>
              <w:t xml:space="preserve"> ar ją įsigyti</w:t>
            </w:r>
            <w:r>
              <w:rPr>
                <w:color w:val="000000" w:themeColor="text1"/>
              </w:rPr>
              <w:t xml:space="preserve">. </w:t>
            </w:r>
          </w:p>
          <w:p w14:paraId="629D9B11" w14:textId="0D499CB0" w:rsidR="001F566E" w:rsidRPr="00A35DC4" w:rsidRDefault="001F566E" w:rsidP="00516872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E57549" w:rsidRPr="00A35DC4" w14:paraId="0A0D12AB" w14:textId="77777777" w:rsidTr="009A16CD">
        <w:tc>
          <w:tcPr>
            <w:tcW w:w="1935" w:type="dxa"/>
          </w:tcPr>
          <w:p w14:paraId="5931DCAB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</w:p>
          <w:p w14:paraId="68EB6549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  <w:p w14:paraId="75445A55" w14:textId="29998134" w:rsidR="00E57549" w:rsidRPr="00A35DC4" w:rsidRDefault="009A16CD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bCs/>
              </w:rPr>
            </w:pPr>
            <w:r w:rsidRPr="00A35DC4">
              <w:t>2.2.2 punktas</w:t>
            </w:r>
          </w:p>
        </w:tc>
        <w:tc>
          <w:tcPr>
            <w:tcW w:w="4439" w:type="dxa"/>
          </w:tcPr>
          <w:p w14:paraId="21D008A7" w14:textId="0687702C" w:rsidR="00E57549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Rekomenduojame netaikyti minimalaus dalyvių skaičiaus dirbtuvėse,</w:t>
            </w:r>
            <w:r w:rsidR="00C1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nes nutolusiuose regionuose bus sudėtinga surinkti minimalų dalyvių skaičių, </w:t>
            </w:r>
            <w:proofErr w:type="spellStart"/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. 20 į vieną renginį.</w:t>
            </w:r>
          </w:p>
          <w:p w14:paraId="5A4A6065" w14:textId="79366142" w:rsidR="00C166B8" w:rsidRPr="00A35DC4" w:rsidRDefault="00C166B8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0E3B9" w14:textId="59487CCB" w:rsidR="00E57549" w:rsidRPr="00A35DC4" w:rsidRDefault="007D1B41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Techninės specifikacijos </w:t>
            </w:r>
            <w:r w:rsidR="00503A4A">
              <w:rPr>
                <w:color w:val="000000" w:themeColor="text1"/>
              </w:rPr>
              <w:t>2.2.2. punktas nenumato minimalaus dalyvių skaičiaus dirbtuvėse</w:t>
            </w:r>
            <w:r w:rsidR="00C450D6">
              <w:rPr>
                <w:color w:val="000000" w:themeColor="text1"/>
              </w:rPr>
              <w:t xml:space="preserve"> (viename dirbtuvių renginyje)</w:t>
            </w:r>
            <w:r w:rsidR="00503A4A">
              <w:rPr>
                <w:color w:val="000000" w:themeColor="text1"/>
              </w:rPr>
              <w:t xml:space="preserve">. </w:t>
            </w:r>
          </w:p>
        </w:tc>
      </w:tr>
      <w:tr w:rsidR="009A16CD" w:rsidRPr="00A35DC4" w14:paraId="42B7A418" w14:textId="77777777" w:rsidTr="009A16CD">
        <w:tc>
          <w:tcPr>
            <w:tcW w:w="1935" w:type="dxa"/>
          </w:tcPr>
          <w:p w14:paraId="28552308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</w:p>
          <w:p w14:paraId="652DB150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  <w:p w14:paraId="51A5D691" w14:textId="24F83EE1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39" w:type="dxa"/>
          </w:tcPr>
          <w:p w14:paraId="62255848" w14:textId="7515134A" w:rsidR="009A16CD" w:rsidRPr="00A35DC4" w:rsidRDefault="009A16CD" w:rsidP="00C166B8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Techninėje specifikacijoje nėra tiksliai nurodyta ar dirbtuvės turi vykti</w:t>
            </w:r>
            <w:r w:rsidR="00C1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tiesiogiai ar nuotoliniu būdu.</w:t>
            </w:r>
          </w:p>
        </w:tc>
        <w:tc>
          <w:tcPr>
            <w:tcW w:w="3402" w:type="dxa"/>
          </w:tcPr>
          <w:p w14:paraId="30AD99A7" w14:textId="77777777" w:rsidR="009A16CD" w:rsidRDefault="00615457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Techninės specifikacijos 1 priede </w:t>
            </w:r>
            <w:r w:rsidR="007D1B41">
              <w:rPr>
                <w:color w:val="000000" w:themeColor="text1"/>
              </w:rPr>
              <w:t>(</w:t>
            </w:r>
            <w:r w:rsidR="005C2859">
              <w:rPr>
                <w:color w:val="000000" w:themeColor="text1"/>
              </w:rPr>
              <w:t>Dirbtuvių programos</w:t>
            </w:r>
            <w:r w:rsidR="007D1B41">
              <w:rPr>
                <w:color w:val="000000" w:themeColor="text1"/>
              </w:rPr>
              <w:t>)</w:t>
            </w:r>
            <w:r w:rsidR="005C2859">
              <w:rPr>
                <w:color w:val="000000" w:themeColor="text1"/>
              </w:rPr>
              <w:t xml:space="preserve"> nurodyta užsiėmimo forma – tiesioginiai praktiniai užsiėmimai</w:t>
            </w:r>
            <w:r w:rsidR="007D1B41">
              <w:rPr>
                <w:color w:val="000000" w:themeColor="text1"/>
              </w:rPr>
              <w:t>.</w:t>
            </w:r>
          </w:p>
          <w:p w14:paraId="4DB8B9AB" w14:textId="0DF8106A" w:rsidR="00C166B8" w:rsidRPr="00A35DC4" w:rsidRDefault="00C166B8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9A16CD" w:rsidRPr="00A35DC4" w14:paraId="276543B2" w14:textId="77777777" w:rsidTr="009A16CD">
        <w:tc>
          <w:tcPr>
            <w:tcW w:w="1935" w:type="dxa"/>
          </w:tcPr>
          <w:p w14:paraId="7186EECD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</w:p>
          <w:p w14:paraId="60842289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  <w:p w14:paraId="1DF8E776" w14:textId="482DC98C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2.2.9 punktas</w:t>
            </w:r>
          </w:p>
        </w:tc>
        <w:tc>
          <w:tcPr>
            <w:tcW w:w="4439" w:type="dxa"/>
          </w:tcPr>
          <w:p w14:paraId="70D4659E" w14:textId="6DD99171" w:rsidR="009A16CD" w:rsidRPr="00A35DC4" w:rsidRDefault="009A16CD" w:rsidP="00C166B8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Kiek laiko Tiekėjas privalės saugoti su dirbtuvėmis susijusius dalyvių</w:t>
            </w:r>
            <w:r w:rsidR="00C1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duomenis?</w:t>
            </w:r>
          </w:p>
        </w:tc>
        <w:tc>
          <w:tcPr>
            <w:tcW w:w="3402" w:type="dxa"/>
          </w:tcPr>
          <w:p w14:paraId="722E3F5D" w14:textId="5D2021EF" w:rsidR="009A16CD" w:rsidRDefault="007D1B41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Dirbtuvių dalyvių duomenis paslaugos teikėjas </w:t>
            </w:r>
            <w:r w:rsidR="00F206E6">
              <w:rPr>
                <w:color w:val="000000" w:themeColor="text1"/>
              </w:rPr>
              <w:t xml:space="preserve"> turi saugoti iki sutarties galiojimo pabaigos.</w:t>
            </w:r>
            <w:r>
              <w:rPr>
                <w:color w:val="000000" w:themeColor="text1"/>
              </w:rPr>
              <w:t xml:space="preserve"> </w:t>
            </w:r>
            <w:r w:rsidR="00C450D6">
              <w:rPr>
                <w:color w:val="000000" w:themeColor="text1"/>
              </w:rPr>
              <w:t>Paslaugų teikėjas šiuos</w:t>
            </w:r>
            <w:r>
              <w:rPr>
                <w:color w:val="000000" w:themeColor="text1"/>
              </w:rPr>
              <w:t xml:space="preserve"> duomen</w:t>
            </w:r>
            <w:r w:rsidR="00C450D6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s Perkančiajai organizacijai </w:t>
            </w:r>
            <w:r w:rsidR="00C450D6">
              <w:rPr>
                <w:color w:val="000000" w:themeColor="text1"/>
              </w:rPr>
              <w:t xml:space="preserve">turės perduoti </w:t>
            </w:r>
            <w:r>
              <w:rPr>
                <w:color w:val="000000" w:themeColor="text1"/>
              </w:rPr>
              <w:t>kartu su ataskaitomis</w:t>
            </w:r>
            <w:r w:rsidR="00C166B8">
              <w:rPr>
                <w:color w:val="000000" w:themeColor="text1"/>
              </w:rPr>
              <w:t>.</w:t>
            </w:r>
          </w:p>
          <w:p w14:paraId="1F4B50BE" w14:textId="4D873873" w:rsidR="00C166B8" w:rsidRPr="00A35DC4" w:rsidRDefault="00C166B8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9A16CD" w:rsidRPr="00A35DC4" w14:paraId="707C0866" w14:textId="77777777" w:rsidTr="009A16CD">
        <w:tc>
          <w:tcPr>
            <w:tcW w:w="1935" w:type="dxa"/>
          </w:tcPr>
          <w:p w14:paraId="115E3148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SPS 7 priedas</w:t>
            </w:r>
          </w:p>
          <w:p w14:paraId="01D851DD" w14:textId="659555A5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4.2. punktas</w:t>
            </w:r>
          </w:p>
        </w:tc>
        <w:tc>
          <w:tcPr>
            <w:tcW w:w="4439" w:type="dxa"/>
          </w:tcPr>
          <w:p w14:paraId="62C938FD" w14:textId="383922FE" w:rsidR="009A16CD" w:rsidRPr="00A35DC4" w:rsidRDefault="009A16CD" w:rsidP="00C166B8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Ar galite patikslinti ką šiame punkte reiškia: „E. paslaugų</w:t>
            </w:r>
            <w:r w:rsidR="00C1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demonstracinės medžiagos ir aplinkų parengimas“.</w:t>
            </w:r>
          </w:p>
        </w:tc>
        <w:tc>
          <w:tcPr>
            <w:tcW w:w="3402" w:type="dxa"/>
          </w:tcPr>
          <w:p w14:paraId="728E4172" w14:textId="77777777" w:rsidR="00D80F5D" w:rsidRDefault="00EC5B72" w:rsidP="00D80F5D">
            <w:pPr>
              <w:pStyle w:val="Default"/>
              <w:tabs>
                <w:tab w:val="left" w:pos="4820"/>
              </w:tabs>
              <w:jc w:val="both"/>
              <w:rPr>
                <w:bCs/>
              </w:rPr>
            </w:pPr>
            <w:r w:rsidRPr="00A35DC4">
              <w:rPr>
                <w:color w:val="000000" w:themeColor="text1"/>
              </w:rPr>
              <w:t xml:space="preserve">Kaip ir nurodyta SPS 7 priedo  4.2 punkte, </w:t>
            </w:r>
            <w:r w:rsidR="007D1B41">
              <w:rPr>
                <w:color w:val="000000" w:themeColor="text1"/>
              </w:rPr>
              <w:t>P</w:t>
            </w:r>
            <w:r w:rsidR="007D1B41" w:rsidRPr="00A35DC4">
              <w:rPr>
                <w:color w:val="000000" w:themeColor="text1"/>
              </w:rPr>
              <w:t xml:space="preserve">erkančioji </w:t>
            </w:r>
            <w:r w:rsidRPr="00A35DC4">
              <w:rPr>
                <w:color w:val="000000" w:themeColor="text1"/>
              </w:rPr>
              <w:t xml:space="preserve">organizacija tikrins, ar </w:t>
            </w:r>
            <w:r w:rsidR="007D1B41">
              <w:rPr>
                <w:color w:val="000000" w:themeColor="text1"/>
              </w:rPr>
              <w:t xml:space="preserve">paslaugų </w:t>
            </w:r>
            <w:r w:rsidRPr="00A35DC4">
              <w:rPr>
                <w:color w:val="000000" w:themeColor="text1"/>
              </w:rPr>
              <w:t>t</w:t>
            </w:r>
            <w:r w:rsidR="007D1B41">
              <w:rPr>
                <w:color w:val="000000" w:themeColor="text1"/>
              </w:rPr>
              <w:t>ei</w:t>
            </w:r>
            <w:r w:rsidRPr="00A35DC4">
              <w:rPr>
                <w:color w:val="000000" w:themeColor="text1"/>
              </w:rPr>
              <w:t xml:space="preserve">kėjas dirbtuvių organizavimo plane </w:t>
            </w:r>
            <w:r w:rsidRPr="00A35DC4">
              <w:rPr>
                <w:bCs/>
              </w:rPr>
              <w:t xml:space="preserve">numatė metodinės </w:t>
            </w:r>
            <w:r w:rsidR="007D1B41">
              <w:rPr>
                <w:bCs/>
              </w:rPr>
              <w:t xml:space="preserve">ir kitos demonstracinės </w:t>
            </w:r>
            <w:r w:rsidRPr="00A35DC4">
              <w:rPr>
                <w:bCs/>
              </w:rPr>
              <w:t xml:space="preserve">medžiagos </w:t>
            </w:r>
            <w:r w:rsidR="00EC5E47">
              <w:rPr>
                <w:bCs/>
              </w:rPr>
              <w:t>(pavyzdžiui, skaidrių rinkinio, interaktyvaus e. paslaugų modelio ar demonstracinės aplinkos, kurią teikėjas gali parengti ir naudoti e. paslaugų praktinio demonstravimo metu)</w:t>
            </w:r>
            <w:r w:rsidR="00EC5E47" w:rsidRPr="00A35DC4">
              <w:rPr>
                <w:bCs/>
              </w:rPr>
              <w:t xml:space="preserve"> </w:t>
            </w:r>
            <w:r w:rsidRPr="00A35DC4">
              <w:rPr>
                <w:bCs/>
              </w:rPr>
              <w:t>lektoriams parengimo etapą, ar nusta</w:t>
            </w:r>
            <w:r w:rsidR="00A35DC4" w:rsidRPr="00A35DC4">
              <w:rPr>
                <w:bCs/>
              </w:rPr>
              <w:t>tė</w:t>
            </w:r>
            <w:r w:rsidRPr="00A35DC4">
              <w:rPr>
                <w:bCs/>
              </w:rPr>
              <w:t xml:space="preserve"> atsaking</w:t>
            </w:r>
            <w:r w:rsidR="00A35DC4" w:rsidRPr="00A35DC4">
              <w:rPr>
                <w:bCs/>
              </w:rPr>
              <w:t>us</w:t>
            </w:r>
            <w:r w:rsidRPr="00A35DC4">
              <w:rPr>
                <w:bCs/>
              </w:rPr>
              <w:t xml:space="preserve"> asmen</w:t>
            </w:r>
            <w:r w:rsidR="00A35DC4" w:rsidRPr="00A35DC4">
              <w:rPr>
                <w:bCs/>
              </w:rPr>
              <w:t>i</w:t>
            </w:r>
            <w:r w:rsidRPr="00A35DC4">
              <w:rPr>
                <w:bCs/>
              </w:rPr>
              <w:t>s (</w:t>
            </w:r>
            <w:r w:rsidR="007D1B41">
              <w:rPr>
                <w:bCs/>
              </w:rPr>
              <w:t xml:space="preserve">pateikiami </w:t>
            </w:r>
            <w:r w:rsidRPr="00A35DC4">
              <w:rPr>
                <w:bCs/>
              </w:rPr>
              <w:t>vardai, pavardės, pareigos, kvalifikacija) ir ar numa</w:t>
            </w:r>
            <w:r w:rsidR="00A35DC4" w:rsidRPr="00A35DC4">
              <w:rPr>
                <w:bCs/>
              </w:rPr>
              <w:t>tė</w:t>
            </w:r>
            <w:r w:rsidRPr="00A35DC4">
              <w:rPr>
                <w:bCs/>
              </w:rPr>
              <w:t xml:space="preserve"> su Perkančiąja organizacija suderinimo etap</w:t>
            </w:r>
            <w:r w:rsidR="00A35DC4" w:rsidRPr="00A35DC4">
              <w:rPr>
                <w:bCs/>
              </w:rPr>
              <w:t>ą</w:t>
            </w:r>
            <w:r w:rsidRPr="00A35DC4">
              <w:rPr>
                <w:bCs/>
              </w:rPr>
              <w:t>.</w:t>
            </w:r>
          </w:p>
          <w:p w14:paraId="5C9C3A78" w14:textId="5671B40A" w:rsidR="003D594F" w:rsidRPr="00A35DC4" w:rsidRDefault="003D594F" w:rsidP="00D80F5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9A16CD" w:rsidRPr="00A35DC4" w14:paraId="6A082616" w14:textId="77777777" w:rsidTr="009A16CD">
        <w:tc>
          <w:tcPr>
            <w:tcW w:w="1935" w:type="dxa"/>
          </w:tcPr>
          <w:p w14:paraId="05331039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8 SPS 7 priedas</w:t>
            </w:r>
          </w:p>
          <w:p w14:paraId="185C62C8" w14:textId="13020E1C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6.3. punktas</w:t>
            </w:r>
          </w:p>
        </w:tc>
        <w:tc>
          <w:tcPr>
            <w:tcW w:w="4439" w:type="dxa"/>
          </w:tcPr>
          <w:p w14:paraId="2B464E00" w14:textId="5A33D1CC" w:rsidR="009A16CD" w:rsidRPr="00A35DC4" w:rsidRDefault="009A16CD" w:rsidP="00D80F5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Ar tiekėjas kartu su pasiūlymu privalės pateikti sutartis, susitarimus ar</w:t>
            </w:r>
            <w:r w:rsidR="00D8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ketinimų protokolus dėl patalpų naudojimo dirbtuvėms kiekvienoje</w:t>
            </w:r>
            <w:r w:rsidR="00D8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savivaldybėje?</w:t>
            </w:r>
          </w:p>
        </w:tc>
        <w:tc>
          <w:tcPr>
            <w:tcW w:w="3402" w:type="dxa"/>
          </w:tcPr>
          <w:p w14:paraId="6E28BBB5" w14:textId="77777777" w:rsidR="009A16CD" w:rsidRDefault="00A35DC4" w:rsidP="009A16CD">
            <w:pPr>
              <w:pStyle w:val="Default"/>
              <w:tabs>
                <w:tab w:val="left" w:pos="4820"/>
              </w:tabs>
              <w:jc w:val="both"/>
              <w:rPr>
                <w:b/>
                <w:i/>
                <w:iCs/>
              </w:rPr>
            </w:pPr>
            <w:r w:rsidRPr="00A35DC4">
              <w:rPr>
                <w:color w:val="000000" w:themeColor="text1"/>
              </w:rPr>
              <w:t xml:space="preserve">Kaip ir nurodyta SPS 7 priedo  6.3 punkte, </w:t>
            </w:r>
            <w:r w:rsidR="007D1B41">
              <w:rPr>
                <w:color w:val="000000" w:themeColor="text1"/>
              </w:rPr>
              <w:t>P</w:t>
            </w:r>
            <w:r w:rsidR="007D1B41" w:rsidRPr="00A35DC4">
              <w:rPr>
                <w:color w:val="000000" w:themeColor="text1"/>
              </w:rPr>
              <w:t xml:space="preserve">erkančioji </w:t>
            </w:r>
            <w:r w:rsidRPr="00A35DC4">
              <w:rPr>
                <w:color w:val="000000" w:themeColor="text1"/>
              </w:rPr>
              <w:t xml:space="preserve">organizacija tikrins, ar </w:t>
            </w:r>
            <w:r w:rsidR="00EC5E47">
              <w:rPr>
                <w:color w:val="000000" w:themeColor="text1"/>
              </w:rPr>
              <w:t xml:space="preserve">paslaugos </w:t>
            </w:r>
            <w:r w:rsidRPr="00A35DC4">
              <w:rPr>
                <w:bCs/>
              </w:rPr>
              <w:t>t</w:t>
            </w:r>
            <w:r w:rsidR="00EC5E47">
              <w:rPr>
                <w:bCs/>
              </w:rPr>
              <w:t>ei</w:t>
            </w:r>
            <w:r w:rsidRPr="00A35DC4">
              <w:rPr>
                <w:bCs/>
              </w:rPr>
              <w:t xml:space="preserve">kėjas yra pateikęs kiekvienoje savivaldybėje numatytų dirbtuvių patalpų sąrašą, </w:t>
            </w:r>
            <w:r w:rsidRPr="00A35DC4">
              <w:rPr>
                <w:b/>
                <w:i/>
                <w:iCs/>
              </w:rPr>
              <w:t>ar yra sudaręs sutartis, susitarimus ar ketinimų protokolus dėl patalpų naudojimo dirbtuvėms kiekvienoje savivaldybėje</w:t>
            </w:r>
            <w:r w:rsidRPr="00A35DC4">
              <w:rPr>
                <w:bCs/>
              </w:rPr>
              <w:t xml:space="preserve">. </w:t>
            </w:r>
            <w:r w:rsidRPr="00A35DC4">
              <w:rPr>
                <w:b/>
                <w:i/>
                <w:iCs/>
              </w:rPr>
              <w:t xml:space="preserve">Šiuose dokumentuose turi būti nurodytas patalpų aprašymas (patalpų adresas, patvirtinimas, kad patalpos </w:t>
            </w:r>
            <w:r w:rsidR="00EC5E47">
              <w:rPr>
                <w:b/>
                <w:i/>
                <w:iCs/>
              </w:rPr>
              <w:t xml:space="preserve">yra (ar </w:t>
            </w:r>
            <w:r w:rsidRPr="00A35DC4">
              <w:rPr>
                <w:b/>
                <w:i/>
                <w:iCs/>
              </w:rPr>
              <w:t>prireikus bus</w:t>
            </w:r>
            <w:r w:rsidR="00EC5E47">
              <w:rPr>
                <w:b/>
                <w:i/>
                <w:iCs/>
              </w:rPr>
              <w:t>)</w:t>
            </w:r>
            <w:r w:rsidRPr="00A35DC4">
              <w:rPr>
                <w:b/>
                <w:i/>
                <w:iCs/>
              </w:rPr>
              <w:t xml:space="preserve"> pritaikytos specialiesiems dalyvių poreikiams) ir pateikta informacija apie numatytą dirbtuvėms reikalingą techninę įrangą.</w:t>
            </w:r>
          </w:p>
          <w:p w14:paraId="432B2A72" w14:textId="20FE009D" w:rsidR="00D80F5D" w:rsidRPr="00A35DC4" w:rsidRDefault="00D80F5D" w:rsidP="009A16CD">
            <w:pPr>
              <w:pStyle w:val="Default"/>
              <w:tabs>
                <w:tab w:val="left" w:pos="4820"/>
              </w:tabs>
              <w:jc w:val="both"/>
              <w:rPr>
                <w:color w:val="000000" w:themeColor="text1"/>
              </w:rPr>
            </w:pPr>
          </w:p>
        </w:tc>
      </w:tr>
      <w:tr w:rsidR="009A16CD" w:rsidRPr="00A35DC4" w14:paraId="02526807" w14:textId="77777777" w:rsidTr="009A16CD">
        <w:tc>
          <w:tcPr>
            <w:tcW w:w="1935" w:type="dxa"/>
          </w:tcPr>
          <w:p w14:paraId="212B99CB" w14:textId="77777777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8 SPS 7 priedas</w:t>
            </w:r>
          </w:p>
          <w:p w14:paraId="6E7EA370" w14:textId="20B7CDB3" w:rsidR="009A16CD" w:rsidRPr="00A35DC4" w:rsidRDefault="009A16CD" w:rsidP="009A16C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Lentelė 4. ir lentele 3</w:t>
            </w:r>
          </w:p>
        </w:tc>
        <w:tc>
          <w:tcPr>
            <w:tcW w:w="4439" w:type="dxa"/>
          </w:tcPr>
          <w:p w14:paraId="0B50F2C8" w14:textId="6E2D7D79" w:rsidR="009A16CD" w:rsidRPr="00A35DC4" w:rsidRDefault="009A16CD" w:rsidP="00D80F5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Siekiant tiksliau įvertinti lektorių kvalifikacijos kokybę (nepaliekant tik</w:t>
            </w:r>
            <w:r w:rsidR="00D8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>tris kategorijas), siūloma pateikti smulkesnę kategoriją nuo 0 -10.</w:t>
            </w:r>
          </w:p>
        </w:tc>
        <w:tc>
          <w:tcPr>
            <w:tcW w:w="3402" w:type="dxa"/>
          </w:tcPr>
          <w:p w14:paraId="3B7E9622" w14:textId="5F5E4A13" w:rsidR="009A16CD" w:rsidRPr="00A35DC4" w:rsidRDefault="00A35DC4" w:rsidP="00A35DC4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SPS 7 priedo 3 ir 4 </w:t>
            </w:r>
            <w:r w:rsidR="00EC5E47" w:rsidRPr="00A35DC4">
              <w:rPr>
                <w:rFonts w:ascii="Times New Roman" w:hAnsi="Times New Roman" w:cs="Times New Roman"/>
                <w:sz w:val="24"/>
                <w:szCs w:val="24"/>
              </w:rPr>
              <w:t>lentelė</w:t>
            </w:r>
            <w:r w:rsidR="00EC5E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5E47"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Perkančioji organizacija </w:t>
            </w:r>
            <w:r w:rsidR="00EC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pateikė</w:t>
            </w:r>
            <w:r w:rsidR="00EC5E47"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tikslius reikalavimus nustatant, kad specialistų vertinama patirtis </w:t>
            </w:r>
            <w:r w:rsidR="0055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vykdant</w:t>
            </w:r>
            <w:r w:rsidR="00553EF7"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sutartis </w:t>
            </w:r>
            <w:r w:rsidR="0055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(projektus) </w:t>
            </w:r>
            <w:r w:rsidRPr="00A3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yra objektyviai pagrįsta tokiam pirkimo objektui.</w:t>
            </w:r>
          </w:p>
        </w:tc>
      </w:tr>
    </w:tbl>
    <w:p w14:paraId="26BF3FBB" w14:textId="77777777" w:rsidR="00E57549" w:rsidRPr="00A35DC4" w:rsidRDefault="00E57549" w:rsidP="009A16C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C077C" w14:textId="1570D388" w:rsidR="00BC6124" w:rsidRPr="00A35DC4" w:rsidRDefault="00BC6124" w:rsidP="009A16CD">
      <w:pPr>
        <w:pStyle w:val="Default"/>
        <w:tabs>
          <w:tab w:val="left" w:pos="4820"/>
        </w:tabs>
        <w:jc w:val="center"/>
        <w:rPr>
          <w:color w:val="000000" w:themeColor="text1"/>
        </w:rPr>
      </w:pPr>
    </w:p>
    <w:sectPr w:rsidR="00BC6124" w:rsidRPr="00A35DC4" w:rsidSect="00D80F5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04B9" w14:textId="77777777" w:rsidR="001819B4" w:rsidRDefault="001819B4" w:rsidP="00BC6124">
      <w:pPr>
        <w:spacing w:after="0" w:line="240" w:lineRule="auto"/>
      </w:pPr>
      <w:r>
        <w:separator/>
      </w:r>
    </w:p>
  </w:endnote>
  <w:endnote w:type="continuationSeparator" w:id="0">
    <w:p w14:paraId="740E1B86" w14:textId="77777777" w:rsidR="001819B4" w:rsidRDefault="001819B4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02CF" w14:textId="77777777" w:rsidR="001819B4" w:rsidRDefault="001819B4" w:rsidP="00BC6124">
      <w:pPr>
        <w:spacing w:after="0" w:line="240" w:lineRule="auto"/>
      </w:pPr>
      <w:r>
        <w:separator/>
      </w:r>
    </w:p>
  </w:footnote>
  <w:footnote w:type="continuationSeparator" w:id="0">
    <w:p w14:paraId="5090531B" w14:textId="77777777" w:rsidR="001819B4" w:rsidRDefault="001819B4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7FC"/>
    <w:multiLevelType w:val="hybridMultilevel"/>
    <w:tmpl w:val="39829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36D"/>
    <w:multiLevelType w:val="hybridMultilevel"/>
    <w:tmpl w:val="987A2B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2A6C"/>
    <w:multiLevelType w:val="hybridMultilevel"/>
    <w:tmpl w:val="50D0A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37A7E"/>
    <w:multiLevelType w:val="multilevel"/>
    <w:tmpl w:val="D2E63D1A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9290" w:hanging="36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37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A1E7952"/>
    <w:multiLevelType w:val="hybridMultilevel"/>
    <w:tmpl w:val="B1C667B2"/>
    <w:lvl w:ilvl="0" w:tplc="2E18B5A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A54"/>
    <w:rsid w:val="00057243"/>
    <w:rsid w:val="00076F4D"/>
    <w:rsid w:val="000855C5"/>
    <w:rsid w:val="00086F6A"/>
    <w:rsid w:val="000D061B"/>
    <w:rsid w:val="000D1077"/>
    <w:rsid w:val="00112F08"/>
    <w:rsid w:val="00135113"/>
    <w:rsid w:val="00137BBB"/>
    <w:rsid w:val="0018014F"/>
    <w:rsid w:val="001819B4"/>
    <w:rsid w:val="00185D86"/>
    <w:rsid w:val="00192DE0"/>
    <w:rsid w:val="001D77B2"/>
    <w:rsid w:val="001F2675"/>
    <w:rsid w:val="001F566E"/>
    <w:rsid w:val="00204FD1"/>
    <w:rsid w:val="00251478"/>
    <w:rsid w:val="00252744"/>
    <w:rsid w:val="002874C3"/>
    <w:rsid w:val="002B700A"/>
    <w:rsid w:val="003010DD"/>
    <w:rsid w:val="00302B37"/>
    <w:rsid w:val="003038DD"/>
    <w:rsid w:val="00311225"/>
    <w:rsid w:val="00317462"/>
    <w:rsid w:val="003350C5"/>
    <w:rsid w:val="00342BBE"/>
    <w:rsid w:val="00355825"/>
    <w:rsid w:val="00362D4A"/>
    <w:rsid w:val="003D25B6"/>
    <w:rsid w:val="003D28DF"/>
    <w:rsid w:val="003D594F"/>
    <w:rsid w:val="003E06C7"/>
    <w:rsid w:val="003E7A5E"/>
    <w:rsid w:val="003F0660"/>
    <w:rsid w:val="0040293E"/>
    <w:rsid w:val="0045705C"/>
    <w:rsid w:val="00461CB0"/>
    <w:rsid w:val="00470EAB"/>
    <w:rsid w:val="00503A4A"/>
    <w:rsid w:val="00516872"/>
    <w:rsid w:val="00517327"/>
    <w:rsid w:val="00520E5D"/>
    <w:rsid w:val="00532E2F"/>
    <w:rsid w:val="00545948"/>
    <w:rsid w:val="00553EF7"/>
    <w:rsid w:val="0058376F"/>
    <w:rsid w:val="005A028E"/>
    <w:rsid w:val="005C2859"/>
    <w:rsid w:val="005D3539"/>
    <w:rsid w:val="005D3C38"/>
    <w:rsid w:val="005E5D1B"/>
    <w:rsid w:val="006029C0"/>
    <w:rsid w:val="00615457"/>
    <w:rsid w:val="006277DC"/>
    <w:rsid w:val="0068541D"/>
    <w:rsid w:val="006C1691"/>
    <w:rsid w:val="00706B43"/>
    <w:rsid w:val="00743549"/>
    <w:rsid w:val="00755348"/>
    <w:rsid w:val="007706E4"/>
    <w:rsid w:val="00773D8B"/>
    <w:rsid w:val="00796F2E"/>
    <w:rsid w:val="007C2243"/>
    <w:rsid w:val="007C38FA"/>
    <w:rsid w:val="007D09D7"/>
    <w:rsid w:val="007D1B41"/>
    <w:rsid w:val="00806D2E"/>
    <w:rsid w:val="00813A5C"/>
    <w:rsid w:val="00816A80"/>
    <w:rsid w:val="00852E89"/>
    <w:rsid w:val="008B4FB9"/>
    <w:rsid w:val="008B6DBA"/>
    <w:rsid w:val="00906587"/>
    <w:rsid w:val="00924F3A"/>
    <w:rsid w:val="00932051"/>
    <w:rsid w:val="00980EBA"/>
    <w:rsid w:val="00981FCF"/>
    <w:rsid w:val="00997701"/>
    <w:rsid w:val="009A16CD"/>
    <w:rsid w:val="009C46AA"/>
    <w:rsid w:val="00A17D86"/>
    <w:rsid w:val="00A3556A"/>
    <w:rsid w:val="00A35DC4"/>
    <w:rsid w:val="00A51D8F"/>
    <w:rsid w:val="00A7586F"/>
    <w:rsid w:val="00AB7097"/>
    <w:rsid w:val="00AC25C2"/>
    <w:rsid w:val="00AE3175"/>
    <w:rsid w:val="00AE5EAE"/>
    <w:rsid w:val="00AF53E4"/>
    <w:rsid w:val="00B17CFD"/>
    <w:rsid w:val="00B2001D"/>
    <w:rsid w:val="00B22A2C"/>
    <w:rsid w:val="00B24CC6"/>
    <w:rsid w:val="00B87AC5"/>
    <w:rsid w:val="00BB3C51"/>
    <w:rsid w:val="00BC6124"/>
    <w:rsid w:val="00BD03B0"/>
    <w:rsid w:val="00BD5B99"/>
    <w:rsid w:val="00C1138E"/>
    <w:rsid w:val="00C166B8"/>
    <w:rsid w:val="00C26B84"/>
    <w:rsid w:val="00C376B2"/>
    <w:rsid w:val="00C450D6"/>
    <w:rsid w:val="00C52460"/>
    <w:rsid w:val="00C55CF9"/>
    <w:rsid w:val="00C56908"/>
    <w:rsid w:val="00CC5422"/>
    <w:rsid w:val="00CF7ED7"/>
    <w:rsid w:val="00D31ED6"/>
    <w:rsid w:val="00D33BF0"/>
    <w:rsid w:val="00D747D8"/>
    <w:rsid w:val="00D80F5D"/>
    <w:rsid w:val="00DA6AA6"/>
    <w:rsid w:val="00DB4DED"/>
    <w:rsid w:val="00DC6FF8"/>
    <w:rsid w:val="00DF6BA1"/>
    <w:rsid w:val="00E14BA6"/>
    <w:rsid w:val="00E34DD8"/>
    <w:rsid w:val="00E54614"/>
    <w:rsid w:val="00E57549"/>
    <w:rsid w:val="00EB1498"/>
    <w:rsid w:val="00EC3BCE"/>
    <w:rsid w:val="00EC5B72"/>
    <w:rsid w:val="00EC5E47"/>
    <w:rsid w:val="00F06F8B"/>
    <w:rsid w:val="00F206E6"/>
    <w:rsid w:val="00F21879"/>
    <w:rsid w:val="00F53225"/>
    <w:rsid w:val="00FA2790"/>
    <w:rsid w:val="00FA2F00"/>
    <w:rsid w:val="00FE3B5E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A8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855C5"/>
    <w:pPr>
      <w:ind w:left="720"/>
      <w:contextualSpacing/>
    </w:pPr>
  </w:style>
  <w:style w:type="character" w:customStyle="1" w:styleId="wysiwyg-font-size-medium">
    <w:name w:val="wysiwyg-font-size-medium"/>
    <w:basedOn w:val="Numatytasispastraiposriftas"/>
    <w:rsid w:val="005D3C38"/>
  </w:style>
  <w:style w:type="character" w:customStyle="1" w:styleId="wysiwyg-color-black">
    <w:name w:val="wysiwyg-color-black"/>
    <w:basedOn w:val="Numatytasispastraiposriftas"/>
    <w:rsid w:val="005D3C38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EC5B72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38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38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38D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38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38DD"/>
    <w:rPr>
      <w:b/>
      <w:bCs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112F08"/>
    <w:rPr>
      <w:rFonts w:ascii="Times New Roman" w:hAnsi="Times New Roman" w:cs="Times New Roman"/>
      <w:sz w:val="24"/>
      <w:szCs w:val="24"/>
    </w:rPr>
  </w:style>
  <w:style w:type="paragraph" w:customStyle="1" w:styleId="S1lygis">
    <w:name w:val="_S 1 lygis"/>
    <w:basedOn w:val="prastasis"/>
    <w:rsid w:val="00532E2F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532E2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532E2F"/>
    <w:pPr>
      <w:numPr>
        <w:ilvl w:val="2"/>
      </w:numPr>
    </w:pPr>
  </w:style>
  <w:style w:type="paragraph" w:styleId="Antrats">
    <w:name w:val="header"/>
    <w:basedOn w:val="prastasis"/>
    <w:link w:val="AntratsDiagrama"/>
    <w:uiPriority w:val="99"/>
    <w:unhideWhenUsed/>
    <w:rsid w:val="00086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F6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86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F6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5050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2025-01-22T12:18:00Z</dcterms:created>
  <dcterms:modified xsi:type="dcterms:W3CDTF">2025-01-22T12:18:00Z</dcterms:modified>
</cp:coreProperties>
</file>