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A0FF94B" w14:textId="32418EBE" w:rsidR="00224A55" w:rsidRPr="002B586F" w:rsidRDefault="00224A55" w:rsidP="00F75847">
          <w:pPr>
            <w:spacing w:after="120" w:line="20" w:lineRule="atLeast"/>
            <w:contextualSpacing/>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6BEDD065" w14:textId="77777777" w:rsidR="00F75847"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p w14:paraId="1EEA4D54" w14:textId="77777777" w:rsidR="00F75847" w:rsidRDefault="00F75847" w:rsidP="004947E3">
              <w:pPr>
                <w:spacing w:after="120" w:line="360" w:lineRule="auto"/>
                <w:contextualSpacing/>
                <w:rPr>
                  <w:rFonts w:ascii="Arial" w:hAnsi="Arial" w:cs="Arial"/>
                  <w:color w:val="2B579A"/>
                  <w:shd w:val="clear" w:color="auto" w:fill="E6E6E6"/>
                </w:rPr>
              </w:pPr>
            </w:p>
            <w:p w14:paraId="67BFFF2D" w14:textId="77777777" w:rsidR="00F75847" w:rsidRDefault="00F75847" w:rsidP="004947E3">
              <w:pPr>
                <w:spacing w:after="120" w:line="360" w:lineRule="auto"/>
                <w:contextualSpacing/>
                <w:rPr>
                  <w:rFonts w:ascii="Arial" w:hAnsi="Arial" w:cs="Arial"/>
                  <w:color w:val="2B579A"/>
                  <w:shd w:val="clear" w:color="auto" w:fill="E6E6E6"/>
                </w:rPr>
              </w:pPr>
            </w:p>
            <w:p w14:paraId="53A4257E" w14:textId="77777777" w:rsidR="00F75847" w:rsidRDefault="00F75847" w:rsidP="004947E3">
              <w:pPr>
                <w:spacing w:after="120" w:line="360" w:lineRule="auto"/>
                <w:contextualSpacing/>
                <w:rPr>
                  <w:rFonts w:ascii="Arial" w:hAnsi="Arial" w:cs="Arial"/>
                  <w:color w:val="2B579A"/>
                  <w:shd w:val="clear" w:color="auto" w:fill="E6E6E6"/>
                </w:rPr>
              </w:pPr>
            </w:p>
            <w:p w14:paraId="2134F97F" w14:textId="77777777" w:rsidR="00F75847" w:rsidRDefault="00F75847" w:rsidP="004947E3">
              <w:pPr>
                <w:spacing w:after="120" w:line="360" w:lineRule="auto"/>
                <w:contextualSpacing/>
                <w:rPr>
                  <w:rFonts w:ascii="Arial" w:hAnsi="Arial" w:cs="Arial"/>
                  <w:color w:val="2B579A"/>
                  <w:shd w:val="clear" w:color="auto" w:fill="E6E6E6"/>
                </w:rPr>
              </w:pPr>
            </w:p>
            <w:p w14:paraId="20A32B2B" w14:textId="77777777" w:rsidR="00F75847" w:rsidRDefault="00F75847" w:rsidP="004947E3">
              <w:pPr>
                <w:spacing w:after="120" w:line="360" w:lineRule="auto"/>
                <w:contextualSpacing/>
                <w:rPr>
                  <w:rFonts w:ascii="Arial" w:hAnsi="Arial" w:cs="Arial"/>
                  <w:color w:val="2B579A"/>
                  <w:shd w:val="clear" w:color="auto" w:fill="E6E6E6"/>
                </w:rPr>
              </w:pPr>
            </w:p>
            <w:p w14:paraId="7489E2D0" w14:textId="77777777" w:rsidR="00F75847" w:rsidRDefault="00F75847" w:rsidP="004947E3">
              <w:pPr>
                <w:spacing w:after="120" w:line="360" w:lineRule="auto"/>
                <w:contextualSpacing/>
                <w:rPr>
                  <w:rFonts w:ascii="Arial" w:hAnsi="Arial" w:cs="Arial"/>
                  <w:color w:val="2B579A"/>
                  <w:shd w:val="clear" w:color="auto" w:fill="E6E6E6"/>
                </w:rPr>
              </w:pPr>
            </w:p>
            <w:p w14:paraId="3D5326AF" w14:textId="2EBBC539" w:rsidR="008B76F5" w:rsidRPr="004947E3" w:rsidRDefault="00000000" w:rsidP="004947E3">
              <w:pPr>
                <w:spacing w:after="120" w:line="360" w:lineRule="auto"/>
                <w:contextualSpacing/>
                <w:rPr>
                  <w:rFonts w:ascii="Arial" w:hAnsi="Arial" w:cs="Arial"/>
                  <w:color w:val="2B579A"/>
                  <w:shd w:val="clear" w:color="auto" w:fill="E6E6E6"/>
                </w:rPr>
              </w:pPr>
            </w:p>
          </w:sdtContent>
        </w:sdt>
      </w:sdtContent>
    </w:sdt>
    <w:bookmarkStart w:id="0" w:name="_Toc134703649" w:displacedByCustomXml="prev"/>
    <w:bookmarkStart w:id="1" w:name="_Toc335201954" w:displacedByCustomXml="prev"/>
    <w:bookmarkStart w:id="2" w:name="_Toc147739116" w:displacedByCustomXml="prev"/>
    <w:p w14:paraId="7DBFF88B" w14:textId="6F17E088" w:rsidR="002415C7"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0"/>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3" w:name="_Toc134703650"/>
      <w:bookmarkEnd w:id="1"/>
      <w:r w:rsidRPr="006B4839">
        <w:rPr>
          <w:rFonts w:ascii="Times New Roman" w:hAnsi="Times New Roman" w:cs="Times New Roman"/>
          <w:b/>
          <w:bCs/>
          <w:color w:val="002060"/>
          <w:sz w:val="28"/>
          <w:szCs w:val="28"/>
        </w:rPr>
        <w:t>Bendrosios nuostatos</w:t>
      </w:r>
      <w:bookmarkEnd w:id="3"/>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6B4839">
        <w:rPr>
          <w:rFonts w:ascii="Times New Roman" w:hAnsi="Times New Roman" w:cs="Times New Roman"/>
          <w:b/>
          <w:bCs/>
          <w:color w:val="002060"/>
          <w:sz w:val="28"/>
          <w:szCs w:val="28"/>
        </w:rPr>
        <w:t>Pirkimo objektas</w:t>
      </w:r>
      <w:bookmarkEnd w:id="4"/>
      <w:bookmarkEnd w:id="5"/>
      <w:bookmarkEnd w:id="6"/>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04AC">
        <w:rPr>
          <w:rStyle w:val="cf01"/>
          <w:rFonts w:ascii="Times New Roman" w:hAnsi="Times New Roman" w:cs="Times New Roman"/>
          <w:sz w:val="24"/>
          <w:szCs w:val="24"/>
        </w:rPr>
        <w:lastRenderedPageBreak/>
        <w:t>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7" w:name="_Ref38446847"/>
      <w:bookmarkStart w:id="8" w:name="_Ref38446850"/>
      <w:bookmarkStart w:id="9"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6B4839">
        <w:rPr>
          <w:rFonts w:ascii="Times New Roman" w:hAnsi="Times New Roman" w:cs="Times New Roman"/>
          <w:b/>
          <w:bCs/>
          <w:color w:val="002060"/>
          <w:sz w:val="28"/>
          <w:szCs w:val="28"/>
        </w:rPr>
        <w:t>Pirkimo dokumentų paaiškinimai ir patikslinimai</w:t>
      </w:r>
      <w:bookmarkEnd w:id="10"/>
      <w:bookmarkEnd w:id="11"/>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2"/>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 xml:space="preserve">irkimo </w:t>
      </w:r>
      <w:r w:rsidR="217A9352" w:rsidRPr="004204AC">
        <w:rPr>
          <w:rFonts w:ascii="Times New Roman" w:hAnsi="Times New Roman" w:cs="Times New Roman"/>
          <w:sz w:val="24"/>
          <w:szCs w:val="24"/>
        </w:rPr>
        <w:lastRenderedPageBreak/>
        <w:t>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3"/>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7919BC">
        <w:rPr>
          <w:rFonts w:ascii="Times New Roman" w:hAnsi="Times New Roman" w:cs="Times New Roman"/>
          <w:b/>
          <w:bCs/>
          <w:color w:val="002060"/>
          <w:sz w:val="28"/>
          <w:szCs w:val="28"/>
        </w:rPr>
        <w:t>Tiekėjų pašalinimo pagrindai</w:t>
      </w:r>
      <w:bookmarkEnd w:id="14"/>
      <w:bookmarkEnd w:id="15"/>
      <w:bookmarkEnd w:id="16"/>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7"/>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8"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8"/>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4"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4"/>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5"/>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w:t>
      </w:r>
      <w:r w:rsidR="1177FA8A" w:rsidRPr="004204AC">
        <w:rPr>
          <w:rFonts w:ascii="Times New Roman" w:hAnsi="Times New Roman" w:cs="Times New Roman"/>
          <w:sz w:val="24"/>
          <w:szCs w:val="24"/>
        </w:rPr>
        <w:lastRenderedPageBreak/>
        <w:t>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6" w:name="_Toc134703656"/>
      <w:r w:rsidR="007B2DBE" w:rsidRPr="006B4839">
        <w:rPr>
          <w:rFonts w:ascii="Times New Roman" w:hAnsi="Times New Roman" w:cs="Times New Roman"/>
          <w:b/>
          <w:bCs/>
          <w:color w:val="002060"/>
          <w:sz w:val="28"/>
          <w:szCs w:val="28"/>
        </w:rPr>
        <w:t>Rėmimasis ūkio subjektų pajėgumais</w:t>
      </w:r>
      <w:bookmarkEnd w:id="26"/>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7"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7"/>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8" w:name="_Toc134703657"/>
      <w:r w:rsidRPr="006B4839">
        <w:rPr>
          <w:rFonts w:ascii="Times New Roman" w:hAnsi="Times New Roman" w:cs="Times New Roman"/>
          <w:b/>
          <w:bCs/>
          <w:color w:val="002060"/>
          <w:sz w:val="28"/>
          <w:szCs w:val="28"/>
        </w:rPr>
        <w:t>Subtiekėjų pasitelkimas</w:t>
      </w:r>
      <w:bookmarkEnd w:id="28"/>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6B4839">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lastRenderedPageBreak/>
        <w:t xml:space="preserve"> </w:t>
      </w:r>
      <w:r w:rsidR="00AB6038" w:rsidRPr="00D675B3">
        <w:rPr>
          <w:rFonts w:ascii="Times New Roman" w:hAnsi="Times New Roman" w:cs="Times New Roman"/>
          <w:b/>
          <w:bCs/>
          <w:color w:val="002060"/>
          <w:sz w:val="28"/>
          <w:szCs w:val="28"/>
        </w:rPr>
        <w:t>Reikalavimai pasiūlymų rengimui ir pateikimui</w:t>
      </w:r>
      <w:bookmarkEnd w:id="32"/>
      <w:bookmarkEnd w:id="33"/>
      <w:bookmarkEnd w:id="34"/>
      <w:bookmarkEnd w:id="35"/>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6"/>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w:t>
      </w:r>
      <w:r w:rsidRPr="004204AC">
        <w:rPr>
          <w:b/>
          <w:bCs/>
          <w:color w:val="000000" w:themeColor="text1"/>
          <w:sz w:val="24"/>
          <w:szCs w:val="24"/>
        </w:rPr>
        <w:lastRenderedPageBreak/>
        <w:t xml:space="preserve">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7"/>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39"/>
      <w:bookmarkEnd w:id="40"/>
      <w:bookmarkEnd w:id="41"/>
      <w:bookmarkEnd w:id="42"/>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3"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3"/>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023563E5"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4" w:name="_Hlk138682447"/>
      <w:bookmarkStart w:id="45"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4"/>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5"/>
      <w:r w:rsidR="00C73D8D" w:rsidRPr="00F00955">
        <w:rPr>
          <w:rFonts w:ascii="Times New Roman" w:eastAsia="Arial" w:hAnsi="Times New Roman" w:cs="Times New Roman"/>
          <w:sz w:val="24"/>
          <w:szCs w:val="24"/>
        </w:rPr>
        <w:t xml:space="preserve"> </w:t>
      </w:r>
      <w:r w:rsidR="0098023C">
        <w:rPr>
          <w:rFonts w:ascii="Times New Roman" w:eastAsia="Arial" w:hAnsi="Times New Roman" w:cs="Times New Roman"/>
          <w:b/>
          <w:bCs/>
          <w:sz w:val="24"/>
          <w:szCs w:val="24"/>
        </w:rPr>
        <w:t>21 311,73</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6"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6"/>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7"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8" w:name="_Toc85698581"/>
      <w:bookmarkStart w:id="49" w:name="_Toc86176532"/>
      <w:bookmarkStart w:id="50"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7"/>
      <w:bookmarkEnd w:id="48"/>
      <w:bookmarkEnd w:id="49"/>
      <w:r w:rsidR="001566DB" w:rsidRPr="00D675B3">
        <w:rPr>
          <w:rFonts w:ascii="Times New Roman" w:hAnsi="Times New Roman" w:cs="Times New Roman"/>
          <w:b/>
          <w:bCs/>
          <w:color w:val="002060"/>
          <w:sz w:val="28"/>
          <w:szCs w:val="28"/>
        </w:rPr>
        <w:t>pagrindai</w:t>
      </w:r>
      <w:bookmarkEnd w:id="50"/>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1" w:name="_Ref40443104"/>
      <w:bookmarkStart w:id="52" w:name="_Toc48053180"/>
      <w:bookmarkStart w:id="53" w:name="_Toc85698582"/>
      <w:bookmarkStart w:id="54" w:name="_Toc86176533"/>
      <w:bookmarkStart w:id="55"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1"/>
      <w:bookmarkEnd w:id="52"/>
      <w:bookmarkEnd w:id="53"/>
      <w:bookmarkEnd w:id="54"/>
      <w:bookmarkEnd w:id="55"/>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6" w:name="_Ref40443308"/>
      <w:bookmarkStart w:id="57"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8" w:name="_Toc85698583"/>
      <w:bookmarkStart w:id="59" w:name="_Toc86176534"/>
      <w:bookmarkStart w:id="60"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6"/>
      <w:bookmarkEnd w:id="57"/>
      <w:bookmarkEnd w:id="58"/>
      <w:bookmarkEnd w:id="59"/>
      <w:bookmarkEnd w:id="60"/>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4" w:name="_Toc85698584"/>
      <w:bookmarkStart w:id="65" w:name="_Toc86176535"/>
      <w:bookmarkStart w:id="66" w:name="_Toc124749448"/>
      <w:bookmarkStart w:id="67"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1"/>
      <w:bookmarkEnd w:id="62"/>
      <w:bookmarkEnd w:id="63"/>
      <w:bookmarkEnd w:id="64"/>
      <w:bookmarkEnd w:id="65"/>
      <w:bookmarkEnd w:id="66"/>
      <w:bookmarkEnd w:id="67"/>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8" w:name="_Toc85698585"/>
      <w:bookmarkStart w:id="69" w:name="_Toc86176536"/>
      <w:bookmarkStart w:id="70" w:name="_Toc124749449"/>
      <w:bookmarkStart w:id="71"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8"/>
      <w:bookmarkEnd w:id="69"/>
      <w:bookmarkEnd w:id="70"/>
      <w:bookmarkEnd w:id="71"/>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0900" w14:textId="77777777" w:rsidR="00DC6704" w:rsidRDefault="00DC6704" w:rsidP="00D05666">
      <w:r>
        <w:separator/>
      </w:r>
    </w:p>
  </w:endnote>
  <w:endnote w:type="continuationSeparator" w:id="0">
    <w:p w14:paraId="21653B4E" w14:textId="77777777" w:rsidR="00DC6704" w:rsidRDefault="00DC6704" w:rsidP="00D05666">
      <w:r>
        <w:continuationSeparator/>
      </w:r>
    </w:p>
  </w:endnote>
  <w:endnote w:type="continuationNotice" w:id="1">
    <w:p w14:paraId="0FEBD763" w14:textId="77777777" w:rsidR="00DC6704" w:rsidRDefault="00DC6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6C79" w14:textId="77777777" w:rsidR="00DC6704" w:rsidRDefault="00DC6704" w:rsidP="00D05666">
      <w:r>
        <w:separator/>
      </w:r>
    </w:p>
  </w:footnote>
  <w:footnote w:type="continuationSeparator" w:id="0">
    <w:p w14:paraId="51B7EFF7" w14:textId="77777777" w:rsidR="00DC6704" w:rsidRDefault="00DC6704" w:rsidP="00D05666">
      <w:r>
        <w:continuationSeparator/>
      </w:r>
    </w:p>
  </w:footnote>
  <w:footnote w:type="continuationNotice" w:id="1">
    <w:p w14:paraId="29811BFD" w14:textId="77777777" w:rsidR="00DC6704" w:rsidRDefault="00DC6704">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AE"/>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6CC3"/>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5BFC"/>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0AE7"/>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A7F"/>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23C"/>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704"/>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4D9"/>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847"/>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32664</Words>
  <Characters>18620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51182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Admin</cp:lastModifiedBy>
  <cp:revision>25</cp:revision>
  <dcterms:created xsi:type="dcterms:W3CDTF">2023-07-13T08:03:00Z</dcterms:created>
  <dcterms:modified xsi:type="dcterms:W3CDTF">2026-07-07T21:05:00Z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