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22E2A3D6"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7529E2">
        <w:rPr>
          <w:rFonts w:eastAsia="Calibri"/>
          <w:color w:val="0070C0"/>
          <w:sz w:val="22"/>
          <w:szCs w:val="24"/>
          <w:lang w:eastAsia="en-US"/>
        </w:rPr>
        <w:t>7</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2B868577" w:rsidR="00EB7722" w:rsidRPr="000F63FF" w:rsidRDefault="00EB7722" w:rsidP="000F63FF">
            <w:pPr>
              <w:ind w:firstLine="0"/>
              <w:jc w:val="center"/>
              <w:rPr>
                <w:rFonts w:hAnsi="Times New Roman" w:cs="Times New Roman"/>
                <w:i/>
                <w:iCs/>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 (</w:t>
            </w:r>
            <w:r w:rsidR="00A01631">
              <w:rPr>
                <w:rFonts w:hAnsi="Times New Roman" w:cs="Times New Roman"/>
                <w:i/>
                <w:iCs/>
                <w:sz w:val="24"/>
                <w:szCs w:val="24"/>
              </w:rPr>
              <w:t xml:space="preserve">ypatingojo statinio statybos vadovą), kuris turi teisę eiti ypatingojo statinio statybos vadovo pareigas, kai statinių grupė yra gyvenamieji pastatai, pogrupis – </w:t>
            </w:r>
            <w:r w:rsidR="00A62CA0">
              <w:rPr>
                <w:rFonts w:hAnsi="Times New Roman" w:cs="Times New Roman"/>
                <w:i/>
                <w:iCs/>
                <w:sz w:val="24"/>
                <w:szCs w:val="24"/>
              </w:rPr>
              <w:t>daugiabučiai</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bl>
    <w:p w14:paraId="5B1B3151" w14:textId="77777777" w:rsidR="00174449" w:rsidRDefault="00174449" w:rsidP="00553966"/>
    <w:p w14:paraId="37AD4045" w14:textId="18D0CED0" w:rsidR="00EB7722" w:rsidRPr="00EB7722" w:rsidRDefault="00A62CA0" w:rsidP="00EB7722">
      <w:pPr>
        <w:rPr>
          <w:i/>
          <w:iCs/>
          <w:color w:val="FF0000"/>
          <w:sz w:val="20"/>
          <w:szCs w:val="20"/>
        </w:rPr>
      </w:pPr>
      <w:r>
        <w:rPr>
          <w:i/>
          <w:iCs/>
          <w:color w:val="FF0000"/>
          <w:sz w:val="20"/>
          <w:szCs w:val="20"/>
        </w:rPr>
        <w:t>P</w:t>
      </w:r>
      <w:r w:rsidR="00EB7722" w:rsidRPr="00EB7722">
        <w:rPr>
          <w:i/>
          <w:iCs/>
          <w:color w:val="FF0000"/>
          <w:sz w:val="20"/>
          <w:szCs w:val="20"/>
        </w:rPr>
        <w:t xml:space="preserve">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Atsižvelgiant į tai, rekomenduotina teikti daugiau nei reikalaujama kvalifikacijos atitiktį patvirtinančių duomenų (pvz.: specialistų sąraše nurodyti daugiau reikalaujamos </w:t>
      </w:r>
      <w:r>
        <w:rPr>
          <w:bCs/>
          <w:i/>
          <w:iCs/>
        </w:rPr>
        <w:lastRenderedPageBreak/>
        <w:t>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D7A8" w14:textId="77777777" w:rsidR="00AF7180" w:rsidRDefault="00AF7180">
      <w:pPr>
        <w:spacing w:line="240" w:lineRule="auto"/>
      </w:pPr>
      <w:r>
        <w:separator/>
      </w:r>
    </w:p>
  </w:endnote>
  <w:endnote w:type="continuationSeparator" w:id="0">
    <w:p w14:paraId="73408449" w14:textId="77777777" w:rsidR="00AF7180" w:rsidRDefault="00AF7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7422" w14:textId="77777777" w:rsidR="00AF7180" w:rsidRDefault="00AF7180">
      <w:pPr>
        <w:spacing w:line="240" w:lineRule="auto"/>
      </w:pPr>
      <w:r>
        <w:separator/>
      </w:r>
    </w:p>
  </w:footnote>
  <w:footnote w:type="continuationSeparator" w:id="0">
    <w:p w14:paraId="103581CA" w14:textId="77777777" w:rsidR="00AF7180" w:rsidRDefault="00AF71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7406D"/>
    <w:rsid w:val="002C340A"/>
    <w:rsid w:val="002D7E63"/>
    <w:rsid w:val="0031615B"/>
    <w:rsid w:val="003831AC"/>
    <w:rsid w:val="003A2F3B"/>
    <w:rsid w:val="003F56B4"/>
    <w:rsid w:val="00473FBB"/>
    <w:rsid w:val="004979DD"/>
    <w:rsid w:val="00553966"/>
    <w:rsid w:val="005E6C97"/>
    <w:rsid w:val="007529E2"/>
    <w:rsid w:val="007B1174"/>
    <w:rsid w:val="00860E93"/>
    <w:rsid w:val="008E7B26"/>
    <w:rsid w:val="009C0F80"/>
    <w:rsid w:val="00A01631"/>
    <w:rsid w:val="00A12EA9"/>
    <w:rsid w:val="00A23462"/>
    <w:rsid w:val="00A33EDE"/>
    <w:rsid w:val="00A354EC"/>
    <w:rsid w:val="00A56159"/>
    <w:rsid w:val="00A62CA0"/>
    <w:rsid w:val="00AA630B"/>
    <w:rsid w:val="00AB7131"/>
    <w:rsid w:val="00AC4DC1"/>
    <w:rsid w:val="00AF7180"/>
    <w:rsid w:val="00B84C1D"/>
    <w:rsid w:val="00B91456"/>
    <w:rsid w:val="00C0738A"/>
    <w:rsid w:val="00C34E2C"/>
    <w:rsid w:val="00CC4334"/>
    <w:rsid w:val="00DD1DE1"/>
    <w:rsid w:val="00EB7722"/>
    <w:rsid w:val="00EC16AD"/>
    <w:rsid w:val="00ED32E6"/>
    <w:rsid w:val="00F624DD"/>
    <w:rsid w:val="00FB265F"/>
    <w:rsid w:val="00FE5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13</cp:revision>
  <dcterms:created xsi:type="dcterms:W3CDTF">2025-03-20T07:54:00Z</dcterms:created>
  <dcterms:modified xsi:type="dcterms:W3CDTF">2026-07-07T20:50:00Z</dcterms:modified>
</cp:coreProperties>
</file>