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FED4E8E"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481388">
            <w:rPr>
              <w:rFonts w:ascii="Times New Roman" w:eastAsia="Times New Roman" w:hAnsi="Times New Roman" w:cs="Times New Roman"/>
              <w:sz w:val="20"/>
              <w:szCs w:val="20"/>
            </w:rPr>
            <w:t>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226CF" w:rsidRPr="009552C8">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46D079B"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F14E6">
            <w:rPr>
              <w:rFonts w:ascii="Times New Roman" w:eastAsia="Times New Roman" w:hAnsi="Times New Roman" w:cs="Times New Roman"/>
              <w:noProof/>
              <w:sz w:val="24"/>
              <w:szCs w:val="24"/>
            </w:rPr>
            <w:t>6-0</w:t>
          </w:r>
          <w:r w:rsidR="00481388">
            <w:rPr>
              <w:rFonts w:ascii="Times New Roman" w:eastAsia="Times New Roman" w:hAnsi="Times New Roman" w:cs="Times New Roman"/>
              <w:noProof/>
              <w:sz w:val="24"/>
              <w:szCs w:val="24"/>
            </w:rPr>
            <w:t>6</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15CD9B63" w:rsidR="00DA4A04" w:rsidRPr="00481388" w:rsidRDefault="00DA4A04" w:rsidP="00E33A84">
          <w:pPr>
            <w:pStyle w:val="Default"/>
            <w:jc w:val="center"/>
            <w:rPr>
              <w:rFonts w:ascii="Times New Roman" w:hAnsi="Times New Roman" w:cs="Times New Roman"/>
              <w:b/>
              <w:bCs/>
              <w:sz w:val="28"/>
              <w:szCs w:val="28"/>
            </w:rPr>
          </w:pPr>
          <w:r w:rsidRPr="00481388">
            <w:rPr>
              <w:rFonts w:ascii="Times New Roman" w:hAnsi="Times New Roman" w:cs="Times New Roman"/>
              <w:b/>
              <w:bCs/>
              <w:sz w:val="28"/>
              <w:szCs w:val="28"/>
            </w:rPr>
            <w:t>TARPTAUTINIO VIEŠOJO PIRKIMO „</w:t>
          </w:r>
          <w:r w:rsidR="00481388" w:rsidRPr="00481388">
            <w:rPr>
              <w:rFonts w:ascii="Times New Roman" w:hAnsi="Times New Roman" w:cs="Times New Roman"/>
              <w:b/>
              <w:bCs/>
              <w:kern w:val="2"/>
              <w:sz w:val="28"/>
              <w:szCs w:val="28"/>
            </w:rPr>
            <w:t xml:space="preserve"> </w:t>
          </w:r>
          <w:r w:rsidR="00481388" w:rsidRPr="00481388">
            <w:rPr>
              <w:rFonts w:ascii="Times New Roman" w:hAnsi="Times New Roman" w:cs="Times New Roman"/>
              <w:b/>
              <w:bCs/>
              <w:kern w:val="2"/>
              <w:sz w:val="28"/>
              <w:szCs w:val="28"/>
            </w:rPr>
            <w:t>LINIJINIO GREITINTUVO TRUEBEAM SU OBI GARANTIJOS PRATĘSIMAS</w:t>
          </w:r>
          <w:r w:rsidRPr="00481388">
            <w:rPr>
              <w:rFonts w:ascii="Times New Roman" w:hAnsi="Times New Roman" w:cs="Times New Roman"/>
              <w:b/>
              <w:bCs/>
              <w:sz w:val="28"/>
              <w:szCs w:val="28"/>
            </w:rPr>
            <w:t>“</w:t>
          </w:r>
        </w:p>
        <w:p w14:paraId="522C3D22" w14:textId="77777777" w:rsidR="00DA4A04" w:rsidRPr="00481388" w:rsidRDefault="00DA4A04" w:rsidP="00DA4A04">
          <w:pPr>
            <w:spacing w:after="120" w:line="20" w:lineRule="atLeast"/>
            <w:contextualSpacing/>
            <w:jc w:val="center"/>
            <w:rPr>
              <w:rFonts w:ascii="Times New Roman" w:hAnsi="Times New Roman" w:cs="Times New Roman"/>
              <w:b/>
              <w:bCs/>
              <w:sz w:val="28"/>
              <w:szCs w:val="28"/>
            </w:rPr>
          </w:pPr>
          <w:r w:rsidRPr="00481388">
            <w:rPr>
              <w:rFonts w:ascii="Times New Roman" w:hAnsi="Times New Roman" w:cs="Times New Roman"/>
              <w:b/>
              <w:bCs/>
              <w:sz w:val="28"/>
              <w:szCs w:val="28"/>
            </w:rPr>
            <w:t>ATVIRO KONKURSO SPECIALIOSIOS SĄLYGOS</w:t>
          </w:r>
        </w:p>
        <w:p w14:paraId="67D34D7E" w14:textId="0632159D" w:rsidR="00D53BF4" w:rsidRPr="00481388" w:rsidRDefault="00DA4A04" w:rsidP="00DA4A04">
          <w:pPr>
            <w:spacing w:after="120" w:line="20" w:lineRule="atLeast"/>
            <w:contextualSpacing/>
            <w:jc w:val="center"/>
            <w:rPr>
              <w:rFonts w:ascii="Times New Roman" w:hAnsi="Times New Roman" w:cs="Times New Roman"/>
              <w:b/>
              <w:bCs/>
              <w:i/>
              <w:iCs/>
              <w:sz w:val="28"/>
              <w:szCs w:val="28"/>
            </w:rPr>
          </w:pPr>
          <w:r w:rsidRPr="00481388">
            <w:rPr>
              <w:rFonts w:ascii="Times New Roman" w:hAnsi="Times New Roman" w:cs="Times New Roman"/>
              <w:b/>
              <w:bCs/>
              <w:sz w:val="28"/>
              <w:szCs w:val="28"/>
            </w:rPr>
            <w:t>Versija Nr.1</w:t>
          </w:r>
          <w:r w:rsidR="00D53BF4" w:rsidRPr="00481388">
            <w:rPr>
              <w:rFonts w:ascii="Times New Roman" w:hAnsi="Times New Roman" w:cs="Times New Roman"/>
              <w:b/>
              <w:bCs/>
              <w:i/>
              <w:iCs/>
              <w:sz w:val="28"/>
              <w:szCs w:val="28"/>
            </w:rPr>
            <w:t>.</w:t>
          </w:r>
          <w:r w:rsidR="00D53BF4" w:rsidRPr="00481388">
            <w:rPr>
              <w:rFonts w:ascii="Times New Roman" w:hAnsi="Times New Roman" w:cs="Times New Roman"/>
              <w:i/>
              <w:iCs/>
              <w:sz w:val="28"/>
              <w:szCs w:val="28"/>
            </w:rPr>
            <w:t xml:space="preserve"> </w:t>
          </w:r>
        </w:p>
        <w:p w14:paraId="0FC90D8B" w14:textId="77777777" w:rsidR="00D526C8" w:rsidRPr="00E33A84"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ascii="Times New Roman" w:hAnsi="Times New Roman"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OC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yperlink"/>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8B7D13">
                  <w:rPr>
                    <w:rStyle w:val="Hyperlink"/>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8B7D13">
                  <w:rPr>
                    <w:rStyle w:val="Hyperlink"/>
                    <w:b/>
                    <w:bCs/>
                  </w:rPr>
                  <w:t>3</w:t>
                </w:r>
                <w:r w:rsidRPr="008B7D13">
                  <w:rPr>
                    <w:rStyle w:val="Hyperlink"/>
                  </w:rPr>
                  <w:t>.</w:t>
                </w:r>
                <w:r w:rsidRPr="008B7D13">
                  <w:rPr>
                    <w:rStyle w:val="Hyperlink"/>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8B7D13">
                  <w:rPr>
                    <w:rStyle w:val="Hyperlink"/>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8B7D13">
                  <w:rPr>
                    <w:rStyle w:val="Hyperlink"/>
                    <w:b/>
                    <w:bCs/>
                  </w:rPr>
                  <w:t>5.</w:t>
                </w:r>
                <w:r w:rsidR="006162B0">
                  <w:rPr>
                    <w:rStyle w:val="Hyperlink"/>
                    <w:b/>
                    <w:bCs/>
                  </w:rPr>
                  <w:t xml:space="preserve"> </w:t>
                </w:r>
                <w:r w:rsidRPr="008B7D13">
                  <w:rPr>
                    <w:rStyle w:val="Hyperlink"/>
                    <w:b/>
                    <w:bCs/>
                  </w:rPr>
                  <w:t>Reikalavimai, susiję su nacionaliniu saugumu</w:t>
                </w:r>
                <w:r>
                  <w:rPr>
                    <w:webHidden/>
                  </w:rPr>
                  <w:tab/>
                </w:r>
                <w:r w:rsidR="00611D58">
                  <w:rPr>
                    <w:webHidden/>
                  </w:rPr>
                  <w:t>3</w:t>
                </w:r>
              </w:hyperlink>
            </w:p>
            <w:p w14:paraId="5AADFEFD" w14:textId="6404F11B" w:rsidR="00A55FC0"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8B7D13">
                  <w:rPr>
                    <w:rStyle w:val="Hyperlink"/>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yperlink"/>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8B7D13">
                  <w:rPr>
                    <w:rStyle w:val="Hyperlink"/>
                    <w:rFonts w:eastAsia="Calibri"/>
                    <w:b/>
                    <w:bCs/>
                  </w:rPr>
                  <w:t>7.</w:t>
                </w:r>
                <w:r>
                  <w:rPr>
                    <w:rFonts w:asciiTheme="minorHAnsi" w:eastAsiaTheme="minorEastAsia" w:hAnsiTheme="minorHAnsi" w:cstheme="minorBidi"/>
                    <w:b/>
                    <w:bCs/>
                    <w:kern w:val="2"/>
                    <w14:ligatures w14:val="standardContextual"/>
                  </w:rPr>
                  <w:tab/>
                </w:r>
                <w:r w:rsidRPr="008B7D13">
                  <w:rPr>
                    <w:rStyle w:val="Hyperlink"/>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8B7D13">
                  <w:rPr>
                    <w:rStyle w:val="Hyperlink"/>
                    <w:b/>
                    <w:bCs/>
                  </w:rPr>
                  <w:t>8.</w:t>
                </w:r>
                <w:r>
                  <w:rPr>
                    <w:rFonts w:asciiTheme="minorHAnsi" w:eastAsiaTheme="minorEastAsia" w:hAnsiTheme="minorHAnsi" w:cstheme="minorBidi"/>
                    <w:b/>
                    <w:bCs/>
                    <w:kern w:val="2"/>
                    <w14:ligatures w14:val="standardContextual"/>
                  </w:rPr>
                  <w:tab/>
                </w:r>
                <w:r w:rsidRPr="008B7D13">
                  <w:rPr>
                    <w:rStyle w:val="Hyperlink"/>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8B7D13">
                  <w:rPr>
                    <w:rStyle w:val="Hyperlink"/>
                    <w:b/>
                    <w:bCs/>
                  </w:rPr>
                  <w:t>9.</w:t>
                </w:r>
                <w:r>
                  <w:rPr>
                    <w:rFonts w:asciiTheme="minorHAnsi" w:eastAsiaTheme="minorEastAsia" w:hAnsiTheme="minorHAnsi" w:cstheme="minorBidi"/>
                    <w:b/>
                    <w:bCs/>
                    <w:kern w:val="2"/>
                    <w14:ligatures w14:val="standardContextual"/>
                  </w:rPr>
                  <w:tab/>
                </w:r>
                <w:r w:rsidRPr="008B7D13">
                  <w:rPr>
                    <w:rStyle w:val="Hyperlink"/>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8B7D13">
                  <w:rPr>
                    <w:rStyle w:val="Hyperlink"/>
                    <w:b/>
                    <w:bCs/>
                  </w:rPr>
                  <w:t>10.</w:t>
                </w:r>
                <w:r>
                  <w:rPr>
                    <w:rFonts w:asciiTheme="minorHAnsi" w:eastAsiaTheme="minorEastAsia" w:hAnsiTheme="minorHAnsi" w:cstheme="minorBidi"/>
                    <w:b/>
                    <w:bCs/>
                    <w:kern w:val="2"/>
                    <w14:ligatures w14:val="standardContextual"/>
                  </w:rPr>
                  <w:tab/>
                </w:r>
                <w:r w:rsidRPr="008B7D13">
                  <w:rPr>
                    <w:rStyle w:val="Hyperlink"/>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8B7D13">
                  <w:rPr>
                    <w:rStyle w:val="Hyperlink"/>
                    <w:b/>
                    <w:bCs/>
                  </w:rPr>
                  <w:t>11.</w:t>
                </w:r>
                <w:r>
                  <w:rPr>
                    <w:rFonts w:asciiTheme="minorHAnsi" w:eastAsiaTheme="minorEastAsia" w:hAnsiTheme="minorHAnsi" w:cstheme="minorBidi"/>
                    <w:b/>
                    <w:bCs/>
                    <w:kern w:val="2"/>
                    <w14:ligatures w14:val="standardContextual"/>
                  </w:rPr>
                  <w:tab/>
                </w:r>
                <w:r w:rsidRPr="008B7D13">
                  <w:rPr>
                    <w:rStyle w:val="Hyperlink"/>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OC1"/>
                <w:rPr>
                  <w:rFonts w:asciiTheme="minorHAnsi" w:eastAsiaTheme="minorEastAsia" w:hAnsiTheme="minorHAnsi" w:cstheme="minorBidi"/>
                  <w:kern w:val="2"/>
                  <w14:ligatures w14:val="standardContextual"/>
                </w:rPr>
              </w:pPr>
              <w:hyperlink w:anchor="_Toc165356984" w:history="1">
                <w:r>
                  <w:rPr>
                    <w:rStyle w:val="Hyperlink"/>
                    <w:b/>
                    <w:bCs/>
                  </w:rPr>
                  <w:t xml:space="preserve">  </w:t>
                </w:r>
                <w:r w:rsidRPr="0085108F">
                  <w:rPr>
                    <w:rStyle w:val="Hyperlink"/>
                  </w:rPr>
                  <w:t>Pi</w:t>
                </w:r>
                <w:r w:rsidR="00A55FC0" w:rsidRPr="0085108F">
                  <w:rPr>
                    <w:rStyle w:val="Hyperlink"/>
                  </w:rPr>
                  <w:t>rkimo sąlygų 1 priedas „Terminai“</w:t>
                </w:r>
                <w:r w:rsidR="00A55FC0" w:rsidRPr="0085108F">
                  <w:rPr>
                    <w:webHidden/>
                  </w:rPr>
                  <w:tab/>
                </w:r>
                <w:r w:rsidR="00F64DD3">
                  <w:rPr>
                    <w:webHidden/>
                  </w:rPr>
                  <w:t>6</w:t>
                </w:r>
              </w:hyperlink>
            </w:p>
            <w:p w14:paraId="4EE7E298" w14:textId="0EA802C9" w:rsidR="00A55FC0" w:rsidRDefault="00A55FC0">
              <w:pPr>
                <w:pStyle w:val="TOC2"/>
                <w:rPr>
                  <w:rFonts w:asciiTheme="minorHAnsi" w:hAnsiTheme="minorHAnsi" w:cstheme="minorBidi"/>
                  <w:noProof/>
                  <w:kern w:val="2"/>
                  <w14:ligatures w14:val="standardContextual"/>
                </w:rPr>
              </w:pPr>
              <w:hyperlink w:anchor="_Toc165356985" w:history="1">
                <w:r w:rsidRPr="008B7D13">
                  <w:rPr>
                    <w:rStyle w:val="Hyperlink"/>
                    <w:rFonts w:eastAsia="Calibri"/>
                    <w:noProof/>
                  </w:rPr>
                  <w:t>Pirkimo sąlygų 2 priedas „</w:t>
                </w:r>
                <w:r w:rsidR="00276BAD">
                  <w:rPr>
                    <w:rStyle w:val="Hyperlink"/>
                    <w:rFonts w:eastAsia="Calibri"/>
                    <w:noProof/>
                  </w:rPr>
                  <w:t>Pasiūlymo forma, t</w:t>
                </w:r>
                <w:r w:rsidRPr="008B7D13">
                  <w:rPr>
                    <w:rStyle w:val="Hyperlink"/>
                    <w:rFonts w:eastAsia="Calibri"/>
                    <w:noProof/>
                  </w:rPr>
                  <w:t>echninė specifikacija“</w:t>
                </w:r>
                <w:r>
                  <w:rPr>
                    <w:noProof/>
                    <w:webHidden/>
                  </w:rPr>
                  <w:tab/>
                </w:r>
                <w:r w:rsidR="00F64DD3">
                  <w:rPr>
                    <w:noProof/>
                    <w:webHidden/>
                  </w:rPr>
                  <w:t>9</w:t>
                </w:r>
              </w:hyperlink>
            </w:p>
            <w:p w14:paraId="30ECD3B6" w14:textId="16595526" w:rsidR="00A55FC0" w:rsidRDefault="00A55FC0">
              <w:pPr>
                <w:pStyle w:val="TOC2"/>
                <w:rPr>
                  <w:rFonts w:asciiTheme="minorHAnsi" w:hAnsiTheme="minorHAnsi" w:cstheme="minorBidi"/>
                  <w:noProof/>
                  <w:kern w:val="2"/>
                  <w14:ligatures w14:val="standardContextual"/>
                </w:rPr>
              </w:pPr>
              <w:hyperlink w:anchor="_Toc165356986" w:history="1">
                <w:r w:rsidRPr="008B7D13">
                  <w:rPr>
                    <w:rStyle w:val="Hyperlink"/>
                    <w:rFonts w:eastAsia="Calibri"/>
                    <w:noProof/>
                  </w:rPr>
                  <w:t>Pirkimo sąlygų 3 priedas „Tiekėjų pašalinimo pagrindai</w:t>
                </w:r>
                <w:r w:rsidRPr="008B7D13">
                  <w:rPr>
                    <w:rStyle w:val="Hyperlink"/>
                    <w:rFonts w:eastAsia="Calibri" w:cstheme="minorHAnsi"/>
                    <w:noProof/>
                  </w:rPr>
                  <w:t>“</w:t>
                </w:r>
                <w:r>
                  <w:rPr>
                    <w:noProof/>
                    <w:webHidden/>
                  </w:rPr>
                  <w:tab/>
                </w:r>
                <w:r w:rsidR="00F64DD3">
                  <w:rPr>
                    <w:noProof/>
                    <w:webHidden/>
                  </w:rPr>
                  <w:t>10</w:t>
                </w:r>
              </w:hyperlink>
            </w:p>
            <w:p w14:paraId="0882B594" w14:textId="3067E242" w:rsidR="00A55FC0" w:rsidRDefault="00A55FC0">
              <w:pPr>
                <w:pStyle w:val="TOC2"/>
                <w:rPr>
                  <w:rFonts w:asciiTheme="minorHAnsi" w:hAnsiTheme="minorHAnsi" w:cstheme="minorBidi"/>
                  <w:noProof/>
                  <w:kern w:val="2"/>
                  <w14:ligatures w14:val="standardContextual"/>
                </w:rPr>
              </w:pPr>
              <w:hyperlink w:anchor="_Toc165356987" w:history="1">
                <w:r w:rsidRPr="008B7D13">
                  <w:rPr>
                    <w:rStyle w:val="Hyperlink"/>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OC2"/>
                <w:rPr>
                  <w:rFonts w:asciiTheme="minorHAnsi" w:hAnsiTheme="minorHAnsi" w:cstheme="minorBidi"/>
                  <w:noProof/>
                  <w:kern w:val="2"/>
                  <w14:ligatures w14:val="standardContextual"/>
                </w:rPr>
              </w:pPr>
              <w:hyperlink w:anchor="_Toc165356988" w:history="1">
                <w:r w:rsidRPr="008B7D13">
                  <w:rPr>
                    <w:rStyle w:val="Hyperlink"/>
                    <w:rFonts w:eastAsia="Calibri"/>
                    <w:noProof/>
                  </w:rPr>
                  <w:t xml:space="preserve">Pirkimo sąlygų 5 priedas „EBVPD“ </w:t>
                </w:r>
                <w:r w:rsidRPr="008B7D13">
                  <w:rPr>
                    <w:rStyle w:val="Hyperlink"/>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OC2"/>
                <w:rPr>
                  <w:rFonts w:asciiTheme="minorHAnsi" w:hAnsiTheme="minorHAnsi" w:cstheme="minorBidi"/>
                  <w:noProof/>
                  <w:kern w:val="2"/>
                  <w14:ligatures w14:val="standardContextual"/>
                </w:rPr>
              </w:pPr>
              <w:hyperlink w:anchor="_Toc165356989" w:history="1">
                <w:r w:rsidRPr="008B7D13">
                  <w:rPr>
                    <w:rStyle w:val="Hyperlink"/>
                    <w:rFonts w:eastAsia="Calibri"/>
                    <w:noProof/>
                  </w:rPr>
                  <w:t xml:space="preserve">Pirkimo sąlygų </w:t>
                </w:r>
                <w:r w:rsidR="00A84213">
                  <w:rPr>
                    <w:rStyle w:val="Hyperlink"/>
                    <w:rFonts w:eastAsia="Calibri"/>
                    <w:noProof/>
                  </w:rPr>
                  <w:t>6</w:t>
                </w:r>
                <w:r w:rsidRPr="008B7D13">
                  <w:rPr>
                    <w:rStyle w:val="Hyperlink"/>
                    <w:rFonts w:eastAsia="Calibri"/>
                    <w:noProof/>
                  </w:rPr>
                  <w:t xml:space="preserve"> priedas „Pasiūlym</w:t>
                </w:r>
                <w:r w:rsidR="00276BAD">
                  <w:rPr>
                    <w:rStyle w:val="Hyperlink"/>
                    <w:rFonts w:eastAsia="Calibri"/>
                    <w:noProof/>
                  </w:rPr>
                  <w:t>ų</w:t>
                </w:r>
                <w:r w:rsidRPr="008B7D13">
                  <w:rPr>
                    <w:rStyle w:val="Hyperlink"/>
                    <w:rFonts w:eastAsia="Calibri"/>
                    <w:noProof/>
                  </w:rPr>
                  <w:t xml:space="preserve"> </w:t>
                </w:r>
                <w:r w:rsidR="00276BAD">
                  <w:rPr>
                    <w:rStyle w:val="Hyperlink"/>
                    <w:rFonts w:eastAsia="Calibri"/>
                    <w:noProof/>
                  </w:rPr>
                  <w:t>vertinimo kriterijai ir sąlygos</w:t>
                </w:r>
                <w:r w:rsidRPr="008B7D13">
                  <w:rPr>
                    <w:rStyle w:val="Hyperlink"/>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OC2"/>
                <w:rPr>
                  <w:rFonts w:asciiTheme="minorHAnsi" w:hAnsiTheme="minorHAnsi" w:cstheme="minorBidi"/>
                  <w:noProof/>
                  <w:kern w:val="2"/>
                  <w14:ligatures w14:val="standardContextual"/>
                </w:rPr>
              </w:pPr>
              <w:hyperlink w:anchor="_Toc165356991" w:history="1">
                <w:r w:rsidRPr="008B7D13">
                  <w:rPr>
                    <w:rStyle w:val="Hyperlink"/>
                    <w:noProof/>
                  </w:rPr>
                  <w:t xml:space="preserve">Pirkimo sąlygų </w:t>
                </w:r>
                <w:r w:rsidR="00A84213">
                  <w:rPr>
                    <w:rStyle w:val="Hyperlink"/>
                    <w:noProof/>
                  </w:rPr>
                  <w:t>7</w:t>
                </w:r>
                <w:r w:rsidRPr="008B7D13">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3</w:t>
              </w:r>
            </w:p>
            <w:p w14:paraId="1B636F88" w14:textId="2248EEB2" w:rsidR="00A55FC0" w:rsidRDefault="00A55FC0">
              <w:pPr>
                <w:pStyle w:val="TOC2"/>
                <w:rPr>
                  <w:rFonts w:asciiTheme="minorHAnsi" w:hAnsiTheme="minorHAnsi" w:cstheme="minorBidi"/>
                  <w:noProof/>
                  <w:kern w:val="2"/>
                  <w14:ligatures w14:val="standardContextual"/>
                </w:rPr>
              </w:pPr>
              <w:hyperlink w:anchor="_Toc165356992" w:history="1">
                <w:r w:rsidRPr="008B7D13">
                  <w:rPr>
                    <w:rStyle w:val="Hyperlink"/>
                    <w:noProof/>
                  </w:rPr>
                  <w:t xml:space="preserve">Pirkimo sąlygų </w:t>
                </w:r>
                <w:r w:rsidR="00A84213">
                  <w:rPr>
                    <w:rStyle w:val="Hyperlink"/>
                    <w:noProof/>
                  </w:rPr>
                  <w:t>8</w:t>
                </w:r>
                <w:r w:rsidRPr="008B7D13">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5</w:t>
              </w:r>
            </w:p>
            <w:p w14:paraId="50BA6256" w14:textId="2AB4D9E9" w:rsidR="00A55FC0" w:rsidRDefault="00A55FC0">
              <w:pPr>
                <w:pStyle w:val="TOC2"/>
                <w:rPr>
                  <w:rStyle w:val="Hyperlink"/>
                  <w:noProof/>
                </w:rPr>
              </w:pPr>
              <w:hyperlink w:anchor="_Toc165356993" w:history="1">
                <w:r w:rsidRPr="008B7D13">
                  <w:rPr>
                    <w:rStyle w:val="Hyperlink"/>
                    <w:noProof/>
                  </w:rPr>
                  <w:t xml:space="preserve">Pirkimo sąlygų </w:t>
                </w:r>
                <w:r w:rsidR="00A84213">
                  <w:rPr>
                    <w:rStyle w:val="Hyperlink"/>
                    <w:noProof/>
                  </w:rPr>
                  <w:t>9</w:t>
                </w:r>
                <w:r w:rsidRPr="008B7D13">
                  <w:rPr>
                    <w:rStyle w:val="Hyperlink"/>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yperlink"/>
                  <w:noProof/>
                </w:rPr>
                <w:t>6</w:t>
              </w:r>
            </w:p>
            <w:p w14:paraId="0DDC40AE" w14:textId="385EC30C" w:rsidR="001C24BC" w:rsidRPr="00F0499F" w:rsidRDefault="00992214" w:rsidP="004C5C26">
              <w:pPr>
                <w:pStyle w:val="TOC2"/>
                <w:rPr>
                  <w:rFonts w:cstheme="minorHAnsi"/>
                </w:rPr>
              </w:pPr>
              <w:r>
                <w:t xml:space="preserve"> </w:t>
              </w:r>
              <w:r w:rsidR="009F14E6" w:rsidRPr="00723832">
                <w:rPr>
                  <w:shd w:val="clear" w:color="auto" w:fill="E6E6E6"/>
                </w:rPr>
                <w:t>Pirkimo sąlygų 10 priedas</w:t>
              </w:r>
              <w:r w:rsidR="009F14E6" w:rsidRPr="00723832">
                <w:rPr>
                  <w:b/>
                  <w:bCs/>
                  <w:shd w:val="clear" w:color="auto" w:fill="E6E6E6"/>
                </w:rPr>
                <w:t xml:space="preserve"> </w:t>
              </w:r>
              <w:r w:rsidR="009F14E6" w:rsidRPr="00723832">
                <w:rPr>
                  <w:shd w:val="clear" w:color="auto" w:fill="E6E6E6"/>
                </w:rPr>
                <w:t>„</w:t>
              </w:r>
              <w:r w:rsidR="009F14E6" w:rsidRPr="00723832">
                <w:rPr>
                  <w:rFonts w:cstheme="minorHAnsi"/>
                  <w:shd w:val="clear" w:color="auto" w:fill="E6E6E6"/>
                </w:rPr>
                <w:t xml:space="preserve"> </w:t>
              </w:r>
              <w:r w:rsidR="009F14E6">
                <w:rPr>
                  <w:rFonts w:cstheme="minorHAnsi"/>
                  <w:shd w:val="clear" w:color="auto" w:fill="E6E6E6"/>
                </w:rPr>
                <w:t>Deklaracija dėl Tiekėjo atsakingų asmenų..........................................................27</w:t>
              </w:r>
              <w:r>
                <w:t xml:space="preserve">    </w:t>
              </w:r>
              <w:r w:rsidR="001C24BC" w:rsidRPr="006B4FF8">
                <w:rPr>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35839580"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w:t>
      </w:r>
      <w:r w:rsidR="00966563">
        <w:rPr>
          <w:rFonts w:ascii="Times New Roman" w:hAnsi="Times New Roman" w:cs="Times New Roman"/>
          <w:sz w:val="22"/>
          <w:szCs w:val="22"/>
        </w:rPr>
        <w:t>paslaugų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6C912B31" w:rsidR="00B41C66" w:rsidRPr="00481388" w:rsidRDefault="00FD5BD9" w:rsidP="00481388">
      <w:pPr>
        <w:tabs>
          <w:tab w:val="right" w:leader="underscore" w:pos="8505"/>
        </w:tabs>
        <w:jc w:val="both"/>
        <w:rPr>
          <w:rFonts w:ascii="Times New Roman" w:hAnsi="Times New Roman" w:cs="Times New Roman"/>
          <w:color w:val="FF0000"/>
          <w:sz w:val="22"/>
          <w:szCs w:val="22"/>
        </w:rPr>
      </w:pPr>
      <w:r w:rsidRPr="00481388">
        <w:rPr>
          <w:rFonts w:ascii="Times New Roman" w:eastAsia="Calibri" w:hAnsi="Times New Roman" w:cs="Times New Roman"/>
          <w:color w:val="000000" w:themeColor="text1"/>
          <w:sz w:val="22"/>
          <w:szCs w:val="22"/>
        </w:rPr>
        <w:t>2.1.</w:t>
      </w:r>
      <w:r w:rsidR="007329DA" w:rsidRPr="00481388">
        <w:rPr>
          <w:rFonts w:ascii="Times New Roman" w:eastAsia="Calibri" w:hAnsi="Times New Roman" w:cs="Times New Roman"/>
          <w:color w:val="000000" w:themeColor="text1"/>
          <w:sz w:val="22"/>
          <w:szCs w:val="22"/>
        </w:rPr>
        <w:t xml:space="preserve"> </w:t>
      </w:r>
      <w:r w:rsidR="00B41C66" w:rsidRPr="00481388">
        <w:rPr>
          <w:rFonts w:ascii="Times New Roman" w:eastAsia="Calibri" w:hAnsi="Times New Roman" w:cs="Times New Roman"/>
          <w:color w:val="000000" w:themeColor="text1"/>
          <w:sz w:val="22"/>
          <w:szCs w:val="22"/>
        </w:rPr>
        <w:t xml:space="preserve">Perkančioji organizacija numato </w:t>
      </w:r>
      <w:r w:rsidRPr="00481388">
        <w:rPr>
          <w:rFonts w:ascii="Times New Roman" w:eastAsia="Calibri" w:hAnsi="Times New Roman" w:cs="Times New Roman"/>
          <w:color w:val="000000" w:themeColor="text1"/>
          <w:sz w:val="22"/>
          <w:szCs w:val="22"/>
        </w:rPr>
        <w:t xml:space="preserve">įsigyti </w:t>
      </w:r>
      <w:r w:rsidR="00481388" w:rsidRPr="00481388">
        <w:rPr>
          <w:rFonts w:ascii="Times New Roman" w:eastAsia="Calibri" w:hAnsi="Times New Roman" w:cs="Times New Roman"/>
          <w:color w:val="000000" w:themeColor="text1"/>
          <w:sz w:val="22"/>
          <w:szCs w:val="22"/>
        </w:rPr>
        <w:t>l</w:t>
      </w:r>
      <w:r w:rsidR="00481388" w:rsidRPr="00481388">
        <w:rPr>
          <w:rFonts w:ascii="Times New Roman" w:hAnsi="Times New Roman" w:cs="Times New Roman"/>
          <w:kern w:val="2"/>
          <w:sz w:val="22"/>
          <w:szCs w:val="22"/>
        </w:rPr>
        <w:t>inijinio greitintuvo Truebeam su OBI garantijos pratęsimo paslaugas, kurios apima: techninės būklės tikrinimo, techninės priežiūros ir remonto paslaugas, įskaitant atsarginių dalių, medžiagų keitimą</w:t>
      </w:r>
      <w:r w:rsidR="00B41C66" w:rsidRPr="00481388">
        <w:rPr>
          <w:rFonts w:ascii="Times New Roman" w:eastAsia="Calibri" w:hAnsi="Times New Roman" w:cs="Times New Roman"/>
          <w:color w:val="00B050"/>
          <w:sz w:val="22"/>
          <w:szCs w:val="22"/>
        </w:rPr>
        <w:t>.</w:t>
      </w:r>
      <w:r w:rsidR="00B41C66" w:rsidRPr="00481388">
        <w:rPr>
          <w:rFonts w:ascii="Times New Roman" w:hAnsi="Times New Roman" w:cs="Times New Roman"/>
          <w:sz w:val="22"/>
          <w:szCs w:val="22"/>
        </w:rPr>
        <w:t xml:space="preserve"> </w:t>
      </w:r>
      <w:r w:rsidRPr="00481388">
        <w:rPr>
          <w:rFonts w:ascii="Times New Roman" w:hAnsi="Times New Roman" w:cs="Times New Roman"/>
          <w:sz w:val="22"/>
          <w:szCs w:val="22"/>
        </w:rPr>
        <w:t xml:space="preserve">Reikalavimai pirkimo objektui nustatyti specialiųjų pirkimo sąlygų 2 priede – </w:t>
      </w:r>
      <w:r w:rsidR="0004023F" w:rsidRPr="00481388">
        <w:rPr>
          <w:rFonts w:ascii="Times New Roman" w:hAnsi="Times New Roman" w:cs="Times New Roman"/>
          <w:sz w:val="22"/>
          <w:szCs w:val="22"/>
        </w:rPr>
        <w:t>Pasiūlymo forma, t</w:t>
      </w:r>
      <w:r w:rsidRPr="00481388">
        <w:rPr>
          <w:rFonts w:ascii="Times New Roman" w:hAnsi="Times New Roman" w:cs="Times New Roman"/>
          <w:sz w:val="22"/>
          <w:szCs w:val="22"/>
        </w:rPr>
        <w:t>echninė specifikacija</w:t>
      </w:r>
      <w:r w:rsidR="00B41C66" w:rsidRPr="00481388">
        <w:rPr>
          <w:rFonts w:ascii="Times New Roman" w:hAnsi="Times New Roman" w:cs="Times New Roman"/>
          <w:sz w:val="22"/>
          <w:szCs w:val="22"/>
        </w:rPr>
        <w:t>.</w:t>
      </w:r>
    </w:p>
    <w:p w14:paraId="5FDBA253" w14:textId="53B91EF3" w:rsidR="009C20C9" w:rsidRPr="00B344AE" w:rsidRDefault="00507DC9" w:rsidP="009C20C9">
      <w:pPr>
        <w:pStyle w:val="NoSpacing"/>
        <w:spacing w:after="120"/>
        <w:ind w:firstLine="567"/>
        <w:contextualSpacing/>
        <w:jc w:val="both"/>
        <w:rPr>
          <w:rFonts w:ascii="Times New Roman" w:hAnsi="Times New Roman" w:cs="Times New Roman"/>
          <w:b/>
          <w:bCs/>
          <w:sz w:val="24"/>
          <w:szCs w:val="24"/>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044B68">
        <w:rPr>
          <w:rFonts w:ascii="Times New Roman" w:hAnsi="Times New Roman" w:cs="Times New Roman"/>
          <w:sz w:val="22"/>
          <w:szCs w:val="22"/>
        </w:rPr>
        <w:t>ne</w:t>
      </w:r>
      <w:r w:rsidR="009C20C9">
        <w:rPr>
          <w:rFonts w:ascii="Times New Roman" w:hAnsi="Times New Roman" w:cs="Times New Roman"/>
          <w:sz w:val="22"/>
          <w:szCs w:val="22"/>
        </w:rPr>
        <w:t>skaidomas į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7FE5282A" w:rsidR="00325243" w:rsidRPr="00FD5BD9" w:rsidRDefault="00325243"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0FC35ADC"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4B68">
        <w:rPr>
          <w:rFonts w:ascii="Times New Roman" w:hAnsi="Times New Roman" w:cs="Times New Roman"/>
          <w:color w:val="000000"/>
          <w:sz w:val="22"/>
          <w:szCs w:val="22"/>
        </w:rPr>
        <w:t>paslaugų</w:t>
      </w:r>
      <w:r w:rsidR="00046522" w:rsidRPr="00FD5BD9">
        <w:rPr>
          <w:rFonts w:ascii="Times New Roman" w:hAnsi="Times New Roman" w:cs="Times New Roman"/>
          <w:color w:val="000000"/>
          <w:sz w:val="22"/>
          <w:szCs w:val="22"/>
        </w:rPr>
        <w:t xml:space="preserve">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ListParagraph"/>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ListParagraph"/>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3AB85B27" w14:textId="77777777" w:rsidR="00481388" w:rsidRPr="00FD5BD9" w:rsidRDefault="00481388" w:rsidP="00481388">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6.1. Tiekėjo pasiūlymą sudaro CVP IS pateikiamų ir žemiau nurodytų dokumentų visuma:</w:t>
      </w:r>
    </w:p>
    <w:p w14:paraId="4D8DAAD4" w14:textId="77777777" w:rsidR="00481388" w:rsidRPr="00A50A27" w:rsidRDefault="00481388" w:rsidP="00481388">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tiekėjo pasiūlymas, parengtas pagal specialiųjų pirkimo sąlygų </w:t>
      </w:r>
      <w:r>
        <w:rPr>
          <w:rFonts w:ascii="Times New Roman" w:hAnsi="Times New Roman" w:cs="Times New Roman"/>
          <w:sz w:val="22"/>
          <w:szCs w:val="22"/>
          <w:shd w:val="clear" w:color="auto" w:fill="FFFFFF"/>
        </w:rPr>
        <w:t>2</w:t>
      </w:r>
      <w:r w:rsidRPr="00FD5BD9">
        <w:rPr>
          <w:rFonts w:ascii="Times New Roman" w:hAnsi="Times New Roman" w:cs="Times New Roman"/>
          <w:sz w:val="22"/>
          <w:szCs w:val="22"/>
          <w:shd w:val="clear" w:color="auto" w:fill="FFFFFF"/>
        </w:rPr>
        <w:t xml:space="preserve"> </w:t>
      </w:r>
      <w:r w:rsidRPr="00FD5BD9">
        <w:rPr>
          <w:rFonts w:ascii="Times New Roman" w:hAnsi="Times New Roman" w:cs="Times New Roman"/>
          <w:sz w:val="22"/>
          <w:szCs w:val="22"/>
        </w:rPr>
        <w:t xml:space="preserve">priede pateiktą pasiūlymo </w:t>
      </w:r>
      <w:r w:rsidRPr="00A50A27">
        <w:rPr>
          <w:rFonts w:ascii="Times New Roman" w:hAnsi="Times New Roman" w:cs="Times New Roman"/>
          <w:sz w:val="22"/>
          <w:szCs w:val="22"/>
        </w:rPr>
        <w:t>formą. (</w:t>
      </w:r>
      <w:r w:rsidRPr="00A50A27">
        <w:rPr>
          <w:rFonts w:ascii="Times New Roman" w:hAnsi="Times New Roman" w:cs="Times New Roman"/>
          <w:b/>
          <w:sz w:val="22"/>
          <w:szCs w:val="22"/>
          <w:u w:val="single"/>
        </w:rPr>
        <w:t xml:space="preserve">Užpildytas dokumentas privalo būti pateiktas ne skenuota forma, bet </w:t>
      </w:r>
      <w:r w:rsidRPr="00A50A27">
        <w:rPr>
          <w:rFonts w:ascii="Times New Roman" w:hAnsi="Times New Roman" w:cs="Times New Roman"/>
          <w:b/>
          <w:bCs/>
          <w:sz w:val="22"/>
          <w:szCs w:val="22"/>
          <w:u w:val="single"/>
        </w:rPr>
        <w:t>prisegant atskiru dokumentu Microsoft Excel).</w:t>
      </w:r>
    </w:p>
    <w:p w14:paraId="4EDF61AE" w14:textId="77777777" w:rsidR="00481388" w:rsidRPr="00FD5BD9" w:rsidRDefault="00481388" w:rsidP="00481388">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w:t>
      </w:r>
    </w:p>
    <w:p w14:paraId="6AB321CE" w14:textId="77777777" w:rsidR="00481388" w:rsidRPr="00FD5BD9" w:rsidRDefault="00481388" w:rsidP="00481388">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r w:rsidRPr="00FD5BD9">
        <w:rPr>
          <w:rFonts w:ascii="Times New Roman" w:hAnsi="Times New Roman" w:cs="Times New Roman"/>
          <w:sz w:val="22"/>
          <w:szCs w:val="22"/>
        </w:rPr>
        <w:t>;</w:t>
      </w:r>
    </w:p>
    <w:p w14:paraId="7524D49E" w14:textId="77777777" w:rsidR="00481388" w:rsidRPr="00FD5BD9" w:rsidRDefault="00481388" w:rsidP="00481388">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r w:rsidRPr="00FD5BD9">
        <w:rPr>
          <w:rFonts w:ascii="Times New Roman" w:hAnsi="Times New Roman" w:cs="Times New Roman"/>
          <w:sz w:val="22"/>
          <w:szCs w:val="22"/>
        </w:rPr>
        <w:t>;</w:t>
      </w:r>
    </w:p>
    <w:p w14:paraId="20FDAA1C" w14:textId="77777777" w:rsidR="00481388" w:rsidRPr="00FD5BD9" w:rsidRDefault="00481388" w:rsidP="0048138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pasiūlymo galiojimą užtikrinantis dokumentas (jeigu reikalaujama);</w:t>
      </w:r>
    </w:p>
    <w:p w14:paraId="3E73BFA0" w14:textId="77777777" w:rsidR="00481388" w:rsidRPr="00FD5BD9" w:rsidRDefault="00481388" w:rsidP="00481388">
      <w:pPr>
        <w:pStyle w:val="ListParagraph"/>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98B3397" w14:textId="77777777" w:rsidR="00481388" w:rsidRPr="00FD5BD9" w:rsidRDefault="00481388" w:rsidP="00481388">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C471938" w14:textId="77777777" w:rsidR="00481388" w:rsidRPr="00FD5BD9" w:rsidRDefault="00481388" w:rsidP="00481388">
      <w:pPr>
        <w:pStyle w:val="ListParagraph"/>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4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7E9F72CD" w14:textId="77777777" w:rsidR="00481388" w:rsidRPr="00F86660" w:rsidRDefault="00481388" w:rsidP="00481388">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Pr="00F86660">
        <w:rPr>
          <w:rFonts w:ascii="Times New Roman" w:hAnsi="Times New Roman" w:cs="Times New Roman"/>
          <w:sz w:val="22"/>
          <w:szCs w:val="22"/>
        </w:rPr>
        <w:t>2 priedą</w:t>
      </w:r>
      <w:r w:rsidRPr="00F86660">
        <w:rPr>
          <w:rFonts w:ascii="Times New Roman" w:hAnsi="Times New Roman" w:cs="Times New Roman"/>
          <w:i/>
          <w:iCs/>
          <w:sz w:val="22"/>
          <w:szCs w:val="22"/>
        </w:rPr>
        <w:t>;</w:t>
      </w:r>
    </w:p>
    <w:p w14:paraId="247CFD95" w14:textId="56F48AB6" w:rsidR="00481388" w:rsidRPr="00B5112C" w:rsidRDefault="00481388" w:rsidP="001E7E80">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2"/>
          <w:szCs w:val="22"/>
        </w:rPr>
      </w:pPr>
      <w:r w:rsidRPr="00B5112C">
        <w:rPr>
          <w:rFonts w:ascii="Times New Roman" w:hAnsi="Times New Roman" w:cs="Times New Roman"/>
          <w:b/>
          <w:bCs/>
          <w:sz w:val="22"/>
          <w:szCs w:val="22"/>
        </w:rPr>
        <w:t xml:space="preserve">dokumentai, patvirtinantys pasiūlyme nurodytos </w:t>
      </w:r>
      <w:r w:rsidRPr="00B5112C">
        <w:rPr>
          <w:rFonts w:ascii="Times New Roman" w:hAnsi="Times New Roman" w:cs="Times New Roman"/>
          <w:b/>
          <w:bCs/>
          <w:sz w:val="22"/>
          <w:szCs w:val="22"/>
        </w:rPr>
        <w:t>paslaugos</w:t>
      </w:r>
      <w:r w:rsidRPr="00B5112C">
        <w:rPr>
          <w:rFonts w:ascii="Times New Roman" w:hAnsi="Times New Roman" w:cs="Times New Roman"/>
          <w:b/>
          <w:bCs/>
          <w:sz w:val="22"/>
          <w:szCs w:val="22"/>
        </w:rPr>
        <w:t xml:space="preserve"> atitikimą visiems reikalavimams</w:t>
      </w:r>
      <w:r w:rsidRPr="00B5112C">
        <w:rPr>
          <w:rFonts w:ascii="Times New Roman" w:hAnsi="Times New Roman" w:cs="Times New Roman"/>
          <w:sz w:val="22"/>
          <w:szCs w:val="22"/>
        </w:rPr>
        <w:t>, nurodytiems specialiųjų pirkimo sąlygų 2 priede „Pasiūlymo forma, techninė specifikacija“</w:t>
      </w:r>
      <w:r w:rsidR="00B5112C" w:rsidRPr="00B5112C">
        <w:rPr>
          <w:rFonts w:ascii="Times New Roman" w:hAnsi="Times New Roman" w:cs="Times New Roman"/>
          <w:sz w:val="22"/>
          <w:szCs w:val="22"/>
        </w:rPr>
        <w:t>. Paslaugų</w:t>
      </w:r>
      <w:r w:rsidRPr="00B5112C">
        <w:rPr>
          <w:rFonts w:ascii="Times New Roman" w:hAnsi="Times New Roman" w:cs="Times New Roman"/>
          <w:sz w:val="22"/>
          <w:szCs w:val="22"/>
        </w:rPr>
        <w:t xml:space="preserve"> atitiktį pagrindžiantys dokumentai gali būti teikiami originalo kalba, kartu pateikiant jų vertimą į lietuvių kalbą. Vertimo pateikti nereikalaujama, jeigu dokumente vartojami visuotinai suprantami terminai arba dokumento turinys yra aiškus ir nekeliantis abejonių dėl jo reikšmės. Perkančioji organizacija pasilieka teisę pareikalauti vertimo, jei tai būtina dokumento turiniui tinkamai įvertinti. Prekės atitiktį pagrindžiantys dokumentai gali būti teikiami anglų kalba, tačiau esant poreikiui, perkančioji organizacija turi teisę prašyti pateikti tinkamą vertimą į lietuvių kalbą. </w:t>
      </w:r>
    </w:p>
    <w:p w14:paraId="6A1912D8" w14:textId="77777777" w:rsidR="00481388" w:rsidRPr="005F385F" w:rsidRDefault="00481388" w:rsidP="00481388">
      <w:pPr>
        <w:pStyle w:val="ListParagraph"/>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5EF4E0E0" w14:textId="77777777" w:rsidR="00481388" w:rsidRPr="005F385F" w:rsidRDefault="00481388" w:rsidP="00481388">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Pr>
          <w:rFonts w:ascii="Times New Roman" w:hAnsi="Times New Roman" w:cs="Times New Roman"/>
          <w:sz w:val="22"/>
          <w:szCs w:val="22"/>
        </w:rPr>
        <w:t>2</w:t>
      </w:r>
      <w:r w:rsidRPr="005F385F">
        <w:rPr>
          <w:rFonts w:ascii="Times New Roman" w:hAnsi="Times New Roman" w:cs="Times New Roman"/>
          <w:sz w:val="22"/>
          <w:szCs w:val="22"/>
        </w:rPr>
        <w:t xml:space="preserve">. </w:t>
      </w:r>
      <w:r w:rsidRPr="00300F6C">
        <w:rPr>
          <w:rFonts w:ascii="Times New Roman" w:hAnsi="Times New Roman" w:cs="Times New Roman"/>
          <w:sz w:val="22"/>
          <w:szCs w:val="22"/>
        </w:rPr>
        <w:t>kiti reikiami dokumentai</w:t>
      </w:r>
      <w:r w:rsidRPr="005F385F">
        <w:rPr>
          <w:rFonts w:ascii="Times New Roman" w:hAnsi="Times New Roman" w:cs="Times New Roman"/>
          <w:sz w:val="22"/>
          <w:szCs w:val="22"/>
        </w:rPr>
        <w:t>.</w:t>
      </w:r>
    </w:p>
    <w:p w14:paraId="7363ED9A" w14:textId="77777777" w:rsidR="00481388" w:rsidRPr="00B4674C" w:rsidRDefault="00481388" w:rsidP="00481388">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6.2</w:t>
      </w:r>
      <w:r>
        <w:rPr>
          <w:rFonts w:ascii="Times New Roman" w:hAnsi="Times New Roman" w:cs="Times New Roman"/>
          <w:sz w:val="22"/>
          <w:szCs w:val="22"/>
        </w:rPr>
        <w:t xml:space="preserve">. </w:t>
      </w:r>
      <w:r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5B9F334A" w14:textId="77777777" w:rsidR="00481388" w:rsidRPr="00B4674C" w:rsidRDefault="00481388" w:rsidP="00481388">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xml:space="preserve">. Jei kurie nors su pasiūlymu teikiami dokumentai parengti ne lietuvių kalba, perkančioji organizacija turi teisę prašyti pateikti  tikslų vertimą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057F91F3" w14:textId="77777777" w:rsidR="00481388" w:rsidRPr="008653B0" w:rsidRDefault="00481388" w:rsidP="00481388">
      <w:pPr>
        <w:pStyle w:val="ListParagraph"/>
        <w:spacing w:after="0"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w:t>
      </w:r>
      <w:r w:rsidRPr="00B4674C">
        <w:rPr>
          <w:rFonts w:ascii="Times New Roman" w:eastAsia="Arial" w:hAnsi="Times New Roman" w:cs="Times New Roman"/>
          <w:sz w:val="22"/>
          <w:szCs w:val="22"/>
        </w:rPr>
        <w:lastRenderedPageBreak/>
        <w:t xml:space="preserve">Atsižvelgiant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taisyklės dėl atskirų įkainių tikslumo ir apvalinimo</w:t>
      </w:r>
      <w:r w:rsidRPr="008653B0">
        <w:rPr>
          <w:rFonts w:ascii="Times New Roman" w:eastAsia="Arial" w:hAnsi="Times New Roman" w:cs="Times New Roman"/>
          <w:sz w:val="22"/>
          <w:szCs w:val="22"/>
        </w:rPr>
        <w:t>.</w:t>
      </w:r>
    </w:p>
    <w:p w14:paraId="0A0ED89E" w14:textId="77777777" w:rsidR="00481388" w:rsidRDefault="00481388" w:rsidP="00481388">
      <w:pPr>
        <w:pStyle w:val="ListParagraph"/>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62FA5246" w14:textId="2674AF78" w:rsidR="00B250A1" w:rsidRPr="00336BE6" w:rsidRDefault="00044B68" w:rsidP="00336BE6">
      <w:pPr>
        <w:pStyle w:val="Body2"/>
        <w:tabs>
          <w:tab w:val="left" w:pos="851"/>
        </w:tabs>
        <w:rPr>
          <w:rFonts w:cs="Times New Roman"/>
          <w:sz w:val="22"/>
          <w:szCs w:val="22"/>
        </w:rPr>
      </w:pPr>
      <w:r>
        <w:rPr>
          <w:rFonts w:cs="Times New Roman"/>
          <w:sz w:val="22"/>
          <w:szCs w:val="22"/>
        </w:rPr>
        <w:t>________________________</w:t>
      </w: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0B2570AB" w:rsidR="008E6993"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Reikalavimai tiekėjo kvalifikacijai</w:t>
      </w:r>
      <w:r w:rsidR="00B5112C">
        <w:rPr>
          <w:rFonts w:ascii="Times New Roman" w:eastAsiaTheme="minorHAnsi" w:hAnsi="Times New Roman" w:cs="Times New Roman"/>
          <w:iCs/>
          <w:sz w:val="24"/>
          <w:szCs w:val="24"/>
          <w:lang w:eastAsia="en-US"/>
        </w:rPr>
        <w:t xml:space="preserve"> yra nurodyti Priede Nr. 2, „Pasiūlymo forma, techninė specifikacija“.</w:t>
      </w:r>
    </w:p>
    <w:p w14:paraId="27C17C9E" w14:textId="77777777" w:rsidR="00044B68"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p w14:paraId="7157FC54" w14:textId="77777777" w:rsidR="00044B68" w:rsidRPr="00EE1132" w:rsidRDefault="00044B68"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p w14:paraId="22F9B451" w14:textId="77777777" w:rsidR="009F14E6" w:rsidRPr="00296EC5" w:rsidRDefault="009F14E6" w:rsidP="009F14E6">
      <w:pPr>
        <w:pStyle w:val="Heading2"/>
        <w:ind w:left="5103"/>
        <w:rPr>
          <w:rFonts w:ascii="Times New Roman" w:hAnsi="Times New Roman" w:cs="Times New Roman"/>
          <w:color w:val="auto"/>
          <w:sz w:val="22"/>
          <w:szCs w:val="22"/>
        </w:rPr>
      </w:pPr>
      <w:bookmarkStart w:id="75" w:name="_Toc202517981"/>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5"/>
    </w:p>
    <w:p w14:paraId="60875952" w14:textId="77777777" w:rsidR="009F14E6" w:rsidRPr="00AE7CE1" w:rsidRDefault="009F14E6" w:rsidP="009F14E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9F14E6" w:rsidRPr="00AE7CE1" w14:paraId="4F8346DB" w14:textId="77777777" w:rsidTr="00D136CA">
        <w:trPr>
          <w:trHeight w:val="356"/>
        </w:trPr>
        <w:tc>
          <w:tcPr>
            <w:tcW w:w="2208" w:type="dxa"/>
          </w:tcPr>
          <w:p w14:paraId="437A8D15" w14:textId="77777777" w:rsidR="009F14E6" w:rsidRPr="00AE7CE1" w:rsidRDefault="009F14E6" w:rsidP="00D136CA">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7A420C6F" w14:textId="77777777" w:rsidR="009F14E6" w:rsidRPr="00AE7CE1" w:rsidRDefault="009F14E6" w:rsidP="009F14E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52E3E619" w14:textId="77777777" w:rsidR="009F14E6" w:rsidRPr="00AE7CE1" w:rsidRDefault="009F14E6" w:rsidP="009F14E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0BFF3CF4" w14:textId="77777777" w:rsidR="009F14E6" w:rsidRPr="00AE7CE1" w:rsidRDefault="009F14E6" w:rsidP="009F14E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59D21762" w14:textId="77777777" w:rsidR="009F14E6" w:rsidRPr="00AE7CE1" w:rsidRDefault="009F14E6" w:rsidP="009F14E6">
      <w:pPr>
        <w:spacing w:after="0" w:line="240" w:lineRule="auto"/>
        <w:ind w:right="-897"/>
        <w:jc w:val="both"/>
        <w:rPr>
          <w:rFonts w:ascii="Times New Roman" w:eastAsia="Calibri" w:hAnsi="Times New Roman" w:cs="Times New Roman"/>
          <w:i/>
          <w:sz w:val="22"/>
          <w:szCs w:val="22"/>
          <w:lang w:eastAsia="en-US"/>
        </w:rPr>
      </w:pPr>
    </w:p>
    <w:p w14:paraId="6BD7F406" w14:textId="77777777" w:rsidR="009F14E6" w:rsidRPr="00AE7CE1" w:rsidRDefault="009F14E6" w:rsidP="009F14E6">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56B979D2" w14:textId="77777777" w:rsidR="009F14E6" w:rsidRPr="00AE7CE1" w:rsidRDefault="009F14E6" w:rsidP="009F14E6">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4836002" w14:textId="77777777" w:rsidR="009F14E6" w:rsidRPr="00AE7CE1" w:rsidRDefault="009F14E6" w:rsidP="009F14E6">
      <w:pPr>
        <w:spacing w:after="0" w:line="240" w:lineRule="auto"/>
        <w:ind w:right="-613"/>
        <w:jc w:val="both"/>
        <w:rPr>
          <w:rFonts w:ascii="Times New Roman" w:eastAsia="Calibri" w:hAnsi="Times New Roman" w:cs="Times New Roman"/>
          <w:sz w:val="22"/>
          <w:szCs w:val="22"/>
          <w:u w:val="single"/>
          <w:lang w:eastAsia="en-US"/>
        </w:rPr>
      </w:pPr>
    </w:p>
    <w:p w14:paraId="5F06E3B9"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265B167C" w14:textId="77777777" w:rsidR="009F14E6" w:rsidRPr="00AE7CE1" w:rsidRDefault="009F14E6" w:rsidP="009F14E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F7A6A91"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p>
    <w:p w14:paraId="6656F625"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312DCF7F"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457DFDBF"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0D7C7496"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p>
    <w:p w14:paraId="7A915D0E" w14:textId="77777777" w:rsidR="009F14E6" w:rsidRPr="00AE7CE1" w:rsidRDefault="009F14E6" w:rsidP="009F14E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5ABD5A0"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C2F3890"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A99B332"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57C588F"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E5E4629"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21B64F10" w14:textId="77777777" w:rsidR="009F14E6" w:rsidRPr="00AE7CE1" w:rsidRDefault="009F14E6" w:rsidP="009F14E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A03ED2E"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33AEEBC8"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8982AFA"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0B5920F"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0B1301A" w14:textId="77777777" w:rsidR="009F14E6" w:rsidRPr="00AE7CE1" w:rsidRDefault="009F14E6" w:rsidP="009F14E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188F2971" w14:textId="77777777" w:rsidR="009F14E6" w:rsidRPr="00AE7CE1" w:rsidRDefault="009F14E6" w:rsidP="009F14E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47359F47"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F2C4EB7" w14:textId="77777777" w:rsidR="009F14E6" w:rsidRPr="00AE7CE1" w:rsidRDefault="009F14E6" w:rsidP="009F14E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1D4C037" w14:textId="77777777" w:rsidR="009F14E6" w:rsidRDefault="009F14E6" w:rsidP="009F14E6">
      <w:pPr>
        <w:jc w:val="both"/>
        <w:rPr>
          <w:rFonts w:ascii="Times New Roman" w:hAnsi="Times New Roman" w:cs="Times New Roman"/>
          <w:sz w:val="22"/>
          <w:szCs w:val="22"/>
        </w:rPr>
      </w:pPr>
    </w:p>
    <w:p w14:paraId="29DEA9AA" w14:textId="77777777" w:rsidR="009F14E6" w:rsidRDefault="009F14E6" w:rsidP="009F14E6">
      <w:pPr>
        <w:jc w:val="both"/>
        <w:rPr>
          <w:rFonts w:ascii="Times New Roman" w:hAnsi="Times New Roman" w:cs="Times New Roman"/>
          <w:sz w:val="22"/>
          <w:szCs w:val="22"/>
        </w:rPr>
      </w:pPr>
    </w:p>
    <w:p w14:paraId="4AEF836B" w14:textId="77777777" w:rsidR="00856BD5" w:rsidRDefault="00856BD5" w:rsidP="00463465">
      <w:pPr>
        <w:jc w:val="both"/>
        <w:rPr>
          <w:rFonts w:ascii="Times New Roman" w:eastAsia="Calibri" w:hAnsi="Times New Roman" w:cs="Times New Roman"/>
          <w:i/>
          <w:iCs/>
          <w:color w:val="FF0000"/>
          <w:sz w:val="24"/>
          <w:szCs w:val="24"/>
        </w:rPr>
      </w:pPr>
    </w:p>
    <w:p w14:paraId="247E5239" w14:textId="77777777" w:rsidR="00856BD5" w:rsidRDefault="00856BD5" w:rsidP="00463465">
      <w:pPr>
        <w:jc w:val="both"/>
        <w:rPr>
          <w:rFonts w:ascii="Times New Roman" w:eastAsia="Calibri" w:hAnsi="Times New Roman" w:cs="Times New Roman"/>
          <w:i/>
          <w:iCs/>
          <w:color w:val="FF0000"/>
          <w:sz w:val="24"/>
          <w:szCs w:val="24"/>
        </w:rPr>
      </w:pPr>
    </w:p>
    <w:p w14:paraId="3397A3A4" w14:textId="77777777" w:rsidR="00856BD5" w:rsidRDefault="00856BD5" w:rsidP="00463465">
      <w:pPr>
        <w:jc w:val="both"/>
        <w:rPr>
          <w:rFonts w:ascii="Times New Roman" w:eastAsia="Calibri" w:hAnsi="Times New Roman" w:cs="Times New Roman"/>
          <w:i/>
          <w:iCs/>
          <w:color w:val="FF0000"/>
          <w:sz w:val="24"/>
          <w:szCs w:val="24"/>
        </w:rPr>
      </w:pPr>
    </w:p>
    <w:p w14:paraId="1558506E" w14:textId="77777777" w:rsidR="00856BD5" w:rsidRDefault="00856BD5" w:rsidP="00463465">
      <w:pPr>
        <w:jc w:val="both"/>
        <w:rPr>
          <w:rFonts w:ascii="Times New Roman" w:eastAsia="Calibri" w:hAnsi="Times New Roman" w:cs="Times New Roman"/>
          <w:i/>
          <w:iCs/>
          <w:color w:val="FF0000"/>
          <w:sz w:val="24"/>
          <w:szCs w:val="24"/>
        </w:rPr>
      </w:pPr>
    </w:p>
    <w:p w14:paraId="6FDBF490" w14:textId="77777777" w:rsidR="00856BD5" w:rsidRDefault="00856BD5" w:rsidP="00463465">
      <w:pPr>
        <w:jc w:val="both"/>
        <w:rPr>
          <w:rFonts w:ascii="Times New Roman" w:eastAsia="Calibri" w:hAnsi="Times New Roman" w:cs="Times New Roman"/>
          <w:i/>
          <w:iCs/>
          <w:color w:val="FF0000"/>
          <w:sz w:val="24"/>
          <w:szCs w:val="24"/>
        </w:rPr>
      </w:pPr>
    </w:p>
    <w:p w14:paraId="59B30664" w14:textId="77777777" w:rsidR="00856BD5" w:rsidRDefault="00856BD5" w:rsidP="00463465">
      <w:pPr>
        <w:jc w:val="both"/>
        <w:rPr>
          <w:rFonts w:ascii="Times New Roman" w:eastAsia="Calibri" w:hAnsi="Times New Roman" w:cs="Times New Roman"/>
          <w:i/>
          <w:iCs/>
          <w:color w:val="FF0000"/>
          <w:sz w:val="24"/>
          <w:szCs w:val="24"/>
        </w:rPr>
      </w:pPr>
    </w:p>
    <w:p w14:paraId="2AFFBFA1" w14:textId="77777777" w:rsidR="00856BD5" w:rsidRDefault="00856BD5" w:rsidP="00463465">
      <w:pPr>
        <w:jc w:val="both"/>
        <w:rPr>
          <w:rFonts w:ascii="Times New Roman" w:eastAsia="Calibri" w:hAnsi="Times New Roman" w:cs="Times New Roman"/>
          <w:i/>
          <w:iCs/>
          <w:color w:val="FF0000"/>
          <w:sz w:val="24"/>
          <w:szCs w:val="24"/>
        </w:rPr>
      </w:pPr>
    </w:p>
    <w:p w14:paraId="049A3D8D" w14:textId="77777777" w:rsidR="00856BD5" w:rsidRDefault="00856BD5" w:rsidP="00463465">
      <w:pPr>
        <w:jc w:val="both"/>
        <w:rPr>
          <w:rFonts w:ascii="Times New Roman" w:eastAsia="Calibri" w:hAnsi="Times New Roman" w:cs="Times New Roman"/>
          <w:i/>
          <w:iCs/>
          <w:color w:val="FF0000"/>
          <w:sz w:val="24"/>
          <w:szCs w:val="24"/>
        </w:rPr>
      </w:pPr>
    </w:p>
    <w:p w14:paraId="7A1838B0" w14:textId="77777777" w:rsidR="00856BD5" w:rsidRDefault="00856BD5" w:rsidP="00463465">
      <w:pPr>
        <w:jc w:val="both"/>
        <w:rPr>
          <w:rFonts w:ascii="Times New Roman" w:eastAsia="Calibri" w:hAnsi="Times New Roman" w:cs="Times New Roman"/>
          <w:i/>
          <w:iCs/>
          <w:color w:val="FF0000"/>
          <w:sz w:val="24"/>
          <w:szCs w:val="24"/>
        </w:rPr>
      </w:pPr>
    </w:p>
    <w:p w14:paraId="57AB66DC" w14:textId="77777777" w:rsidR="00856BD5" w:rsidRDefault="00856BD5" w:rsidP="00463465">
      <w:pPr>
        <w:jc w:val="both"/>
        <w:rPr>
          <w:rFonts w:ascii="Times New Roman" w:eastAsia="Calibri" w:hAnsi="Times New Roman" w:cs="Times New Roman"/>
          <w:i/>
          <w:iCs/>
          <w:color w:val="FF0000"/>
          <w:sz w:val="24"/>
          <w:szCs w:val="24"/>
        </w:rPr>
      </w:pPr>
    </w:p>
    <w:p w14:paraId="443710AC" w14:textId="77777777" w:rsidR="00856BD5" w:rsidRDefault="00856BD5" w:rsidP="00463465">
      <w:pPr>
        <w:jc w:val="both"/>
        <w:rPr>
          <w:rFonts w:ascii="Times New Roman" w:eastAsia="Calibri" w:hAnsi="Times New Roman" w:cs="Times New Roman"/>
          <w:i/>
          <w:iCs/>
          <w:color w:val="FF0000"/>
          <w:sz w:val="24"/>
          <w:szCs w:val="24"/>
        </w:rPr>
      </w:pPr>
    </w:p>
    <w:p w14:paraId="5A1DCFA0" w14:textId="77777777" w:rsidR="00856BD5" w:rsidRDefault="00856BD5" w:rsidP="00463465">
      <w:pPr>
        <w:jc w:val="both"/>
        <w:rPr>
          <w:rFonts w:ascii="Times New Roman" w:eastAsia="Calibri" w:hAnsi="Times New Roman" w:cs="Times New Roman"/>
          <w:i/>
          <w:iCs/>
          <w:color w:val="FF0000"/>
          <w:sz w:val="24"/>
          <w:szCs w:val="24"/>
        </w:rPr>
      </w:pPr>
    </w:p>
    <w:p w14:paraId="240D98AC" w14:textId="77777777" w:rsidR="00856BD5" w:rsidRDefault="00856BD5"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B6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99"/>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4FE0"/>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38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26"/>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83A"/>
    <w:rsid w:val="00504D55"/>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6F95"/>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1D6"/>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63"/>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13"/>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4E6"/>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070"/>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112C"/>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0F43"/>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0F07"/>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6CF"/>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18F3"/>
    <w:rsid w:val="00E32664"/>
    <w:rsid w:val="00E32C8E"/>
    <w:rsid w:val="00E33261"/>
    <w:rsid w:val="00E33A84"/>
    <w:rsid w:val="00E345D2"/>
    <w:rsid w:val="00E347D3"/>
    <w:rsid w:val="00E355F1"/>
    <w:rsid w:val="00E3566E"/>
    <w:rsid w:val="00E3567D"/>
    <w:rsid w:val="00E357B2"/>
    <w:rsid w:val="00E359A5"/>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9DD"/>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28</Pages>
  <Words>29959</Words>
  <Characters>17077</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18</cp:revision>
  <cp:lastPrinted>2024-04-30T06:37:00Z</cp:lastPrinted>
  <dcterms:created xsi:type="dcterms:W3CDTF">2025-03-13T07:13:00Z</dcterms:created>
  <dcterms:modified xsi:type="dcterms:W3CDTF">2026-07-02T12:11:00Z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