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8A44B7" w:rsidRPr="00C20189" w:rsidRDefault="00140DB2" w:rsidP="008A44B7">
      <w:pPr>
        <w:tabs>
          <w:tab w:val="left" w:pos="5954"/>
          <w:tab w:val="right" w:leader="underscore" w:pos="8640"/>
        </w:tabs>
        <w:ind w:left="6379" w:hanging="1134"/>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w:t>
      </w:r>
      <w:r w:rsidR="008A44B7" w:rsidRPr="00C20189">
        <w:rPr>
          <w:rFonts w:asciiTheme="majorHAnsi" w:hAnsiTheme="majorHAnsi"/>
          <w:i/>
          <w:sz w:val="22"/>
          <w:szCs w:val="22"/>
          <w:lang w:val="lt-LT"/>
        </w:rPr>
        <w:t xml:space="preserve">             L. e. Viešųjų pirkimų tarnybos vadovės pareigas Regina Gasiūnienė</w:t>
      </w:r>
    </w:p>
    <w:p w:rsidR="00993F01" w:rsidRPr="00C20189" w:rsidRDefault="00993F01" w:rsidP="008A44B7">
      <w:pPr>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B447BB" w:rsidRDefault="008A44B7" w:rsidP="007C7568">
      <w:pPr>
        <w:jc w:val="center"/>
        <w:rPr>
          <w:rFonts w:asciiTheme="majorHAnsi" w:hAnsiTheme="majorHAnsi"/>
          <w:b/>
          <w:bCs/>
          <w:sz w:val="22"/>
          <w:szCs w:val="22"/>
          <w:lang w:val="lt-LT"/>
        </w:rPr>
      </w:pPr>
      <w:r w:rsidRPr="007842E1">
        <w:rPr>
          <w:rFonts w:asciiTheme="majorHAnsi" w:hAnsiTheme="majorHAnsi"/>
          <w:b/>
          <w:bCs/>
          <w:sz w:val="22"/>
          <w:szCs w:val="22"/>
          <w:lang w:val="lt-LT"/>
        </w:rPr>
        <w:t>REAGENTAI IR PAPILDOMOS PRIEMONĖS GINEKOLOGINIŲ IR NEGINEKOLOGINIŲ ĖMINIŲ IŠ SKYSTOSIOS TERPĖS PARUOŠIMO TYRIMUI KARTU SU ĮRANGOS ĮSIGIJIMU PANAUDOS BŪDU</w:t>
      </w:r>
    </w:p>
    <w:p w:rsidR="007842E1" w:rsidRDefault="007842E1"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885EC9"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885EC9"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885EC9"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885EC9"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885EC9"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885EC9">
        <w:rPr>
          <w:rFonts w:asciiTheme="majorHAnsi" w:eastAsia="Calibri" w:hAnsiTheme="majorHAnsi"/>
          <w:sz w:val="22"/>
          <w:szCs w:val="22"/>
        </w:rPr>
        <w:t xml:space="preserve"> ir jos priedas</w:t>
      </w:r>
      <w:r w:rsidR="00A267EC" w:rsidRPr="00700B84">
        <w:rPr>
          <w:rFonts w:asciiTheme="majorHAnsi" w:eastAsia="Calibri" w:hAnsiTheme="majorHAnsi"/>
          <w:sz w:val="22"/>
          <w:szCs w:val="22"/>
        </w:rPr>
        <w:t xml:space="preserve"> </w:t>
      </w:r>
      <w:r w:rsidRPr="00700B84">
        <w:rPr>
          <w:rFonts w:asciiTheme="majorHAnsi" w:hAnsiTheme="majorHAnsi"/>
          <w:sz w:val="22"/>
          <w:szCs w:val="22"/>
        </w:rPr>
        <w:t>(3</w:t>
      </w:r>
      <w:r w:rsidR="00885EC9">
        <w:rPr>
          <w:rFonts w:asciiTheme="majorHAnsi" w:hAnsiTheme="majorHAnsi"/>
          <w:sz w:val="22"/>
          <w:szCs w:val="22"/>
        </w:rPr>
        <w:t xml:space="preserve"> ir 3.1</w:t>
      </w:r>
      <w:bookmarkStart w:id="0" w:name="_GoBack"/>
      <w:bookmarkEnd w:id="0"/>
      <w:r w:rsidRPr="00700B84">
        <w:rPr>
          <w:rFonts w:asciiTheme="majorHAnsi" w:hAnsiTheme="majorHAnsi"/>
          <w:sz w:val="22"/>
          <w:szCs w:val="22"/>
        </w:rPr>
        <w:t xml:space="preserve">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3554D3" w:rsidRDefault="002F3AA5" w:rsidP="003554D3">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r w:rsidR="003554D3">
        <w:rPr>
          <w:rFonts w:asciiTheme="majorHAnsi" w:hAnsiTheme="majorHAnsi"/>
          <w:sz w:val="22"/>
          <w:szCs w:val="22"/>
          <w:lang w:eastAsia="lt-LT"/>
        </w:rPr>
        <w:t>;</w:t>
      </w:r>
      <w:r w:rsidR="003554D3" w:rsidRPr="003554D3">
        <w:rPr>
          <w:rFonts w:asciiTheme="majorHAnsi" w:hAnsiTheme="majorHAnsi"/>
          <w:sz w:val="22"/>
          <w:szCs w:val="22"/>
          <w:lang w:eastAsia="lt-LT"/>
        </w:rPr>
        <w:t xml:space="preserve"> </w:t>
      </w:r>
    </w:p>
    <w:p w:rsidR="003554D3" w:rsidRPr="00700B84" w:rsidRDefault="003554D3" w:rsidP="003554D3">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525890" w:rsidRPr="00700B84" w:rsidRDefault="00525890" w:rsidP="00F415E9">
      <w:pPr>
        <w:ind w:left="-907" w:firstLine="907"/>
        <w:rPr>
          <w:rFonts w:asciiTheme="majorHAnsi" w:hAnsiTheme="majorHAnsi"/>
          <w:sz w:val="22"/>
          <w:szCs w:val="22"/>
          <w:lang w:eastAsia="lt-LT"/>
        </w:rPr>
      </w:pP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700B84">
        <w:rPr>
          <w:rFonts w:asciiTheme="majorHAnsi" w:hAnsiTheme="majorHAnsi"/>
          <w:b/>
          <w:sz w:val="22"/>
        </w:rPr>
        <w:lastRenderedPageBreak/>
        <w:t>BENDROSIOS NUOSTATOS</w:t>
      </w:r>
      <w:bookmarkEnd w:id="1"/>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5" w:name="_Toc60525483"/>
      <w:bookmarkStart w:id="6" w:name="_Toc47844929"/>
      <w:bookmarkStart w:id="7" w:name="_Toc227136938"/>
      <w:bookmarkEnd w:id="2"/>
      <w:bookmarkEnd w:id="3"/>
      <w:bookmarkEnd w:id="4"/>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7842E1">
        <w:rPr>
          <w:rFonts w:asciiTheme="majorHAnsi" w:hAnsiTheme="majorHAnsi"/>
          <w:b/>
          <w:bCs/>
          <w:sz w:val="22"/>
          <w:szCs w:val="22"/>
        </w:rPr>
        <w:t>r</w:t>
      </w:r>
      <w:r w:rsidR="007842E1" w:rsidRPr="007842E1">
        <w:rPr>
          <w:rFonts w:asciiTheme="majorHAnsi" w:hAnsiTheme="majorHAnsi"/>
          <w:b/>
          <w:bCs/>
          <w:sz w:val="22"/>
          <w:szCs w:val="22"/>
        </w:rPr>
        <w:t>eagent</w:t>
      </w:r>
      <w:r w:rsidR="007842E1">
        <w:rPr>
          <w:rFonts w:asciiTheme="majorHAnsi" w:hAnsiTheme="majorHAnsi"/>
          <w:b/>
          <w:bCs/>
          <w:sz w:val="22"/>
          <w:szCs w:val="22"/>
        </w:rPr>
        <w:t>us</w:t>
      </w:r>
      <w:r w:rsidR="007842E1" w:rsidRPr="007842E1">
        <w:rPr>
          <w:rFonts w:asciiTheme="majorHAnsi" w:hAnsiTheme="majorHAnsi"/>
          <w:b/>
          <w:bCs/>
          <w:sz w:val="22"/>
          <w:szCs w:val="22"/>
        </w:rPr>
        <w:t xml:space="preserve"> ir papildom</w:t>
      </w:r>
      <w:r w:rsidR="007842E1">
        <w:rPr>
          <w:rFonts w:asciiTheme="majorHAnsi" w:hAnsiTheme="majorHAnsi"/>
          <w:b/>
          <w:bCs/>
          <w:sz w:val="22"/>
          <w:szCs w:val="22"/>
        </w:rPr>
        <w:t>a</w:t>
      </w:r>
      <w:r w:rsidR="007842E1" w:rsidRPr="007842E1">
        <w:rPr>
          <w:rFonts w:asciiTheme="majorHAnsi" w:hAnsiTheme="majorHAnsi"/>
          <w:b/>
          <w:bCs/>
          <w:sz w:val="22"/>
          <w:szCs w:val="22"/>
        </w:rPr>
        <w:t>s priemon</w:t>
      </w:r>
      <w:r w:rsidR="007842E1">
        <w:rPr>
          <w:rFonts w:asciiTheme="majorHAnsi" w:hAnsiTheme="majorHAnsi"/>
          <w:b/>
          <w:bCs/>
          <w:sz w:val="22"/>
          <w:szCs w:val="22"/>
        </w:rPr>
        <w:t>es</w:t>
      </w:r>
      <w:r w:rsidR="007842E1" w:rsidRPr="007842E1">
        <w:rPr>
          <w:rFonts w:asciiTheme="majorHAnsi" w:hAnsiTheme="majorHAnsi"/>
          <w:b/>
          <w:bCs/>
          <w:sz w:val="22"/>
          <w:szCs w:val="22"/>
        </w:rPr>
        <w:t xml:space="preserve"> ginekologinių ir neginekologinių ėminių iš skystosios terpės paruošimo tyrimui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8" w:name="_Toc487805677"/>
      <w:bookmarkStart w:id="9" w:name="_Toc490665140"/>
      <w:r w:rsidRPr="001734FC">
        <w:rPr>
          <w:rFonts w:asciiTheme="majorHAnsi" w:hAnsiTheme="majorHAnsi"/>
          <w:b/>
          <w:sz w:val="22"/>
        </w:rPr>
        <w:t>PIRKIMO OBJEKTAS</w:t>
      </w:r>
      <w:bookmarkEnd w:id="8"/>
      <w:bookmarkEnd w:id="9"/>
    </w:p>
    <w:bookmarkEnd w:id="5"/>
    <w:bookmarkEnd w:id="6"/>
    <w:bookmarkEnd w:id="7"/>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w:t>
      </w:r>
      <w:r w:rsidR="007842E1" w:rsidRPr="007842E1">
        <w:rPr>
          <w:rFonts w:asciiTheme="majorHAnsi" w:hAnsiTheme="majorHAnsi"/>
          <w:b/>
          <w:bCs/>
        </w:rPr>
        <w:t>Reagentai ir papildomos priemonės ginekologinių ir neginekologinių ėminių iš skystosios terpės paruošimo tyrimui kartu su įrangos įsigijimu panaudos būdu</w:t>
      </w:r>
      <w:r w:rsidR="009F3455" w:rsidRPr="001734FC">
        <w:rPr>
          <w:rFonts w:asciiTheme="majorHAnsi" w:hAnsiTheme="majorHAnsi"/>
          <w:b/>
          <w:bCs/>
        </w:rPr>
        <w:t>.</w:t>
      </w:r>
    </w:p>
    <w:p w:rsidR="001734FC" w:rsidRPr="007842E1" w:rsidRDefault="00201055" w:rsidP="007842E1">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b/>
          <w:u w:val="single"/>
        </w:rPr>
      </w:pPr>
      <w:bookmarkStart w:id="10" w:name="_Toc60525484"/>
      <w:bookmarkStart w:id="11" w:name="_Toc47844930"/>
      <w:bookmarkStart w:id="12" w:name="_Toc227136939"/>
      <w:r w:rsidRPr="007842E1">
        <w:rPr>
          <w:rFonts w:asciiTheme="majorHAnsi" w:hAnsiTheme="majorHAnsi"/>
        </w:rPr>
        <w:t xml:space="preserve"> </w:t>
      </w:r>
      <w:r w:rsidR="003D09BE" w:rsidRPr="007842E1">
        <w:rPr>
          <w:rFonts w:asciiTheme="majorHAnsi" w:hAnsiTheme="majorHAnsi"/>
        </w:rPr>
        <w:t xml:space="preserve">Šis </w:t>
      </w:r>
      <w:r w:rsidR="001734FC" w:rsidRPr="007842E1">
        <w:rPr>
          <w:rFonts w:asciiTheme="majorHAnsi" w:hAnsiTheme="majorHAnsi"/>
        </w:rPr>
        <w:t xml:space="preserve">viešasis </w:t>
      </w:r>
      <w:r w:rsidR="00B447BB" w:rsidRPr="007842E1">
        <w:rPr>
          <w:rFonts w:asciiTheme="majorHAnsi" w:hAnsiTheme="majorHAnsi"/>
        </w:rPr>
        <w:t xml:space="preserve">pirkimas </w:t>
      </w:r>
      <w:r w:rsidR="007842E1" w:rsidRPr="007842E1">
        <w:rPr>
          <w:rFonts w:asciiTheme="majorHAnsi" w:hAnsiTheme="majorHAnsi"/>
        </w:rPr>
        <w:t>nėra</w:t>
      </w:r>
      <w:r w:rsidR="00B447BB" w:rsidRPr="007842E1">
        <w:rPr>
          <w:rFonts w:asciiTheme="majorHAnsi" w:hAnsiTheme="majorHAnsi"/>
        </w:rPr>
        <w:t xml:space="preserve"> </w:t>
      </w:r>
      <w:r w:rsidR="007842E1" w:rsidRPr="007842E1">
        <w:rPr>
          <w:rFonts w:asciiTheme="majorHAnsi" w:hAnsiTheme="majorHAnsi"/>
        </w:rPr>
        <w:t>skaidomas</w:t>
      </w:r>
      <w:r w:rsidR="00B447BB" w:rsidRPr="007842E1">
        <w:rPr>
          <w:rFonts w:asciiTheme="majorHAnsi" w:hAnsiTheme="majorHAnsi"/>
        </w:rPr>
        <w:t xml:space="preserve"> į atskiras pirkimo dalis.</w:t>
      </w:r>
      <w:r w:rsidR="007842E1">
        <w:rPr>
          <w:rFonts w:asciiTheme="majorHAnsi" w:hAnsiTheme="majorHAnsi"/>
        </w:rPr>
        <w:t xml:space="preserve"> </w:t>
      </w:r>
      <w:r w:rsidR="007842E1" w:rsidRPr="007842E1">
        <w:rPr>
          <w:rFonts w:asciiTheme="majorHAnsi" w:hAnsiTheme="majorHAnsi"/>
        </w:rPr>
        <w:t>Pasiūlymas turi būti pateiktas visai techninėje specifikacijoje nurodytai apimčiai, neskaidant jos smulkiau</w:t>
      </w:r>
      <w:r w:rsidR="00B447BB" w:rsidRPr="007842E1">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w:t>
      </w:r>
      <w:r w:rsidR="007842E1" w:rsidRPr="00A54AF9">
        <w:rPr>
          <w:rFonts w:asciiTheme="majorHAnsi" w:hAnsiTheme="majorHAnsi"/>
          <w:lang w:eastAsia="lt-LT"/>
        </w:rPr>
        <w:t xml:space="preserve">organizacija ekonomiškai naudingiausią pasiūlymą išrenka pagal </w:t>
      </w:r>
      <w:r w:rsidR="007842E1" w:rsidRPr="00A54AF9">
        <w:rPr>
          <w:rFonts w:asciiTheme="majorHAnsi" w:hAnsiTheme="majorHAnsi"/>
          <w:b/>
          <w:lang w:eastAsia="lt-LT"/>
        </w:rPr>
        <w:t>kainos ir kokybės santykio kriterijų</w:t>
      </w:r>
      <w:r w:rsidR="007842E1" w:rsidRPr="00A54AF9">
        <w:rPr>
          <w:rFonts w:asciiTheme="majorHAnsi" w:hAnsiTheme="majorHAnsi"/>
          <w:lang w:eastAsia="lt-LT"/>
        </w:rPr>
        <w:t>. Ekonomiškai naudingiausiu pasiūlymu laikomas pasiūlymas, kurio ekonominis naudingumas didžiausias.</w:t>
      </w:r>
    </w:p>
    <w:p w:rsidR="007842E1" w:rsidRPr="007842E1" w:rsidRDefault="007842E1" w:rsidP="007842E1">
      <w:pPr>
        <w:pStyle w:val="ListParagraph"/>
        <w:numPr>
          <w:ilvl w:val="1"/>
          <w:numId w:val="3"/>
        </w:numPr>
        <w:tabs>
          <w:tab w:val="left" w:pos="1560"/>
        </w:tabs>
        <w:spacing w:after="0"/>
        <w:ind w:left="0" w:firstLine="1134"/>
        <w:rPr>
          <w:rFonts w:asciiTheme="majorHAnsi" w:hAnsiTheme="majorHAnsi"/>
          <w:lang w:eastAsia="lt-LT"/>
        </w:rPr>
      </w:pPr>
      <w:r w:rsidRPr="007842E1">
        <w:rPr>
          <w:rFonts w:asciiTheme="majorHAnsi" w:hAnsiTheme="majorHAnsi"/>
          <w:lang w:eastAsia="lt-LT"/>
        </w:rPr>
        <w:t xml:space="preserve">Didžiausia priimtina pasiūlymo kaina – </w:t>
      </w:r>
      <w:r w:rsidRPr="007842E1">
        <w:rPr>
          <w:rFonts w:asciiTheme="majorHAnsi" w:hAnsiTheme="majorHAnsi"/>
          <w:b/>
          <w:lang w:eastAsia="lt-LT"/>
        </w:rPr>
        <w:t>76 000,00 Eur (su PVM),</w:t>
      </w:r>
      <w:r w:rsidRPr="007842E1">
        <w:rPr>
          <w:rFonts w:asciiTheme="majorHAnsi" w:hAnsiTheme="majorHAnsi"/>
          <w:lang w:eastAsia="lt-LT"/>
        </w:rPr>
        <w:t xml:space="preserve"> šią kainą viršijantys pasiūlymai bus atmesti.</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7842E1">
        <w:rPr>
          <w:rFonts w:asciiTheme="majorHAnsi" w:hAnsiTheme="majorHAnsi"/>
          <w:sz w:val="22"/>
          <w:szCs w:val="20"/>
          <w:lang w:val="lt-LT"/>
        </w:rPr>
        <w:t>9</w:t>
      </w:r>
      <w:r w:rsidR="00667D63">
        <w:rPr>
          <w:rFonts w:asciiTheme="majorHAnsi" w:hAnsiTheme="majorHAnsi"/>
          <w:sz w:val="22"/>
          <w:szCs w:val="20"/>
          <w:lang w:val="lt-LT"/>
        </w:rPr>
        <w:t>.</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7842E1" w:rsidRPr="007842E1">
        <w:rPr>
          <w:rFonts w:asciiTheme="majorHAnsi" w:hAnsiTheme="majorHAnsi"/>
          <w:b/>
          <w:sz w:val="22"/>
          <w:szCs w:val="20"/>
          <w:lang w:val="lt-LT"/>
        </w:rPr>
        <w:t>8485264</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7842E1">
        <w:rPr>
          <w:rFonts w:asciiTheme="majorHAnsi" w:hAnsiTheme="majorHAnsi"/>
          <w:sz w:val="22"/>
          <w:szCs w:val="20"/>
          <w:lang w:val="lt-LT"/>
        </w:rPr>
        <w:t>10</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w:t>
      </w:r>
      <w:r w:rsidR="00AD53E7">
        <w:rPr>
          <w:rFonts w:asciiTheme="majorHAnsi" w:hAnsiTheme="majorHAnsi"/>
          <w:sz w:val="22"/>
          <w:szCs w:val="20"/>
          <w:lang w:val="lt-LT"/>
        </w:rPr>
        <w:t>1</w:t>
      </w:r>
      <w:r w:rsidR="007842E1">
        <w:rPr>
          <w:rFonts w:asciiTheme="majorHAnsi" w:hAnsiTheme="majorHAnsi"/>
          <w:sz w:val="22"/>
          <w:szCs w:val="20"/>
          <w:lang w:val="lt-LT"/>
        </w:rPr>
        <w:t>1</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w:t>
      </w:r>
      <w:r w:rsidRPr="003B46B6">
        <w:rPr>
          <w:rFonts w:asciiTheme="majorHAnsi" w:hAnsiTheme="majorHAnsi"/>
          <w:sz w:val="22"/>
          <w:szCs w:val="20"/>
          <w:lang w:val="lt-LT"/>
        </w:rPr>
        <w:lastRenderedPageBreak/>
        <w:t xml:space="preserve">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2.</w:t>
      </w:r>
      <w:r w:rsidR="00AD53E7">
        <w:rPr>
          <w:rFonts w:asciiTheme="majorHAnsi" w:hAnsiTheme="majorHAnsi"/>
          <w:sz w:val="22"/>
          <w:szCs w:val="22"/>
          <w:lang w:val="lt-LT"/>
        </w:rPr>
        <w:t>1</w:t>
      </w:r>
      <w:r w:rsidR="007842E1">
        <w:rPr>
          <w:rFonts w:asciiTheme="majorHAnsi" w:hAnsiTheme="majorHAnsi"/>
          <w:sz w:val="22"/>
          <w:szCs w:val="22"/>
          <w:lang w:val="lt-LT"/>
        </w:rPr>
        <w:t>2</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447BB" w:rsidRPr="00B447BB">
        <w:rPr>
          <w:rFonts w:asciiTheme="majorHAnsi" w:hAnsiTheme="majorHAnsi" w:cstheme="minorHAnsi"/>
          <w:sz w:val="22"/>
          <w:szCs w:val="22"/>
          <w:lang w:val="lt-LT"/>
        </w:rPr>
        <w:t>Lygiavertiškumo pagrindimą tiekėjas turi pateikti iki pasiūlymų pateikimo termino pabaigos.</w:t>
      </w:r>
    </w:p>
    <w:p w:rsidR="00526317" w:rsidRPr="00B447BB"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t>2.1</w:t>
      </w:r>
      <w:r w:rsidR="007842E1">
        <w:rPr>
          <w:rFonts w:ascii="Cambria" w:hAnsi="Cambria"/>
          <w:sz w:val="22"/>
          <w:szCs w:val="22"/>
          <w:lang w:val="lt-LT" w:eastAsia="ar-SA"/>
        </w:rPr>
        <w:t>3</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47BB" w:rsidRPr="00B447BB">
        <w:rPr>
          <w:rFonts w:asciiTheme="majorHAnsi" w:hAnsiTheme="majorHAnsi" w:cstheme="minorHAnsi"/>
          <w:sz w:val="22"/>
          <w:szCs w:val="22"/>
          <w:lang w:val="lt-LT"/>
        </w:rPr>
        <w:t xml:space="preserve"> Lygiavertiškumo pagrindimą tiekėjas turi pateikti iki pasiūlymų pateikimo termino pabaigos.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3" w:name="_Toc227136953"/>
      <w:bookmarkEnd w:id="10"/>
      <w:bookmarkEnd w:id="11"/>
      <w:bookmarkEnd w:id="12"/>
      <w:r w:rsidRPr="00700B84">
        <w:rPr>
          <w:rFonts w:asciiTheme="majorHAnsi" w:hAnsiTheme="majorHAnsi"/>
          <w:b/>
          <w:sz w:val="22"/>
        </w:rPr>
        <w:t>3. </w:t>
      </w:r>
      <w:bookmarkStart w:id="14"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4"/>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80E1B">
          <w:rPr>
            <w:rFonts w:asciiTheme="majorHAnsi" w:hAnsiTheme="majorHAnsi"/>
            <w:sz w:val="22"/>
            <w:szCs w:val="22"/>
            <w:u w:val="single"/>
            <w:lang w:val="lt-LT" w:eastAsia="lt-LT"/>
          </w:rPr>
          <w:t>https://ec.europa.eu/tools/ecertis/</w:t>
        </w:r>
      </w:hyperlink>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lastRenderedPageBreak/>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 xml:space="preserve">8) kitos valstybės tiekėjo atliktą nusikaltimą, apibrėžtą Direktyvos 2014/24/ES 57 straipsnio 1 </w:t>
            </w:r>
            <w:r w:rsidRPr="00525890">
              <w:rPr>
                <w:rFonts w:asciiTheme="majorHAnsi" w:hAnsiTheme="majorHAnsi"/>
                <w:bCs/>
                <w:color w:val="000000"/>
                <w:sz w:val="22"/>
                <w:szCs w:val="22"/>
                <w:lang w:val="it-IT" w:eastAsia="lt-LT"/>
              </w:rPr>
              <w:lastRenderedPageBreak/>
              <w:t>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 xml:space="preserve">Pažymų, patvirtinančių VPĮ 46 straipsnyje nurodytų tiekėjo pašalinimo pagrindų nebuvimą, pateikti nereikalaujama. Jų </w:t>
            </w:r>
            <w:r w:rsidRPr="00D02107">
              <w:rPr>
                <w:rFonts w:asciiTheme="majorHAnsi" w:hAnsiTheme="majorHAnsi"/>
                <w:b/>
                <w:sz w:val="22"/>
                <w:szCs w:val="22"/>
                <w:lang w:eastAsia="lt-LT"/>
              </w:rPr>
              <w:lastRenderedPageBreak/>
              <w:t>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w:t>
            </w:r>
            <w:r w:rsidRPr="00D02107">
              <w:rPr>
                <w:rFonts w:asciiTheme="majorHAnsi" w:hAnsiTheme="majorHAnsi"/>
                <w:color w:val="000000"/>
                <w:sz w:val="22"/>
                <w:szCs w:val="22"/>
                <w:lang w:eastAsia="lt-LT"/>
              </w:rPr>
              <w:lastRenderedPageBreak/>
              <w:t>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w:t>
            </w:r>
            <w:r w:rsidRPr="00525890">
              <w:rPr>
                <w:rFonts w:asciiTheme="majorHAnsi" w:hAnsiTheme="majorHAnsi"/>
                <w:bCs/>
                <w:color w:val="000000"/>
                <w:sz w:val="22"/>
                <w:szCs w:val="22"/>
                <w:lang w:val="it-IT"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lastRenderedPageBreak/>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lastRenderedPageBreak/>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 xml:space="preserve">Jei dokumentas išduotas anksčiau, tačiau jame nurodytas galiojimo terminas ilgesnis nei pašalinimo </w:t>
            </w:r>
            <w:r w:rsidRPr="00D02107">
              <w:rPr>
                <w:rFonts w:asciiTheme="majorHAnsi" w:hAnsiTheme="majorHAnsi"/>
                <w:iCs/>
                <w:color w:val="000000"/>
                <w:sz w:val="22"/>
                <w:szCs w:val="22"/>
                <w:lang w:eastAsia="lt-LT"/>
              </w:rPr>
              <w:lastRenderedPageBreak/>
              <w:t>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D02107">
              <w:rPr>
                <w:rFonts w:asciiTheme="majorHAnsi" w:hAnsiTheme="majorHAnsi"/>
                <w:b/>
                <w:bCs/>
                <w:color w:val="000000"/>
                <w:sz w:val="22"/>
                <w:szCs w:val="22"/>
                <w:lang w:eastAsia="lt-LT"/>
              </w:rPr>
              <w:lastRenderedPageBreak/>
              <w:t xml:space="preserve">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4D1B74"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885EC9"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885EC9"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4D1B74"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r w:rsidR="00C20189" w:rsidRPr="00C20189" w:rsidTr="00401E0B">
        <w:tc>
          <w:tcPr>
            <w:tcW w:w="846" w:type="dxa"/>
          </w:tcPr>
          <w:p w:rsidR="00C20189" w:rsidRPr="00C20189" w:rsidRDefault="00C20189" w:rsidP="00C20189">
            <w:pPr>
              <w:suppressAutoHyphens/>
              <w:ind w:right="-109"/>
              <w:jc w:val="both"/>
              <w:rPr>
                <w:rFonts w:ascii="Cambria" w:hAnsi="Cambria"/>
                <w:sz w:val="22"/>
                <w:szCs w:val="22"/>
                <w:bdr w:val="none" w:sz="0" w:space="0" w:color="auto"/>
                <w:lang w:eastAsia="lt-LT"/>
              </w:rPr>
            </w:pPr>
            <w:r w:rsidRPr="00C20189">
              <w:rPr>
                <w:rFonts w:ascii="Cambria" w:hAnsi="Cambria"/>
                <w:sz w:val="22"/>
                <w:szCs w:val="22"/>
                <w:lang w:eastAsia="lt-LT"/>
              </w:rPr>
              <w:t>3.8.13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189" w:rsidRPr="00C20189" w:rsidRDefault="00C20189" w:rsidP="00C20189">
            <w:pPr>
              <w:jc w:val="both"/>
              <w:rPr>
                <w:rFonts w:ascii="Cambria" w:hAnsi="Cambria"/>
                <w:sz w:val="22"/>
                <w:szCs w:val="22"/>
              </w:rPr>
            </w:pPr>
            <w:r w:rsidRPr="00C20189">
              <w:rPr>
                <w:rFonts w:ascii="Cambria" w:hAnsi="Cambria"/>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189" w:rsidRPr="00C20189" w:rsidRDefault="00C20189" w:rsidP="00C20189">
            <w:pPr>
              <w:rPr>
                <w:rFonts w:ascii="Cambria" w:eastAsia="Yu Mincho" w:hAnsi="Cambria"/>
                <w:b/>
                <w:bCs/>
                <w:sz w:val="22"/>
                <w:szCs w:val="22"/>
                <w:lang w:val="sv-SE"/>
              </w:rPr>
            </w:pPr>
            <w:r w:rsidRPr="00C20189">
              <w:rPr>
                <w:rFonts w:ascii="Cambria" w:eastAsia="Yu Mincho" w:hAnsi="Cambria"/>
                <w:b/>
                <w:bCs/>
                <w:sz w:val="22"/>
                <w:szCs w:val="22"/>
                <w:lang w:val="sv-SE"/>
              </w:rPr>
              <w:t>VPĮ 46 straipsnio 7 dalis</w:t>
            </w:r>
          </w:p>
          <w:p w:rsidR="00C20189" w:rsidRPr="00C20189" w:rsidRDefault="00C20189" w:rsidP="00C20189">
            <w:pPr>
              <w:rPr>
                <w:rFonts w:ascii="Cambria" w:eastAsia="Yu Mincho" w:hAnsi="Cambria"/>
                <w:b/>
                <w:bCs/>
                <w:sz w:val="22"/>
                <w:szCs w:val="22"/>
                <w:lang w:val="sv-SE"/>
              </w:rPr>
            </w:pPr>
          </w:p>
          <w:p w:rsidR="00C20189" w:rsidRPr="00C20189" w:rsidRDefault="00C20189" w:rsidP="00C20189">
            <w:pPr>
              <w:rPr>
                <w:rFonts w:ascii="Cambria" w:eastAsia="Yu Mincho" w:hAnsi="Cambria"/>
                <w:b/>
                <w:bCs/>
                <w:sz w:val="22"/>
                <w:szCs w:val="22"/>
                <w:lang w:val="sv-SE"/>
              </w:rPr>
            </w:pPr>
            <w:r w:rsidRPr="00C20189">
              <w:rPr>
                <w:rFonts w:ascii="Cambria" w:eastAsia="Yu Mincho" w:hAnsi="Cambria" w:cs="Arial"/>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189" w:rsidRPr="00C20189" w:rsidRDefault="00C20189" w:rsidP="00C20189">
            <w:pPr>
              <w:jc w:val="both"/>
              <w:rPr>
                <w:rFonts w:ascii="Cambria" w:hAnsi="Cambria"/>
                <w:sz w:val="22"/>
                <w:szCs w:val="22"/>
                <w:lang w:val="sv-SE"/>
              </w:rPr>
            </w:pPr>
            <w:r w:rsidRPr="00C20189">
              <w:rPr>
                <w:rFonts w:ascii="Cambria" w:hAnsi="Cambria"/>
                <w:sz w:val="22"/>
                <w:szCs w:val="22"/>
                <w:lang w:val="sv-SE"/>
              </w:rPr>
              <w:t>Iš Lietuvoje įsteigtų subjektų įrodančių dokumentų nereikalaujama. Užtenka pateikto EBVPD.</w:t>
            </w:r>
          </w:p>
          <w:p w:rsidR="00C20189" w:rsidRPr="00C20189" w:rsidRDefault="00C20189" w:rsidP="00C20189">
            <w:pPr>
              <w:jc w:val="both"/>
              <w:rPr>
                <w:rFonts w:ascii="Cambria" w:hAnsi="Cambria"/>
                <w:sz w:val="22"/>
                <w:szCs w:val="22"/>
                <w:lang w:val="sv-SE"/>
              </w:rPr>
            </w:pP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885EC9"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B447BB" w:rsidRPr="00CB12CA" w:rsidTr="00CB12CA">
        <w:trPr>
          <w:cantSplit/>
          <w:trHeight w:val="1419"/>
        </w:trPr>
        <w:tc>
          <w:tcPr>
            <w:tcW w:w="851" w:type="dxa"/>
          </w:tcPr>
          <w:p w:rsidR="00B447BB" w:rsidRPr="00CB12CA" w:rsidRDefault="00B447BB" w:rsidP="00B447B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B447BB" w:rsidRPr="00A54AF9" w:rsidRDefault="00B447BB" w:rsidP="00B447BB">
            <w:pPr>
              <w:widowControl w:val="0"/>
              <w:tabs>
                <w:tab w:val="left" w:pos="1418"/>
                <w:tab w:val="left" w:pos="1701"/>
              </w:tabs>
              <w:spacing w:before="60" w:after="60"/>
              <w:contextualSpacing/>
              <w:jc w:val="both"/>
              <w:rPr>
                <w:rFonts w:asciiTheme="majorHAnsi" w:hAnsiTheme="majorHAnsi"/>
                <w:color w:val="000000"/>
                <w:sz w:val="22"/>
                <w:szCs w:val="22"/>
              </w:rPr>
            </w:pPr>
            <w:r w:rsidRPr="00A54AF9">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w:t>
            </w:r>
            <w:proofErr w:type="gramStart"/>
            <w:r w:rsidRPr="00A54AF9">
              <w:rPr>
                <w:rFonts w:asciiTheme="majorHAnsi" w:hAnsiTheme="majorHAnsi"/>
                <w:sz w:val="22"/>
                <w:szCs w:val="22"/>
              </w:rPr>
              <w:t>patvirtintas  bei</w:t>
            </w:r>
            <w:proofErr w:type="gramEnd"/>
            <w:r w:rsidRPr="00A54AF9">
              <w:rPr>
                <w:rFonts w:asciiTheme="majorHAnsi" w:hAnsiTheme="majorHAnsi"/>
                <w:sz w:val="22"/>
                <w:szCs w:val="22"/>
              </w:rPr>
              <w:t xml:space="preserve"> pasirašytas raštas/deklaracija) jog nurodytas (i) specialistas (ai) yra Tiekėjo darbuotojas (ai). </w:t>
            </w:r>
          </w:p>
          <w:p w:rsidR="00B447BB" w:rsidRPr="00A54AF9" w:rsidRDefault="00B447BB" w:rsidP="00B447BB">
            <w:pPr>
              <w:widowControl w:val="0"/>
              <w:spacing w:before="60" w:after="60"/>
              <w:contextualSpacing/>
              <w:jc w:val="both"/>
              <w:rPr>
                <w:rFonts w:asciiTheme="majorHAnsi" w:hAnsiTheme="majorHAnsi"/>
                <w:sz w:val="22"/>
                <w:szCs w:val="22"/>
              </w:rPr>
            </w:pPr>
            <w:r w:rsidRPr="00A54AF9">
              <w:rPr>
                <w:rFonts w:asciiTheme="majorHAnsi" w:hAnsiTheme="majorHAnsi"/>
                <w:sz w:val="22"/>
                <w:szCs w:val="22"/>
                <w:u w:val="single"/>
              </w:rPr>
              <w:t xml:space="preserve">Pateikiamos skaitmeninės dokumentų </w:t>
            </w:r>
            <w:proofErr w:type="gramStart"/>
            <w:r w:rsidRPr="00A54AF9">
              <w:rPr>
                <w:rFonts w:asciiTheme="majorHAnsi" w:hAnsiTheme="majorHAnsi"/>
                <w:sz w:val="22"/>
                <w:szCs w:val="22"/>
                <w:u w:val="single"/>
              </w:rPr>
              <w:t>kopijos</w:t>
            </w:r>
            <w:r w:rsidRPr="00A54AF9">
              <w:rPr>
                <w:rFonts w:asciiTheme="majorHAnsi" w:hAnsiTheme="majorHAnsi"/>
                <w:sz w:val="22"/>
                <w:szCs w:val="22"/>
              </w:rPr>
              <w:t>.*</w:t>
            </w:r>
            <w:proofErr w:type="gramEnd"/>
          </w:p>
          <w:p w:rsidR="00B447BB" w:rsidRPr="00A54AF9" w:rsidRDefault="00B447BB" w:rsidP="00B447BB">
            <w:pPr>
              <w:widowControl w:val="0"/>
              <w:spacing w:before="60" w:after="60"/>
              <w:contextualSpacing/>
              <w:jc w:val="both"/>
              <w:rPr>
                <w:rFonts w:asciiTheme="majorHAnsi" w:hAnsiTheme="majorHAnsi"/>
                <w:sz w:val="22"/>
                <w:szCs w:val="22"/>
              </w:rPr>
            </w:pPr>
          </w:p>
          <w:p w:rsidR="00B447BB" w:rsidRPr="00A54AF9" w:rsidRDefault="00B447BB" w:rsidP="00B447BB">
            <w:pPr>
              <w:widowControl w:val="0"/>
              <w:spacing w:before="60" w:after="60"/>
              <w:contextualSpacing/>
              <w:jc w:val="both"/>
              <w:rPr>
                <w:rFonts w:asciiTheme="majorHAnsi" w:hAnsiTheme="majorHAnsi"/>
                <w:b/>
                <w:sz w:val="22"/>
                <w:szCs w:val="22"/>
              </w:rPr>
            </w:pPr>
            <w:r w:rsidRPr="00A54AF9">
              <w:rPr>
                <w:rFonts w:asciiTheme="majorHAnsi" w:hAnsiTheme="majorHAnsi"/>
                <w:b/>
                <w:sz w:val="22"/>
                <w:szCs w:val="22"/>
              </w:rPr>
              <w:t>Pastabos:</w:t>
            </w: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jeigu pasiūlymą teikia ūkio subjektų grupė – reikalavimą turi atitikti ūkio subjektų grupės nario (-ių) specialistai, atsižvelgiant į jų prisiimamus įsipareigojimus pirkimo sutarčiai vykdyti;</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jc w:val="both"/>
              <w:rPr>
                <w:rFonts w:asciiTheme="majorHAnsi" w:hAnsiTheme="majorHAnsi"/>
                <w:color w:val="000000"/>
                <w:sz w:val="22"/>
                <w:szCs w:val="22"/>
                <w:lang w:eastAsia="lt-LT"/>
              </w:rPr>
            </w:pPr>
            <w:r w:rsidRPr="00A54AF9">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A54AF9">
              <w:rPr>
                <w:rFonts w:asciiTheme="majorHAnsi" w:hAnsiTheme="majorHAnsi"/>
                <w:b/>
                <w:bCs/>
                <w:color w:val="000000"/>
                <w:sz w:val="22"/>
                <w:szCs w:val="22"/>
                <w:lang w:eastAsia="lt-LT"/>
              </w:rPr>
              <w:t> </w:t>
            </w:r>
            <w:r w:rsidRPr="00A54AF9">
              <w:rPr>
                <w:rFonts w:asciiTheme="majorHAnsi" w:hAnsiTheme="majorHAnsi"/>
                <w:color w:val="000000"/>
                <w:sz w:val="22"/>
                <w:szCs w:val="22"/>
                <w:lang w:eastAsia="lt-LT"/>
              </w:rPr>
              <w:t>reikalavimus, jeigu subtiekėjai (jų darbuotojai) patys vykdys tą pirkimo sutarties dalį, kuriai reikia nustatytos kvalifikacijos;</w:t>
            </w:r>
          </w:p>
          <w:p w:rsidR="00B447BB" w:rsidRPr="00A54AF9" w:rsidRDefault="00B447BB" w:rsidP="00B447BB">
            <w:pPr>
              <w:jc w:val="both"/>
              <w:rPr>
                <w:rFonts w:asciiTheme="majorHAnsi" w:hAnsiTheme="majorHAnsi"/>
                <w:color w:val="000000"/>
                <w:sz w:val="22"/>
                <w:szCs w:val="22"/>
                <w:lang w:eastAsia="lt-LT"/>
              </w:rPr>
            </w:pPr>
          </w:p>
          <w:p w:rsidR="00B447BB" w:rsidRPr="00A54AF9" w:rsidRDefault="00B447BB" w:rsidP="00B447BB">
            <w:pPr>
              <w:widowControl w:val="0"/>
              <w:spacing w:before="60" w:after="60"/>
              <w:contextualSpacing/>
              <w:jc w:val="both"/>
              <w:rPr>
                <w:rFonts w:asciiTheme="majorHAnsi" w:hAnsiTheme="majorHAnsi"/>
                <w:i/>
                <w:sz w:val="22"/>
                <w:szCs w:val="22"/>
              </w:rPr>
            </w:pPr>
            <w:r w:rsidRPr="00A54AF9">
              <w:rPr>
                <w:rFonts w:asciiTheme="majorHAnsi" w:hAnsiTheme="majorHAnsi"/>
                <w:color w:val="000000"/>
                <w:sz w:val="22"/>
                <w:szCs w:val="22"/>
                <w:lang w:eastAsia="lt-LT"/>
              </w:rPr>
              <w:t xml:space="preserve">· </w:t>
            </w:r>
            <w:r w:rsidRPr="00A54AF9">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B447BB" w:rsidRPr="00A54AF9" w:rsidRDefault="00B447BB" w:rsidP="00B447BB">
      <w:pPr>
        <w:suppressAutoHyphens/>
        <w:ind w:firstLine="567"/>
        <w:jc w:val="both"/>
        <w:rPr>
          <w:rFonts w:asciiTheme="majorHAnsi" w:hAnsiTheme="majorHAnsi"/>
          <w:b/>
          <w:i/>
          <w:color w:val="FF0000"/>
          <w:sz w:val="22"/>
          <w:szCs w:val="22"/>
          <w:lang w:eastAsia="lt-LT"/>
        </w:rPr>
      </w:pPr>
      <w:r w:rsidRPr="00A54AF9">
        <w:rPr>
          <w:rFonts w:asciiTheme="majorHAnsi" w:hAnsiTheme="majorHAnsi"/>
          <w:b/>
          <w:i/>
          <w:color w:val="FF0000"/>
          <w:sz w:val="22"/>
          <w:szCs w:val="22"/>
          <w:lang w:eastAsia="lt-LT"/>
        </w:rPr>
        <w:t xml:space="preserve">Pastaba* Kvalifikacinių reikalavimų dokumentus bus prašoma pateikti galimo laimėtojo, tačiau kvalifikacija turi būti įgyta iki galutinio pasiūlymų pateikimo termino. </w:t>
      </w:r>
    </w:p>
    <w:p w:rsidR="002F3AA5" w:rsidRPr="00B447BB" w:rsidRDefault="002F3AA5" w:rsidP="000D1449">
      <w:pPr>
        <w:suppressAutoHyphens/>
        <w:ind w:firstLine="567"/>
        <w:jc w:val="both"/>
        <w:rPr>
          <w:rFonts w:asciiTheme="majorHAnsi" w:hAnsiTheme="majorHAnsi"/>
          <w:color w:val="000000"/>
          <w:sz w:val="22"/>
          <w:szCs w:val="22"/>
          <w:lang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Default="000D1449" w:rsidP="000D1449">
      <w:pPr>
        <w:suppressAutoHyphens/>
        <w:ind w:firstLine="567"/>
        <w:jc w:val="both"/>
        <w:rPr>
          <w:rFonts w:asciiTheme="majorHAnsi" w:hAnsiTheme="majorHAnsi"/>
          <w:color w:val="000000"/>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 xml:space="preserve">pildo </w:t>
      </w:r>
      <w:r w:rsidRPr="00700B84">
        <w:rPr>
          <w:rFonts w:asciiTheme="majorHAnsi" w:hAnsiTheme="majorHAnsi"/>
          <w:color w:val="000000"/>
          <w:sz w:val="22"/>
          <w:szCs w:val="22"/>
          <w:u w:val="single"/>
          <w:lang w:val="lt-LT" w:eastAsia="lt-LT"/>
        </w:rPr>
        <w:t xml:space="preserve">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B447BB" w:rsidRPr="00A54AF9" w:rsidRDefault="00B447BB" w:rsidP="00B447BB">
      <w:pPr>
        <w:pStyle w:val="Body2"/>
        <w:spacing w:after="0"/>
        <w:ind w:firstLine="567"/>
        <w:rPr>
          <w:rFonts w:asciiTheme="majorHAnsi" w:hAnsiTheme="majorHAnsi" w:cs="Times New Roman"/>
          <w:b/>
          <w:color w:val="FF0000"/>
          <w:highlight w:val="yellow"/>
          <w:lang w:val="it-IT"/>
        </w:rPr>
      </w:pPr>
      <w:r w:rsidRPr="00A54AF9">
        <w:rPr>
          <w:rFonts w:asciiTheme="majorHAnsi" w:hAnsiTheme="majorHAnsi" w:cs="Times New Roman"/>
          <w:b/>
          <w:iCs/>
          <w:color w:val="FF0000"/>
          <w:highlight w:val="yellow"/>
          <w:lang w:val="it-IT"/>
        </w:rPr>
        <w:t>3.14</w:t>
      </w:r>
      <w:r w:rsidRPr="00A54AF9">
        <w:rPr>
          <w:rFonts w:asciiTheme="majorHAnsi" w:hAnsiTheme="majorHAnsi" w:cs="Times New Roman"/>
          <w:b/>
          <w:i/>
          <w:iCs/>
          <w:color w:val="FF0000"/>
          <w:highlight w:val="yellow"/>
          <w:lang w:val="it-IT"/>
        </w:rPr>
        <w:t>.</w:t>
      </w:r>
      <w:r w:rsidRPr="00A54AF9">
        <w:rPr>
          <w:rFonts w:asciiTheme="majorHAnsi" w:hAnsiTheme="majorHAnsi" w:cs="Times New Roman"/>
          <w:b/>
          <w:color w:val="FF0000"/>
          <w:highlight w:val="yellow"/>
          <w:lang w:val="it-IT"/>
        </w:rPr>
        <w:t xml:space="preserve"> Reikalavimai, susiję su nacionaliniu saugumu:</w:t>
      </w:r>
    </w:p>
    <w:p w:rsidR="00B447BB" w:rsidRPr="00A54AF9" w:rsidRDefault="00B447BB" w:rsidP="00B447BB">
      <w:pPr>
        <w:pStyle w:val="ListParagraph"/>
        <w:ind w:left="0" w:firstLine="567"/>
        <w:jc w:val="both"/>
        <w:rPr>
          <w:rFonts w:asciiTheme="majorHAnsi" w:hAnsiTheme="majorHAnsi"/>
          <w:highlight w:val="yellow"/>
        </w:rPr>
      </w:pPr>
      <w:r w:rsidRPr="00A54AF9">
        <w:rPr>
          <w:rFonts w:asciiTheme="majorHAnsi" w:hAnsiTheme="majorHAnsi"/>
          <w:highlight w:val="yellow"/>
        </w:rPr>
        <w:t>3.14.</w:t>
      </w:r>
      <w:r>
        <w:rPr>
          <w:rFonts w:asciiTheme="majorHAnsi" w:hAnsiTheme="majorHAnsi"/>
          <w:highlight w:val="yellow"/>
        </w:rPr>
        <w:t>1</w:t>
      </w:r>
      <w:r w:rsidRPr="00A54AF9">
        <w:rPr>
          <w:rFonts w:asciiTheme="majorHAnsi" w:hAnsiTheme="majorHAnsi"/>
          <w:highlight w:val="yellow"/>
        </w:rPr>
        <w:t xml:space="preserve">. Perkančioji organizacija laiko, kad </w:t>
      </w:r>
      <w:r w:rsidRPr="00A54AF9">
        <w:rPr>
          <w:rFonts w:asciiTheme="majorHAnsi" w:hAnsiTheme="majorHAnsi"/>
          <w:highlight w:val="yellow"/>
          <w:shd w:val="clear" w:color="auto" w:fill="FFFFFF"/>
        </w:rPr>
        <w:t>pirkimo objektas kelia grėsmę nacionaliniam saugumui</w:t>
      </w:r>
      <w:r w:rsidRPr="00A54AF9">
        <w:rPr>
          <w:rFonts w:asciiTheme="majorHAnsi" w:hAnsiTheme="majorHAnsi"/>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w:t>
      </w:r>
      <w:r w:rsidRPr="007842E1">
        <w:rPr>
          <w:rFonts w:asciiTheme="majorHAnsi" w:hAnsiTheme="majorHAnsi"/>
          <w:highlight w:val="yellow"/>
        </w:rPr>
        <w:t xml:space="preserve">numatytą dokumentą. Perkančioji organizacija bet kuriuo pirkimo procedūros metu turi teisę pareikalauti dalyvių pateikti visus ar dalį dokumentų, nurodytų VPĮ 39 straipsnio 3 dalyje. </w:t>
      </w:r>
      <w:r w:rsidRPr="007842E1">
        <w:rPr>
          <w:rFonts w:asciiTheme="majorHAnsi" w:hAnsiTheme="majorHAnsi"/>
          <w:b/>
          <w:color w:val="FF0000"/>
          <w:highlight w:val="yellow"/>
        </w:rPr>
        <w:t xml:space="preserve">(taikoma </w:t>
      </w:r>
      <w:r w:rsidR="007842E1" w:rsidRPr="007842E1">
        <w:rPr>
          <w:rFonts w:asciiTheme="majorHAnsi" w:hAnsiTheme="majorHAnsi"/>
          <w:b/>
          <w:color w:val="FF0000"/>
          <w:highlight w:val="yellow"/>
        </w:rPr>
        <w:t>nepertraukiamo maitinimo šaltiniui</w:t>
      </w:r>
      <w:r w:rsidRPr="007842E1">
        <w:rPr>
          <w:rFonts w:asciiTheme="majorHAnsi" w:hAnsiTheme="majorHAnsi"/>
          <w:b/>
          <w:color w:val="FF0000"/>
          <w:highlight w:val="yellow"/>
        </w:rPr>
        <w:t>)</w:t>
      </w:r>
      <w:r w:rsidRPr="007842E1">
        <w:rPr>
          <w:rFonts w:asciiTheme="majorHAnsi" w:hAnsiTheme="majorHAnsi"/>
          <w:color w:val="FF0000"/>
          <w:highlight w:val="yellow"/>
        </w:rPr>
        <w:t xml:space="preserve"> </w:t>
      </w:r>
    </w:p>
    <w:p w:rsidR="00B447BB" w:rsidRPr="00A54AF9" w:rsidRDefault="00B447BB" w:rsidP="00B447BB">
      <w:pPr>
        <w:pStyle w:val="ListParagraph"/>
        <w:spacing w:after="0"/>
        <w:ind w:left="0" w:firstLine="567"/>
        <w:jc w:val="both"/>
        <w:rPr>
          <w:rFonts w:asciiTheme="majorHAnsi" w:hAnsiTheme="majorHAnsi"/>
          <w:highlight w:val="yellow"/>
        </w:rPr>
      </w:pPr>
      <w:r w:rsidRPr="00A54AF9">
        <w:rPr>
          <w:rFonts w:asciiTheme="majorHAnsi" w:hAnsiTheme="majorHAnsi"/>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B447BB" w:rsidRDefault="00B447BB" w:rsidP="00B447BB">
      <w:pPr>
        <w:ind w:firstLine="567"/>
        <w:jc w:val="both"/>
        <w:rPr>
          <w:rFonts w:asciiTheme="majorHAnsi" w:hAnsiTheme="majorHAnsi"/>
          <w:i/>
          <w:iCs/>
          <w:sz w:val="22"/>
          <w:szCs w:val="22"/>
          <w:highlight w:val="yellow"/>
          <w:lang w:val="lt-LT"/>
        </w:rPr>
      </w:pPr>
      <w:r w:rsidRPr="00B447BB">
        <w:rPr>
          <w:rFonts w:asciiTheme="majorHAnsi" w:hAnsiTheme="majorHAnsi"/>
          <w:i/>
          <w:iCs/>
          <w:sz w:val="22"/>
          <w:szCs w:val="22"/>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3.14.</w:t>
      </w:r>
      <w:r>
        <w:rPr>
          <w:rFonts w:asciiTheme="majorHAnsi" w:hAnsiTheme="majorHAnsi"/>
          <w:color w:val="auto"/>
          <w:highlight w:val="yellow"/>
          <w:lang w:val="lt-LT"/>
        </w:rPr>
        <w:t>2</w:t>
      </w:r>
      <w:r w:rsidRPr="00A54AF9">
        <w:rPr>
          <w:rFonts w:asciiTheme="majorHAnsi" w:hAnsiTheme="majorHAnsi"/>
          <w:color w:val="auto"/>
          <w:highlight w:val="yellow"/>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B447BB" w:rsidRPr="00A54AF9" w:rsidRDefault="00B447BB" w:rsidP="00B447BB">
      <w:pPr>
        <w:pStyle w:val="Body2"/>
        <w:ind w:firstLine="567"/>
        <w:rPr>
          <w:rFonts w:asciiTheme="majorHAnsi" w:hAnsiTheme="majorHAnsi"/>
          <w:color w:val="auto"/>
          <w:highlight w:val="yellow"/>
          <w:lang w:val="lt-LT"/>
        </w:rPr>
      </w:pPr>
      <w:r w:rsidRPr="00A54AF9">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B447BB" w:rsidRPr="00A54AF9" w:rsidRDefault="00B447BB" w:rsidP="00B447BB">
      <w:pPr>
        <w:pStyle w:val="Body2"/>
        <w:ind w:firstLine="567"/>
        <w:rPr>
          <w:rFonts w:asciiTheme="majorHAnsi" w:hAnsiTheme="majorHAnsi"/>
          <w:i/>
          <w:color w:val="auto"/>
          <w:highlight w:val="yellow"/>
          <w:lang w:val="lt-LT"/>
        </w:rPr>
      </w:pPr>
      <w:r w:rsidRPr="00A54AF9">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447BB" w:rsidRPr="00A54AF9" w:rsidRDefault="00B447BB" w:rsidP="00B447BB">
      <w:pPr>
        <w:pStyle w:val="Body2"/>
        <w:spacing w:after="0"/>
        <w:ind w:firstLine="709"/>
        <w:rPr>
          <w:rFonts w:asciiTheme="majorHAnsi" w:hAnsiTheme="majorHAnsi" w:cs="Times New Roman"/>
          <w:color w:val="auto"/>
          <w:u w:val="single"/>
          <w:lang w:val="lt-LT"/>
        </w:rPr>
      </w:pPr>
      <w:r w:rsidRPr="00A54AF9">
        <w:rPr>
          <w:rFonts w:asciiTheme="majorHAnsi" w:hAnsiTheme="majorHAnsi" w:cs="Times New Roman"/>
          <w:color w:val="auto"/>
          <w:highlight w:val="yellow"/>
          <w:u w:val="single"/>
          <w:lang w:val="lt-LT"/>
        </w:rPr>
        <w:t>3.14.</w:t>
      </w:r>
      <w:r>
        <w:rPr>
          <w:rFonts w:asciiTheme="majorHAnsi" w:hAnsiTheme="majorHAnsi" w:cs="Times New Roman"/>
          <w:color w:val="auto"/>
          <w:highlight w:val="yellow"/>
          <w:u w:val="single"/>
          <w:lang w:val="lt-LT"/>
        </w:rPr>
        <w:t>3</w:t>
      </w:r>
      <w:r w:rsidRPr="00A54AF9">
        <w:rPr>
          <w:rFonts w:asciiTheme="majorHAnsi" w:hAnsiTheme="majorHAnsi" w:cs="Times New Roman"/>
          <w:color w:val="auto"/>
          <w:highlight w:val="yellow"/>
          <w:u w:val="single"/>
          <w:lang w:val="lt-LT"/>
        </w:rPr>
        <w:t xml:space="preserve">.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B447BB" w:rsidRPr="00700B84" w:rsidRDefault="00B447BB" w:rsidP="000D1449">
      <w:pPr>
        <w:suppressAutoHyphens/>
        <w:ind w:firstLine="567"/>
        <w:jc w:val="both"/>
        <w:rPr>
          <w:rFonts w:asciiTheme="majorHAnsi" w:hAnsiTheme="majorHAnsi"/>
          <w:sz w:val="22"/>
          <w:szCs w:val="22"/>
          <w:u w:val="single"/>
          <w:lang w:val="lt-LT" w:eastAsia="lt-LT"/>
        </w:rPr>
      </w:pPr>
    </w:p>
    <w:p w:rsidR="00F21F06" w:rsidRDefault="00F21F06" w:rsidP="00F21F06">
      <w:pPr>
        <w:rPr>
          <w:rFonts w:asciiTheme="majorHAnsi" w:hAnsiTheme="majorHAnsi"/>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w:t>
      </w:r>
      <w:r w:rsidRPr="00525890">
        <w:rPr>
          <w:rFonts w:asciiTheme="majorHAnsi" w:hAnsiTheme="majorHAnsi" w:cs="Times New Roman"/>
          <w:lang w:val="it-IT"/>
        </w:rPr>
        <w:lastRenderedPageBreak/>
        <w:t xml:space="preserve">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7842E1">
        <w:rPr>
          <w:rFonts w:asciiTheme="majorHAnsi" w:hAnsiTheme="majorHAnsi" w:cs="Times New Roman"/>
          <w:b/>
          <w:iCs/>
          <w:color w:val="548DD4" w:themeColor="text2" w:themeTint="99"/>
          <w:lang w:val="it-IT"/>
        </w:rPr>
        <w:t>liepos</w:t>
      </w:r>
      <w:r w:rsidR="002F3AA5" w:rsidRPr="00525890">
        <w:rPr>
          <w:rFonts w:asciiTheme="majorHAnsi" w:hAnsiTheme="majorHAnsi" w:cs="Times New Roman"/>
          <w:b/>
          <w:iCs/>
          <w:color w:val="548DD4" w:themeColor="text2" w:themeTint="99"/>
          <w:lang w:val="it-IT"/>
        </w:rPr>
        <w:t xml:space="preserve"> </w:t>
      </w:r>
      <w:r w:rsidR="008A44B7">
        <w:rPr>
          <w:rFonts w:asciiTheme="majorHAnsi" w:hAnsiTheme="majorHAnsi" w:cs="Times New Roman"/>
          <w:b/>
          <w:iCs/>
          <w:color w:val="548DD4" w:themeColor="text2" w:themeTint="99"/>
          <w:lang w:val="it-IT"/>
        </w:rPr>
        <w:t>21</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Default="007C7568" w:rsidP="00AD53E7">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3554D3" w:rsidRPr="00525890" w:rsidRDefault="003554D3" w:rsidP="00AD53E7">
      <w:pPr>
        <w:pStyle w:val="Body2"/>
        <w:rPr>
          <w:rFonts w:asciiTheme="majorHAnsi" w:hAnsiTheme="majorHAnsi" w:cs="Times New Roman"/>
          <w:color w:val="auto"/>
          <w:lang w:val="lt-LT"/>
        </w:rPr>
      </w:pPr>
      <w:r>
        <w:rPr>
          <w:rFonts w:asciiTheme="majorHAnsi" w:hAnsiTheme="majorHAnsi" w:cs="Times New Roman"/>
          <w:lang w:val="lt-LT"/>
        </w:rPr>
        <w:t xml:space="preserve">                           </w:t>
      </w:r>
      <w:r w:rsidRPr="00525890">
        <w:rPr>
          <w:rFonts w:asciiTheme="majorHAnsi" w:hAnsiTheme="majorHAnsi" w:cs="Times New Roman"/>
          <w:lang w:val="lt-LT"/>
        </w:rPr>
        <w:t>5.1</w:t>
      </w:r>
      <w:r>
        <w:rPr>
          <w:rFonts w:asciiTheme="majorHAnsi" w:hAnsiTheme="majorHAnsi" w:cs="Times New Roman"/>
          <w:lang w:val="lt-LT"/>
        </w:rPr>
        <w:t>0</w:t>
      </w:r>
      <w:r w:rsidRPr="00525890">
        <w:rPr>
          <w:rFonts w:asciiTheme="majorHAnsi" w:hAnsiTheme="majorHAnsi" w:cs="Times New Roman"/>
          <w:lang w:val="lt-LT"/>
        </w:rPr>
        <w:t>.6.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lastRenderedPageBreak/>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 xml:space="preserve">ūlymą. Iškilus CVP IS techninėms problemoms, kai </w:t>
      </w:r>
      <w:r w:rsidRPr="00700B84">
        <w:rPr>
          <w:rFonts w:asciiTheme="majorHAnsi" w:hAnsiTheme="majorHAnsi" w:cs="Times New Roman"/>
          <w:lang w:val="pt-PT"/>
        </w:rPr>
        <w:lastRenderedPageBreak/>
        <w:t>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A52C9A">
        <w:rPr>
          <w:rFonts w:asciiTheme="majorHAnsi" w:hAnsiTheme="majorHAnsi"/>
          <w:b/>
          <w:iCs/>
          <w:color w:val="548DD4" w:themeColor="text2" w:themeTint="99"/>
          <w:sz w:val="22"/>
          <w:szCs w:val="22"/>
        </w:rPr>
        <w:lastRenderedPageBreak/>
        <w:t>liepos</w:t>
      </w:r>
      <w:r w:rsidR="006C6C9B" w:rsidRPr="00700B84">
        <w:rPr>
          <w:rFonts w:asciiTheme="majorHAnsi" w:hAnsiTheme="majorHAnsi"/>
          <w:b/>
          <w:iCs/>
          <w:color w:val="548DD4" w:themeColor="text2" w:themeTint="99"/>
          <w:sz w:val="22"/>
          <w:szCs w:val="22"/>
        </w:rPr>
        <w:t xml:space="preserve"> </w:t>
      </w:r>
      <w:r w:rsidR="008A44B7">
        <w:rPr>
          <w:rFonts w:asciiTheme="majorHAnsi" w:hAnsiTheme="majorHAnsi"/>
          <w:b/>
          <w:iCs/>
          <w:color w:val="548DD4" w:themeColor="text2" w:themeTint="99"/>
          <w:sz w:val="22"/>
          <w:szCs w:val="22"/>
        </w:rPr>
        <w:t>21</w:t>
      </w:r>
      <w:r w:rsidR="00B447BB">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A52C9A">
        <w:rPr>
          <w:rFonts w:asciiTheme="majorHAnsi" w:hAnsiTheme="majorHAnsi"/>
          <w:b/>
          <w:iCs/>
          <w:color w:val="548DD4" w:themeColor="text2" w:themeTint="99"/>
          <w:sz w:val="22"/>
          <w:szCs w:val="22"/>
          <w:u w:val="single"/>
        </w:rPr>
        <w:t>liepos</w:t>
      </w:r>
      <w:r w:rsidR="00EA73EC">
        <w:rPr>
          <w:rFonts w:asciiTheme="majorHAnsi" w:hAnsiTheme="majorHAnsi"/>
          <w:b/>
          <w:iCs/>
          <w:color w:val="548DD4" w:themeColor="text2" w:themeTint="99"/>
          <w:sz w:val="22"/>
          <w:szCs w:val="22"/>
          <w:u w:val="single"/>
        </w:rPr>
        <w:t xml:space="preserve"> </w:t>
      </w:r>
      <w:r w:rsidR="008A44B7">
        <w:rPr>
          <w:rFonts w:asciiTheme="majorHAnsi" w:hAnsiTheme="majorHAnsi"/>
          <w:b/>
          <w:iCs/>
          <w:color w:val="548DD4" w:themeColor="text2" w:themeTint="99"/>
          <w:sz w:val="22"/>
          <w:szCs w:val="22"/>
          <w:u w:val="single"/>
        </w:rPr>
        <w:t>21</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B347C5" w:rsidRPr="00700B84" w:rsidRDefault="00B347C5" w:rsidP="00284B38">
      <w:pPr>
        <w:pStyle w:val="Body2"/>
        <w:rPr>
          <w:rFonts w:asciiTheme="majorHAnsi" w:hAnsiTheme="majorHAnsi"/>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A52C9A" w:rsidRPr="00A52C9A">
        <w:rPr>
          <w:rFonts w:asciiTheme="majorHAnsi" w:hAnsiTheme="majorHAnsi" w:cs="Times New Roman"/>
          <w:color w:val="auto"/>
          <w:lang w:val="es-ES_tradnl"/>
        </w:rPr>
        <w:t>ar pasiūlyta kaina neviršija pirkimui skirtų lėšų, nustatytų perkančiosios organizacijos prieš pradedant pirkimo procedūrą.</w:t>
      </w:r>
      <w:r w:rsidR="00A52C9A" w:rsidRPr="00A52C9A">
        <w:rPr>
          <w:rFonts w:asciiTheme="majorHAnsi" w:hAnsiTheme="majorHAnsi" w:cs="Times New Roman"/>
          <w:b/>
          <w:color w:val="auto"/>
          <w:lang w:val="es-ES_tradnl"/>
        </w:rPr>
        <w:t xml:space="preserve"> Didžiausią priimtiną pasiūlymo kainą, nurodytą bendrųjų sąlygų 14.2 punkte, viršijantys pasiūlymai bus atmesti, vadovaujantis bendųjų sąlygų 13.1.</w:t>
      </w:r>
      <w:r w:rsidR="00A52C9A">
        <w:rPr>
          <w:rFonts w:asciiTheme="majorHAnsi" w:hAnsiTheme="majorHAnsi" w:cs="Times New Roman"/>
          <w:b/>
          <w:color w:val="auto"/>
          <w:lang w:val="es-ES_tradnl"/>
        </w:rPr>
        <w:t>5</w:t>
      </w:r>
      <w:r w:rsidR="00A52C9A" w:rsidRPr="00A52C9A">
        <w:rPr>
          <w:rFonts w:asciiTheme="majorHAnsi" w:hAnsiTheme="majorHAnsi" w:cs="Times New Roman"/>
          <w:b/>
          <w:color w:val="auto"/>
          <w:lang w:val="es-ES_tradnl"/>
        </w:rPr>
        <w:t>. punktu.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B347C5"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w:t>
      </w:r>
      <w:r w:rsidR="00B447BB">
        <w:rPr>
          <w:rFonts w:asciiTheme="majorHAnsi" w:hAnsiTheme="majorHAnsi" w:cs="Times New Roman"/>
          <w:lang w:val="lt-LT"/>
        </w:rPr>
        <w:t xml:space="preserve">, ar galimas laimėtojas </w:t>
      </w:r>
      <w:r w:rsidR="00B447BB" w:rsidRPr="005B70D7">
        <w:rPr>
          <w:rFonts w:asciiTheme="majorHAnsi" w:hAnsiTheme="majorHAnsi" w:cs="Times New Roman"/>
          <w:lang w:val="lt-LT"/>
        </w:rPr>
        <w:t xml:space="preserve">atitinka </w:t>
      </w:r>
      <w:r w:rsidR="00A52C9A" w:rsidRPr="005B70D7">
        <w:rPr>
          <w:rFonts w:asciiTheme="majorHAnsi" w:hAnsiTheme="majorHAnsi" w:cs="Times New Roman"/>
          <w:lang w:val="lt-LT"/>
        </w:rPr>
        <w:t>pirkimo sąlygų 3.</w:t>
      </w:r>
      <w:r w:rsidR="00A52C9A">
        <w:rPr>
          <w:rFonts w:asciiTheme="majorHAnsi" w:hAnsiTheme="majorHAnsi" w:cs="Times New Roman"/>
          <w:lang w:val="lt-LT"/>
        </w:rPr>
        <w:t>14</w:t>
      </w:r>
      <w:r w:rsidR="00A52C9A" w:rsidRPr="005B70D7">
        <w:rPr>
          <w:rFonts w:asciiTheme="majorHAnsi" w:hAnsiTheme="majorHAnsi" w:cs="Times New Roman"/>
          <w:lang w:val="lt-LT"/>
        </w:rPr>
        <w:t xml:space="preserve"> punkt</w:t>
      </w:r>
      <w:r w:rsidR="00A52C9A">
        <w:rPr>
          <w:rFonts w:asciiTheme="majorHAnsi" w:hAnsiTheme="majorHAnsi" w:cs="Times New Roman"/>
          <w:lang w:val="lt-LT"/>
        </w:rPr>
        <w:t>uose</w:t>
      </w:r>
      <w:r w:rsidR="00A52C9A" w:rsidRPr="005B70D7">
        <w:rPr>
          <w:rFonts w:asciiTheme="majorHAnsi" w:hAnsiTheme="majorHAnsi" w:cs="Times New Roman"/>
          <w:lang w:val="lt-LT"/>
        </w:rPr>
        <w:t xml:space="preserve"> </w:t>
      </w:r>
      <w:r w:rsidR="00B447BB" w:rsidRPr="005B70D7">
        <w:rPr>
          <w:rFonts w:asciiTheme="majorHAnsi" w:hAnsiTheme="majorHAnsi" w:cs="Times New Roman"/>
          <w:lang w:val="lt-LT"/>
        </w:rPr>
        <w:t>nurodytus</w:t>
      </w:r>
      <w:r w:rsidR="00B447BB">
        <w:rPr>
          <w:rFonts w:asciiTheme="majorHAnsi" w:hAnsiTheme="majorHAnsi" w:cs="Times New Roman"/>
          <w:lang w:val="lt-LT"/>
        </w:rPr>
        <w:t xml:space="preserve"> nacionalinio saugumo reikalavimus </w:t>
      </w:r>
      <w:r w:rsidR="00B447BB" w:rsidRPr="005B70D7">
        <w:rPr>
          <w:rFonts w:asciiTheme="majorHAnsi" w:hAnsiTheme="majorHAnsi" w:cs="Times New Roman"/>
          <w:lang w:val="lt-LT"/>
        </w:rPr>
        <w:t xml:space="preserve"> (jeigu taikytina</w:t>
      </w:r>
      <w:r w:rsidR="00B447BB">
        <w:rPr>
          <w:rFonts w:asciiTheme="majorHAnsi" w:hAnsiTheme="majorHAnsi" w:cs="Times New Roman"/>
          <w:lang w:val="lt-LT"/>
        </w:rPr>
        <w:t>)</w:t>
      </w:r>
      <w:r w:rsidR="00B347C5" w:rsidRPr="005B70D7">
        <w:rPr>
          <w:rFonts w:asciiTheme="majorHAnsi" w:hAnsiTheme="majorHAnsi" w:cs="Times New Roman"/>
          <w:lang w:val="lt-LT"/>
        </w:rPr>
        <w:t xml:space="preserve"> ir, reikalaujamus kokybės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 xml:space="preserve">ėjas neatitinka pirkimo sąlygų 3.9 punkte nustatytų minimalių kvalifikacijos reikalavimų (jeigu taikytina), </w:t>
      </w:r>
      <w:r w:rsidR="009D2BE8" w:rsidRPr="00525890">
        <w:rPr>
          <w:rFonts w:asciiTheme="majorHAnsi" w:hAnsiTheme="majorHAnsi"/>
          <w:bdr w:val="none" w:sz="0" w:space="0" w:color="auto" w:frame="1"/>
          <w:lang w:val="lt-LT"/>
        </w:rPr>
        <w:t>neatitinka pirkimo sąlygų 3.</w:t>
      </w:r>
      <w:r w:rsidR="009D2BE8">
        <w:rPr>
          <w:rFonts w:asciiTheme="majorHAnsi" w:hAnsiTheme="majorHAnsi"/>
          <w:bdr w:val="none" w:sz="0" w:space="0" w:color="auto" w:frame="1"/>
          <w:lang w:val="lt-LT"/>
        </w:rPr>
        <w:t>14</w:t>
      </w:r>
      <w:r w:rsidR="009D2BE8" w:rsidRPr="00525890">
        <w:rPr>
          <w:rFonts w:asciiTheme="majorHAnsi" w:hAnsiTheme="majorHAnsi"/>
          <w:bdr w:val="none" w:sz="0" w:space="0" w:color="auto" w:frame="1"/>
          <w:lang w:val="lt-LT"/>
        </w:rPr>
        <w:t xml:space="preserve"> punkt</w:t>
      </w:r>
      <w:r w:rsidR="009D2BE8">
        <w:rPr>
          <w:rFonts w:asciiTheme="majorHAnsi" w:hAnsiTheme="majorHAnsi"/>
          <w:bdr w:val="none" w:sz="0" w:space="0" w:color="auto" w:frame="1"/>
          <w:lang w:val="lt-LT"/>
        </w:rPr>
        <w:t>uose</w:t>
      </w:r>
      <w:r w:rsidR="009D2BE8" w:rsidRPr="00525890">
        <w:rPr>
          <w:rFonts w:asciiTheme="majorHAnsi" w:hAnsiTheme="majorHAnsi"/>
          <w:bdr w:val="none" w:sz="0" w:space="0" w:color="auto" w:frame="1"/>
          <w:lang w:val="lt-LT"/>
        </w:rPr>
        <w:t xml:space="preserve"> nustatytų </w:t>
      </w:r>
      <w:r w:rsidR="009D2BE8">
        <w:rPr>
          <w:rFonts w:asciiTheme="majorHAnsi" w:hAnsiTheme="majorHAnsi"/>
          <w:bdr w:val="none" w:sz="0" w:space="0" w:color="auto" w:frame="1"/>
          <w:lang w:val="lt-LT"/>
        </w:rPr>
        <w:t>nacionalinio saugumo</w:t>
      </w:r>
      <w:r w:rsidR="009D2BE8" w:rsidRPr="00525890">
        <w:rPr>
          <w:rFonts w:asciiTheme="majorHAnsi" w:hAnsiTheme="majorHAnsi"/>
          <w:bdr w:val="none" w:sz="0" w:space="0" w:color="auto" w:frame="1"/>
          <w:lang w:val="lt-LT"/>
        </w:rPr>
        <w:t xml:space="preserve"> reikalavimų (jeigu taikytina</w:t>
      </w:r>
      <w:r w:rsidR="009D2BE8">
        <w:rPr>
          <w:rFonts w:asciiTheme="majorHAnsi" w:hAnsiTheme="majorHAnsi"/>
          <w:bdr w:val="none" w:sz="0" w:space="0" w:color="auto" w:frame="1"/>
          <w:lang w:val="lt-LT"/>
        </w:rPr>
        <w:t>)</w:t>
      </w:r>
      <w:r w:rsidR="009D2BE8" w:rsidRPr="00525890">
        <w:rPr>
          <w:rFonts w:asciiTheme="majorHAnsi" w:hAnsiTheme="majorHAnsi"/>
          <w:bdr w:val="none" w:sz="0" w:space="0" w:color="auto" w:frame="1"/>
          <w:lang w:val="lt-LT"/>
        </w:rPr>
        <w:t xml:space="preserve"> </w:t>
      </w:r>
      <w:r w:rsidR="00F562E4" w:rsidRPr="00525890">
        <w:rPr>
          <w:rFonts w:asciiTheme="majorHAnsi" w:hAnsiTheme="majorHAnsi"/>
          <w:bdr w:val="none" w:sz="0" w:space="0" w:color="auto" w:frame="1"/>
          <w:lang w:val="lt-LT"/>
        </w:rPr>
        <w:t xml:space="preserve">ir </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jeigu taikytina</w:t>
      </w:r>
      <w:r w:rsidR="009D2BE8">
        <w:rPr>
          <w:rFonts w:asciiTheme="majorHAnsi" w:hAnsiTheme="majorHAnsi"/>
          <w:bdr w:val="none" w:sz="0" w:space="0" w:color="auto" w:frame="1"/>
          <w:lang w:val="lt-LT"/>
        </w:rPr>
        <w:t>)</w:t>
      </w:r>
      <w:r w:rsidR="00F562E4" w:rsidRPr="00525890">
        <w:rPr>
          <w:rFonts w:asciiTheme="majorHAnsi" w:hAnsiTheme="majorHAnsi"/>
          <w:bdr w:val="none" w:sz="0" w:space="0" w:color="auto" w:frame="1"/>
          <w:lang w:val="lt-LT"/>
        </w:rPr>
        <w:t xml:space="preserve">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4</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B347C5">
        <w:rPr>
          <w:rFonts w:asciiTheme="majorHAnsi" w:hAnsiTheme="majorHAnsi" w:cs="Times New Roman"/>
          <w:lang w:val="lt-LT"/>
        </w:rPr>
        <w:t>;</w:t>
      </w:r>
    </w:p>
    <w:p w:rsidR="00B347C5" w:rsidRPr="003B46B6" w:rsidRDefault="00B347C5" w:rsidP="00B347C5">
      <w:pPr>
        <w:pStyle w:val="Body2"/>
        <w:ind w:firstLine="1276"/>
        <w:rPr>
          <w:rFonts w:asciiTheme="majorHAnsi" w:hAnsiTheme="majorHAnsi" w:cs="Times New Roman"/>
          <w:lang w:val="lt-LT"/>
        </w:rPr>
      </w:pPr>
      <w:r>
        <w:rPr>
          <w:rFonts w:asciiTheme="majorHAnsi" w:hAnsiTheme="majorHAnsi" w:cs="Times New Roman"/>
          <w:lang w:val="lt-LT"/>
        </w:rPr>
        <w:t xml:space="preserve">13.1.12. </w:t>
      </w:r>
      <w:r w:rsidRPr="00A94E02">
        <w:rPr>
          <w:rFonts w:asciiTheme="majorHAnsi" w:hAnsiTheme="majorHAnsi" w:cs="Times New Roman"/>
          <w:lang w:val="lt-LT"/>
        </w:rPr>
        <w:t>dalyvis per perkančiosios organizacijos nurodytą terminą neištaiso aritmetinių klaidų ir (ar) nepaaiškina pasiūlymo. 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B347C5" w:rsidRPr="00D02107" w:rsidRDefault="00B347C5" w:rsidP="00B347C5">
      <w:pPr>
        <w:pStyle w:val="Body2"/>
        <w:ind w:firstLine="1276"/>
        <w:rPr>
          <w:rFonts w:asciiTheme="majorHAnsi" w:hAnsiTheme="majorHAnsi" w:cs="Times New Roman"/>
          <w:color w:val="C03A2A"/>
        </w:rPr>
      </w:pPr>
      <w:r w:rsidRPr="00D02107">
        <w:rPr>
          <w:rFonts w:asciiTheme="majorHAnsi" w:hAnsiTheme="majorHAnsi" w:cs="Times New Roman"/>
        </w:rPr>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A52C9A" w:rsidRPr="0053090B" w:rsidRDefault="00B347C5" w:rsidP="00A52C9A">
      <w:pPr>
        <w:pStyle w:val="Body2"/>
        <w:ind w:firstLine="709"/>
        <w:rPr>
          <w:rFonts w:asciiTheme="majorHAnsi" w:hAnsiTheme="majorHAnsi" w:cs="Times New Roman"/>
          <w:b/>
          <w:lang w:val="lt-LT"/>
        </w:rPr>
      </w:pPr>
      <w:r w:rsidRPr="00D02107">
        <w:rPr>
          <w:rFonts w:asciiTheme="majorHAnsi" w:hAnsiTheme="majorHAnsi" w:cs="Times New Roman"/>
          <w:color w:val="C03A2A"/>
        </w:rPr>
        <w:tab/>
      </w:r>
      <w:r w:rsidR="00A52C9A" w:rsidRPr="0053090B">
        <w:rPr>
          <w:rFonts w:asciiTheme="majorHAnsi" w:hAnsiTheme="majorHAnsi" w:cs="Times New Roman"/>
          <w:b/>
          <w:lang w:val="lt-LT"/>
        </w:rPr>
        <w:t xml:space="preserve">14.2. Didžiausia priimtina pasiūlymo kaina – </w:t>
      </w:r>
      <w:r w:rsidR="00A52C9A" w:rsidRPr="00A52C9A">
        <w:rPr>
          <w:rFonts w:asciiTheme="majorHAnsi" w:hAnsiTheme="majorHAnsi" w:cs="Times New Roman"/>
          <w:b/>
          <w:lang w:val="lt-LT"/>
        </w:rPr>
        <w:t>76 000,00</w:t>
      </w:r>
      <w:r w:rsidR="00A52C9A">
        <w:rPr>
          <w:rFonts w:asciiTheme="majorHAnsi" w:hAnsiTheme="majorHAnsi" w:cs="Times New Roman"/>
          <w:b/>
          <w:lang w:val="lt-LT"/>
        </w:rPr>
        <w:t xml:space="preserve"> </w:t>
      </w:r>
      <w:r w:rsidR="00A52C9A" w:rsidRPr="0053090B">
        <w:rPr>
          <w:rFonts w:asciiTheme="majorHAnsi" w:hAnsiTheme="majorHAnsi" w:cs="Times New Roman"/>
          <w:b/>
          <w:lang w:val="lt-LT"/>
        </w:rPr>
        <w:t>Eur (su PVM), šią kainą viršijantys pasiūlymai bus atmesti.</w:t>
      </w:r>
    </w:p>
    <w:p w:rsidR="00A52C9A" w:rsidRPr="00A54AF9" w:rsidRDefault="00A52C9A" w:rsidP="00A52C9A">
      <w:pPr>
        <w:pStyle w:val="ListParagraph"/>
        <w:ind w:left="0" w:firstLine="284"/>
        <w:rPr>
          <w:rFonts w:asciiTheme="majorHAnsi" w:hAnsiTheme="majorHAnsi"/>
          <w:color w:val="000000" w:themeColor="text1"/>
        </w:rPr>
      </w:pPr>
      <w:r w:rsidRPr="00A54AF9">
        <w:rPr>
          <w:rFonts w:asciiTheme="majorHAnsi" w:hAnsiTheme="majorHAnsi"/>
          <w:color w:val="000000" w:themeColor="text1"/>
        </w:rPr>
        <w:t>Numatytų vertinimo kriterijų lyginamieji svoriai:</w:t>
      </w:r>
    </w:p>
    <w:p w:rsidR="00A52C9A" w:rsidRPr="00A54AF9" w:rsidRDefault="00A52C9A" w:rsidP="00A52C9A">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sz w:val="22"/>
          <w:szCs w:val="22"/>
          <w:lang w:val="it-IT"/>
        </w:rPr>
        <w:t>1) kaina (K) –</w:t>
      </w:r>
      <w:r w:rsidRPr="00A54AF9">
        <w:rPr>
          <w:rFonts w:asciiTheme="majorHAnsi" w:hAnsiTheme="majorHAnsi"/>
          <w:color w:val="000000" w:themeColor="text1"/>
          <w:sz w:val="22"/>
          <w:szCs w:val="22"/>
          <w:lang w:val="it-IT"/>
        </w:rPr>
        <w:t xml:space="preserve"> </w:t>
      </w:r>
      <w:r>
        <w:rPr>
          <w:rFonts w:asciiTheme="majorHAnsi" w:hAnsiTheme="majorHAnsi"/>
          <w:color w:val="000000" w:themeColor="text1"/>
          <w:sz w:val="22"/>
          <w:szCs w:val="22"/>
          <w:lang w:val="it-IT"/>
        </w:rPr>
        <w:t>6</w:t>
      </w:r>
      <w:r w:rsidRPr="00A54AF9">
        <w:rPr>
          <w:rFonts w:asciiTheme="majorHAnsi" w:hAnsiTheme="majorHAnsi"/>
          <w:color w:val="000000" w:themeColor="text1"/>
          <w:sz w:val="22"/>
          <w:szCs w:val="22"/>
          <w:lang w:val="it-IT"/>
        </w:rPr>
        <w:t>0;</w:t>
      </w:r>
    </w:p>
    <w:p w:rsidR="00A52C9A" w:rsidRPr="00A54AF9" w:rsidRDefault="00A52C9A" w:rsidP="00A52C9A">
      <w:pPr>
        <w:shd w:val="clear" w:color="auto" w:fill="FFFFFF"/>
        <w:spacing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lastRenderedPageBreak/>
        <w:t xml:space="preserve">2) techniniai pranašumai (T) – </w:t>
      </w:r>
      <w:r>
        <w:rPr>
          <w:rFonts w:asciiTheme="majorHAnsi" w:hAnsiTheme="majorHAnsi"/>
          <w:color w:val="000000" w:themeColor="text1"/>
          <w:sz w:val="22"/>
          <w:szCs w:val="22"/>
          <w:lang w:val="it-IT"/>
        </w:rPr>
        <w:t>4</w:t>
      </w:r>
      <w:r w:rsidRPr="00A54AF9">
        <w:rPr>
          <w:rFonts w:asciiTheme="majorHAnsi" w:hAnsiTheme="majorHAnsi"/>
          <w:color w:val="000000" w:themeColor="text1"/>
          <w:sz w:val="22"/>
          <w:szCs w:val="22"/>
          <w:lang w:val="it-IT"/>
        </w:rPr>
        <w:t>0.</w:t>
      </w:r>
    </w:p>
    <w:p w:rsidR="00A52C9A" w:rsidRPr="00A54AF9" w:rsidRDefault="00A52C9A" w:rsidP="00A52C9A">
      <w:pPr>
        <w:shd w:val="clear" w:color="auto" w:fill="FFFFFF"/>
        <w:spacing w:line="256" w:lineRule="auto"/>
        <w:ind w:left="-142" w:firstLine="284"/>
        <w:jc w:val="both"/>
        <w:rPr>
          <w:rFonts w:asciiTheme="majorHAnsi" w:hAnsiTheme="majorHAnsi"/>
          <w:color w:val="000000"/>
          <w:sz w:val="22"/>
          <w:szCs w:val="22"/>
          <w:lang w:val="it-IT"/>
        </w:rPr>
      </w:pPr>
    </w:p>
    <w:p w:rsidR="00A52C9A" w:rsidRPr="00A54AF9" w:rsidRDefault="00A52C9A" w:rsidP="00A52C9A">
      <w:pPr>
        <w:shd w:val="clear" w:color="auto" w:fill="FFFFFF"/>
        <w:spacing w:line="256" w:lineRule="auto"/>
        <w:ind w:left="-142" w:firstLine="284"/>
        <w:jc w:val="both"/>
        <w:rPr>
          <w:rFonts w:asciiTheme="majorHAnsi" w:hAnsiTheme="majorHAnsi"/>
          <w:color w:val="000000"/>
          <w:sz w:val="22"/>
          <w:szCs w:val="22"/>
          <w:lang w:val="it-IT"/>
        </w:rPr>
      </w:pPr>
      <w:r w:rsidRPr="00A54AF9">
        <w:rPr>
          <w:rFonts w:asciiTheme="majorHAnsi" w:hAnsiTheme="majorHAnsi"/>
          <w:color w:val="000000"/>
          <w:sz w:val="22"/>
          <w:szCs w:val="22"/>
          <w:lang w:val="it-IT"/>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4786"/>
        <w:gridCol w:w="1360"/>
        <w:gridCol w:w="1426"/>
        <w:gridCol w:w="1522"/>
      </w:tblGrid>
      <w:tr w:rsidR="00A52C9A" w:rsidRPr="00885EC9" w:rsidTr="00A32521">
        <w:trPr>
          <w:trHeight w:val="846"/>
        </w:trPr>
        <w:tc>
          <w:tcPr>
            <w:tcW w:w="3468" w:type="pct"/>
            <w:gridSpan w:val="3"/>
            <w:shd w:val="clear" w:color="auto" w:fill="D9D9D9"/>
            <w:vAlign w:val="center"/>
          </w:tcPr>
          <w:p w:rsidR="00A52C9A" w:rsidRPr="00A54AF9" w:rsidRDefault="00A52C9A" w:rsidP="00A32521">
            <w:pPr>
              <w:jc w:val="center"/>
              <w:rPr>
                <w:rFonts w:asciiTheme="majorHAnsi" w:hAnsiTheme="majorHAnsi"/>
                <w:b/>
                <w:bCs/>
                <w:sz w:val="22"/>
                <w:szCs w:val="22"/>
              </w:rPr>
            </w:pPr>
            <w:r w:rsidRPr="00A54AF9">
              <w:rPr>
                <w:rFonts w:asciiTheme="majorHAnsi" w:hAnsiTheme="majorHAnsi"/>
                <w:b/>
                <w:sz w:val="22"/>
                <w:szCs w:val="22"/>
              </w:rPr>
              <w:t>Vertinimo kriterijai</w:t>
            </w:r>
          </w:p>
        </w:tc>
        <w:tc>
          <w:tcPr>
            <w:tcW w:w="741" w:type="pct"/>
            <w:shd w:val="clear" w:color="auto" w:fill="D9D9D9"/>
            <w:vAlign w:val="center"/>
          </w:tcPr>
          <w:p w:rsidR="00A52C9A" w:rsidRPr="00A54AF9" w:rsidRDefault="00A52C9A" w:rsidP="00A32521">
            <w:pPr>
              <w:ind w:left="-14" w:right="-90"/>
              <w:jc w:val="center"/>
              <w:rPr>
                <w:rFonts w:asciiTheme="majorHAnsi" w:hAnsiTheme="majorHAnsi"/>
                <w:b/>
                <w:sz w:val="22"/>
                <w:szCs w:val="22"/>
              </w:rPr>
            </w:pPr>
            <w:r w:rsidRPr="00A54AF9">
              <w:rPr>
                <w:rFonts w:asciiTheme="majorHAnsi" w:hAnsiTheme="majorHAnsi"/>
                <w:b/>
                <w:sz w:val="22"/>
                <w:szCs w:val="22"/>
              </w:rPr>
              <w:t>Parametro lyginamasis svoris</w:t>
            </w:r>
          </w:p>
        </w:tc>
        <w:tc>
          <w:tcPr>
            <w:tcW w:w="791" w:type="pct"/>
            <w:shd w:val="clear" w:color="auto" w:fill="D9D9D9"/>
            <w:vAlign w:val="center"/>
          </w:tcPr>
          <w:p w:rsidR="00A52C9A" w:rsidRPr="00A54AF9" w:rsidRDefault="00A52C9A" w:rsidP="00A32521">
            <w:pPr>
              <w:jc w:val="center"/>
              <w:rPr>
                <w:rFonts w:asciiTheme="majorHAnsi" w:hAnsiTheme="majorHAnsi"/>
                <w:b/>
                <w:sz w:val="22"/>
                <w:szCs w:val="22"/>
                <w:lang w:val="it-IT"/>
              </w:rPr>
            </w:pPr>
            <w:r w:rsidRPr="00A54AF9">
              <w:rPr>
                <w:rFonts w:asciiTheme="majorHAnsi" w:hAnsiTheme="majorHAnsi"/>
                <w:b/>
                <w:sz w:val="22"/>
                <w:szCs w:val="22"/>
                <w:lang w:val="it-IT"/>
              </w:rPr>
              <w:t>Lyginamasis svoris ekonominio naudingumo įvertinime</w:t>
            </w:r>
          </w:p>
        </w:tc>
      </w:tr>
      <w:tr w:rsidR="00A52C9A" w:rsidRPr="00A54AF9" w:rsidTr="00A32521">
        <w:tc>
          <w:tcPr>
            <w:tcW w:w="4209" w:type="pct"/>
            <w:gridSpan w:val="4"/>
            <w:shd w:val="clear" w:color="auto" w:fill="D9D9D9"/>
            <w:vAlign w:val="center"/>
          </w:tcPr>
          <w:p w:rsidR="00A52C9A" w:rsidRPr="00A54AF9" w:rsidRDefault="00A52C9A" w:rsidP="00A32521">
            <w:pPr>
              <w:rPr>
                <w:rFonts w:asciiTheme="majorHAnsi" w:hAnsiTheme="majorHAnsi"/>
                <w:b/>
                <w:bCs/>
                <w:sz w:val="22"/>
                <w:szCs w:val="22"/>
              </w:rPr>
            </w:pPr>
            <w:r w:rsidRPr="00A54AF9">
              <w:rPr>
                <w:rFonts w:asciiTheme="majorHAnsi" w:hAnsiTheme="majorHAnsi"/>
                <w:b/>
                <w:sz w:val="22"/>
                <w:szCs w:val="22"/>
              </w:rPr>
              <w:t>Kaina (K)</w:t>
            </w:r>
          </w:p>
        </w:tc>
        <w:tc>
          <w:tcPr>
            <w:tcW w:w="791" w:type="pct"/>
            <w:shd w:val="clear" w:color="auto" w:fill="D9D9D9"/>
          </w:tcPr>
          <w:p w:rsidR="00A52C9A" w:rsidRPr="00A54AF9" w:rsidRDefault="00A52C9A" w:rsidP="00A32521">
            <w:pPr>
              <w:jc w:val="center"/>
              <w:rPr>
                <w:rFonts w:asciiTheme="majorHAnsi" w:hAnsiTheme="majorHAnsi"/>
                <w:b/>
                <w:bCs/>
                <w:color w:val="000000" w:themeColor="text1"/>
                <w:sz w:val="22"/>
                <w:szCs w:val="22"/>
              </w:rPr>
            </w:pPr>
            <w:r w:rsidRPr="00A54AF9">
              <w:rPr>
                <w:rFonts w:asciiTheme="majorHAnsi" w:hAnsiTheme="majorHAnsi"/>
                <w:b/>
                <w:color w:val="000000" w:themeColor="text1"/>
                <w:sz w:val="22"/>
                <w:szCs w:val="22"/>
              </w:rPr>
              <w:t>X=</w:t>
            </w:r>
            <w:r>
              <w:rPr>
                <w:rFonts w:asciiTheme="majorHAnsi" w:hAnsiTheme="majorHAnsi"/>
                <w:b/>
                <w:color w:val="000000" w:themeColor="text1"/>
                <w:sz w:val="22"/>
                <w:szCs w:val="22"/>
              </w:rPr>
              <w:t>6</w:t>
            </w:r>
            <w:r w:rsidRPr="00A54AF9">
              <w:rPr>
                <w:rFonts w:asciiTheme="majorHAnsi" w:hAnsiTheme="majorHAnsi"/>
                <w:b/>
                <w:color w:val="000000" w:themeColor="text1"/>
                <w:sz w:val="22"/>
                <w:szCs w:val="22"/>
              </w:rPr>
              <w:t>0</w:t>
            </w:r>
          </w:p>
        </w:tc>
      </w:tr>
      <w:tr w:rsidR="00A52C9A" w:rsidRPr="00A54AF9" w:rsidTr="00A32521">
        <w:tc>
          <w:tcPr>
            <w:tcW w:w="4209" w:type="pct"/>
            <w:gridSpan w:val="4"/>
            <w:tcBorders>
              <w:bottom w:val="single" w:sz="4" w:space="0" w:color="auto"/>
            </w:tcBorders>
            <w:shd w:val="clear" w:color="auto" w:fill="D9D9D9"/>
            <w:vAlign w:val="center"/>
          </w:tcPr>
          <w:p w:rsidR="00A52C9A" w:rsidRPr="00A54AF9" w:rsidRDefault="00A52C9A" w:rsidP="00A32521">
            <w:pPr>
              <w:rPr>
                <w:rFonts w:asciiTheme="majorHAnsi" w:hAnsiTheme="majorHAnsi"/>
                <w:b/>
                <w:bCs/>
                <w:sz w:val="22"/>
                <w:szCs w:val="22"/>
              </w:rPr>
            </w:pPr>
            <w:r w:rsidRPr="00A54AF9">
              <w:rPr>
                <w:rFonts w:asciiTheme="majorHAnsi" w:hAnsiTheme="majorHAnsi"/>
                <w:b/>
                <w:color w:val="000000"/>
                <w:sz w:val="22"/>
                <w:szCs w:val="22"/>
              </w:rPr>
              <w:t>Techniniai pranašumai (T)</w:t>
            </w:r>
          </w:p>
        </w:tc>
        <w:tc>
          <w:tcPr>
            <w:tcW w:w="791" w:type="pct"/>
            <w:tcBorders>
              <w:bottom w:val="single" w:sz="4" w:space="0" w:color="auto"/>
            </w:tcBorders>
            <w:shd w:val="clear" w:color="auto" w:fill="D9D9D9"/>
          </w:tcPr>
          <w:p w:rsidR="00A52C9A" w:rsidRPr="00A54AF9" w:rsidRDefault="00A52C9A" w:rsidP="00A32521">
            <w:pPr>
              <w:jc w:val="center"/>
              <w:rPr>
                <w:rFonts w:asciiTheme="majorHAnsi" w:hAnsiTheme="majorHAnsi"/>
                <w:b/>
                <w:bCs/>
                <w:color w:val="000000" w:themeColor="text1"/>
                <w:sz w:val="22"/>
                <w:szCs w:val="22"/>
              </w:rPr>
            </w:pPr>
            <w:r w:rsidRPr="00A54AF9">
              <w:rPr>
                <w:rFonts w:asciiTheme="majorHAnsi" w:hAnsiTheme="majorHAnsi"/>
                <w:b/>
                <w:color w:val="000000" w:themeColor="text1"/>
                <w:sz w:val="22"/>
                <w:szCs w:val="22"/>
              </w:rPr>
              <w:t>Y=</w:t>
            </w:r>
            <w:r>
              <w:rPr>
                <w:rFonts w:asciiTheme="majorHAnsi" w:hAnsiTheme="majorHAnsi"/>
                <w:b/>
                <w:color w:val="000000" w:themeColor="text1"/>
                <w:sz w:val="22"/>
                <w:szCs w:val="22"/>
              </w:rPr>
              <w:t>4</w:t>
            </w:r>
            <w:r w:rsidRPr="00A54AF9">
              <w:rPr>
                <w:rFonts w:asciiTheme="majorHAnsi" w:hAnsiTheme="majorHAnsi"/>
                <w:b/>
                <w:color w:val="000000" w:themeColor="text1"/>
                <w:sz w:val="22"/>
                <w:szCs w:val="22"/>
              </w:rPr>
              <w:t>0</w:t>
            </w:r>
          </w:p>
        </w:tc>
      </w:tr>
      <w:tr w:rsidR="00A52C9A" w:rsidRPr="00A54AF9" w:rsidTr="00A32521">
        <w:tc>
          <w:tcPr>
            <w:tcW w:w="273" w:type="pct"/>
            <w:shd w:val="clear" w:color="auto" w:fill="auto"/>
          </w:tcPr>
          <w:p w:rsidR="00A52C9A" w:rsidRPr="00A54AF9" w:rsidRDefault="00A52C9A" w:rsidP="00A32521">
            <w:pPr>
              <w:ind w:right="-81"/>
              <w:jc w:val="center"/>
              <w:rPr>
                <w:rFonts w:asciiTheme="majorHAnsi" w:hAnsiTheme="majorHAnsi"/>
                <w:b/>
                <w:sz w:val="22"/>
                <w:szCs w:val="22"/>
              </w:rPr>
            </w:pPr>
            <w:r w:rsidRPr="00A54AF9">
              <w:rPr>
                <w:rFonts w:asciiTheme="majorHAnsi" w:hAnsiTheme="majorHAnsi"/>
                <w:b/>
                <w:sz w:val="22"/>
                <w:szCs w:val="22"/>
              </w:rPr>
              <w:t>Nr.</w:t>
            </w:r>
          </w:p>
        </w:tc>
        <w:tc>
          <w:tcPr>
            <w:tcW w:w="2488" w:type="pct"/>
            <w:shd w:val="clear" w:color="auto" w:fill="auto"/>
          </w:tcPr>
          <w:p w:rsidR="00A52C9A" w:rsidRPr="00A54AF9" w:rsidRDefault="00A52C9A" w:rsidP="00A32521">
            <w:pPr>
              <w:jc w:val="center"/>
              <w:rPr>
                <w:rFonts w:asciiTheme="majorHAnsi" w:hAnsiTheme="majorHAnsi"/>
                <w:b/>
                <w:sz w:val="22"/>
                <w:szCs w:val="22"/>
              </w:rPr>
            </w:pPr>
            <w:r w:rsidRPr="00A54AF9">
              <w:rPr>
                <w:rFonts w:asciiTheme="majorHAnsi" w:hAnsiTheme="majorHAnsi"/>
                <w:b/>
                <w:sz w:val="22"/>
                <w:szCs w:val="22"/>
              </w:rPr>
              <w:t>Parametrai</w:t>
            </w:r>
          </w:p>
        </w:tc>
        <w:tc>
          <w:tcPr>
            <w:tcW w:w="707" w:type="pct"/>
            <w:shd w:val="clear" w:color="auto" w:fill="auto"/>
            <w:vAlign w:val="center"/>
          </w:tcPr>
          <w:p w:rsidR="00A52C9A" w:rsidRPr="00A54AF9" w:rsidRDefault="00A52C9A" w:rsidP="00A32521">
            <w:pPr>
              <w:ind w:right="-250" w:hanging="108"/>
              <w:jc w:val="center"/>
              <w:rPr>
                <w:rFonts w:asciiTheme="majorHAnsi" w:hAnsiTheme="majorHAnsi"/>
                <w:b/>
                <w:sz w:val="22"/>
                <w:szCs w:val="22"/>
              </w:rPr>
            </w:pPr>
            <w:r w:rsidRPr="00A54AF9">
              <w:rPr>
                <w:rFonts w:asciiTheme="majorHAnsi" w:hAnsiTheme="majorHAnsi"/>
                <w:b/>
                <w:sz w:val="22"/>
                <w:szCs w:val="22"/>
              </w:rPr>
              <w:t>Vertinimo būdas</w:t>
            </w:r>
          </w:p>
        </w:tc>
        <w:tc>
          <w:tcPr>
            <w:tcW w:w="741" w:type="pct"/>
            <w:shd w:val="clear" w:color="auto" w:fill="auto"/>
            <w:vAlign w:val="center"/>
          </w:tcPr>
          <w:p w:rsidR="00A52C9A" w:rsidRPr="00A54AF9" w:rsidRDefault="00A52C9A" w:rsidP="00A32521">
            <w:pPr>
              <w:ind w:right="-250" w:hanging="108"/>
              <w:jc w:val="center"/>
              <w:rPr>
                <w:rFonts w:asciiTheme="majorHAnsi" w:hAnsiTheme="majorHAnsi"/>
                <w:b/>
                <w:sz w:val="22"/>
                <w:szCs w:val="22"/>
              </w:rPr>
            </w:pPr>
            <w:r w:rsidRPr="00A54AF9">
              <w:rPr>
                <w:rFonts w:asciiTheme="majorHAnsi" w:hAnsiTheme="majorHAnsi"/>
                <w:b/>
                <w:sz w:val="22"/>
                <w:szCs w:val="22"/>
              </w:rPr>
              <w:t>Lyginamasis svoris</w:t>
            </w:r>
          </w:p>
        </w:tc>
        <w:tc>
          <w:tcPr>
            <w:tcW w:w="791" w:type="pct"/>
            <w:shd w:val="clear" w:color="auto" w:fill="auto"/>
          </w:tcPr>
          <w:p w:rsidR="00A52C9A" w:rsidRPr="00A54AF9" w:rsidRDefault="00A52C9A" w:rsidP="00A32521">
            <w:pPr>
              <w:jc w:val="center"/>
              <w:rPr>
                <w:rFonts w:asciiTheme="majorHAnsi" w:hAnsiTheme="majorHAnsi"/>
                <w:b/>
                <w:sz w:val="22"/>
                <w:szCs w:val="22"/>
              </w:rPr>
            </w:pPr>
          </w:p>
        </w:tc>
      </w:tr>
      <w:tr w:rsidR="00A52C9A" w:rsidRPr="00A54AF9" w:rsidTr="00A32521">
        <w:tc>
          <w:tcPr>
            <w:tcW w:w="273"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T1</w:t>
            </w:r>
          </w:p>
        </w:tc>
        <w:tc>
          <w:tcPr>
            <w:tcW w:w="2488" w:type="pct"/>
          </w:tcPr>
          <w:p w:rsidR="00A52C9A" w:rsidRPr="00A52C9A" w:rsidRDefault="00A52C9A" w:rsidP="00A52C9A">
            <w:pPr>
              <w:rPr>
                <w:rFonts w:asciiTheme="majorHAnsi" w:hAnsiTheme="majorHAnsi"/>
                <w:color w:val="000000" w:themeColor="text1"/>
                <w:sz w:val="22"/>
              </w:rPr>
            </w:pPr>
            <w:r w:rsidRPr="00A52C9A">
              <w:rPr>
                <w:rFonts w:asciiTheme="majorHAnsi" w:hAnsiTheme="majorHAnsi"/>
                <w:sz w:val="22"/>
              </w:rPr>
              <w:t xml:space="preserve">Pilnai automatinis </w:t>
            </w:r>
            <w:r w:rsidRPr="00A52C9A">
              <w:rPr>
                <w:rFonts w:asciiTheme="majorHAnsi" w:hAnsiTheme="majorHAnsi"/>
                <w:color w:val="000000" w:themeColor="text1"/>
                <w:sz w:val="22"/>
              </w:rPr>
              <w:t>procesas nuo ląstelių paruošimo iki tepinėlio užfiksavimo vyksta uždaroje sistemoje.</w:t>
            </w:r>
          </w:p>
        </w:tc>
        <w:tc>
          <w:tcPr>
            <w:tcW w:w="707"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Statinis: (yra/nėra)</w:t>
            </w:r>
          </w:p>
        </w:tc>
        <w:tc>
          <w:tcPr>
            <w:tcW w:w="741" w:type="pct"/>
            <w:shd w:val="clear" w:color="auto" w:fill="auto"/>
          </w:tcPr>
          <w:p w:rsidR="00A52C9A" w:rsidRPr="00A52C9A" w:rsidRDefault="00A52C9A" w:rsidP="00A52C9A">
            <w:pPr>
              <w:rPr>
                <w:rFonts w:asciiTheme="majorHAnsi" w:hAnsiTheme="majorHAnsi"/>
                <w:sz w:val="22"/>
              </w:rPr>
            </w:pPr>
            <w:r w:rsidRPr="00A52C9A">
              <w:rPr>
                <w:rFonts w:asciiTheme="majorHAnsi" w:hAnsiTheme="majorHAnsi"/>
                <w:sz w:val="22"/>
              </w:rPr>
              <w:t>L1 = 0,125</w:t>
            </w:r>
          </w:p>
        </w:tc>
        <w:tc>
          <w:tcPr>
            <w:tcW w:w="791" w:type="pct"/>
            <w:shd w:val="clear" w:color="auto" w:fill="auto"/>
          </w:tcPr>
          <w:p w:rsidR="00A52C9A" w:rsidRPr="00A54AF9" w:rsidRDefault="00A52C9A" w:rsidP="00A52C9A">
            <w:pPr>
              <w:jc w:val="center"/>
              <w:rPr>
                <w:rFonts w:asciiTheme="majorHAnsi" w:hAnsiTheme="majorHAnsi"/>
                <w:sz w:val="22"/>
                <w:szCs w:val="22"/>
              </w:rPr>
            </w:pPr>
          </w:p>
        </w:tc>
      </w:tr>
      <w:tr w:rsidR="00A52C9A" w:rsidRPr="00A54AF9" w:rsidTr="00A32521">
        <w:tc>
          <w:tcPr>
            <w:tcW w:w="273"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T2</w:t>
            </w:r>
          </w:p>
        </w:tc>
        <w:tc>
          <w:tcPr>
            <w:tcW w:w="2488" w:type="pct"/>
          </w:tcPr>
          <w:p w:rsidR="00A52C9A" w:rsidRPr="00A52C9A" w:rsidRDefault="00A52C9A" w:rsidP="00A52C9A">
            <w:pPr>
              <w:rPr>
                <w:rFonts w:asciiTheme="majorHAnsi" w:hAnsiTheme="majorHAnsi"/>
                <w:color w:val="000000" w:themeColor="text1"/>
                <w:sz w:val="22"/>
                <w:lang w:val="it-IT"/>
              </w:rPr>
            </w:pPr>
            <w:r w:rsidRPr="00A52C9A">
              <w:rPr>
                <w:rFonts w:asciiTheme="majorHAnsi" w:hAnsiTheme="majorHAnsi"/>
                <w:color w:val="000000" w:themeColor="text1"/>
                <w:sz w:val="22"/>
                <w:lang w:val="it-IT"/>
              </w:rPr>
              <w:t>Sistema automatiškai sutikrina to paties mėginio indelio ir stiklelio atitikimą.</w:t>
            </w:r>
          </w:p>
        </w:tc>
        <w:tc>
          <w:tcPr>
            <w:tcW w:w="707"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Statinis: (yra/nėra)</w:t>
            </w:r>
          </w:p>
        </w:tc>
        <w:tc>
          <w:tcPr>
            <w:tcW w:w="741" w:type="pct"/>
            <w:shd w:val="clear" w:color="auto" w:fill="auto"/>
          </w:tcPr>
          <w:p w:rsidR="00A52C9A" w:rsidRPr="00A52C9A" w:rsidRDefault="00A52C9A" w:rsidP="00A52C9A">
            <w:pPr>
              <w:rPr>
                <w:rFonts w:asciiTheme="majorHAnsi" w:hAnsiTheme="majorHAnsi"/>
                <w:sz w:val="22"/>
              </w:rPr>
            </w:pPr>
            <w:r w:rsidRPr="00A52C9A">
              <w:rPr>
                <w:rFonts w:asciiTheme="majorHAnsi" w:hAnsiTheme="majorHAnsi"/>
                <w:sz w:val="22"/>
              </w:rPr>
              <w:t>L2 = 0,063</w:t>
            </w:r>
          </w:p>
        </w:tc>
        <w:tc>
          <w:tcPr>
            <w:tcW w:w="791" w:type="pct"/>
            <w:shd w:val="clear" w:color="auto" w:fill="auto"/>
          </w:tcPr>
          <w:p w:rsidR="00A52C9A" w:rsidRPr="00A54AF9" w:rsidRDefault="00A52C9A" w:rsidP="00A52C9A">
            <w:pPr>
              <w:jc w:val="center"/>
              <w:rPr>
                <w:rFonts w:asciiTheme="majorHAnsi" w:hAnsiTheme="majorHAnsi"/>
                <w:sz w:val="22"/>
                <w:szCs w:val="22"/>
              </w:rPr>
            </w:pPr>
          </w:p>
        </w:tc>
      </w:tr>
      <w:tr w:rsidR="00A52C9A" w:rsidRPr="00A54AF9" w:rsidTr="00A32521">
        <w:tc>
          <w:tcPr>
            <w:tcW w:w="273"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T3</w:t>
            </w:r>
          </w:p>
        </w:tc>
        <w:tc>
          <w:tcPr>
            <w:tcW w:w="2488" w:type="pct"/>
          </w:tcPr>
          <w:p w:rsidR="00A52C9A" w:rsidRPr="00A52C9A" w:rsidRDefault="00A52C9A" w:rsidP="00A52C9A">
            <w:pPr>
              <w:rPr>
                <w:rFonts w:asciiTheme="majorHAnsi" w:hAnsiTheme="majorHAnsi"/>
                <w:color w:val="000000" w:themeColor="text1"/>
                <w:sz w:val="22"/>
              </w:rPr>
            </w:pPr>
            <w:r w:rsidRPr="00A52C9A">
              <w:rPr>
                <w:rFonts w:asciiTheme="majorHAnsi" w:hAnsiTheme="majorHAnsi"/>
                <w:color w:val="000000" w:themeColor="text1"/>
                <w:sz w:val="22"/>
              </w:rPr>
              <w:t>Sistema pilnai automatiškai atlieka visus mėginio ir stiklelio paruošimo etapus – t.y. automatiškai supurto mėginio indelį, atsuka dangtelį, paruošia vienasluoksnį tepinėlį, perkelia ant objektinio stiklelio, užfiksuoja ir vėl užsuka mėginio dangtelį.</w:t>
            </w:r>
          </w:p>
        </w:tc>
        <w:tc>
          <w:tcPr>
            <w:tcW w:w="707"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Statinis: (yra/nėra)</w:t>
            </w:r>
          </w:p>
        </w:tc>
        <w:tc>
          <w:tcPr>
            <w:tcW w:w="741" w:type="pct"/>
            <w:shd w:val="clear" w:color="auto" w:fill="auto"/>
          </w:tcPr>
          <w:p w:rsidR="00A52C9A" w:rsidRPr="00A52C9A" w:rsidRDefault="00A52C9A" w:rsidP="00A52C9A">
            <w:pPr>
              <w:rPr>
                <w:rFonts w:asciiTheme="majorHAnsi" w:hAnsiTheme="majorHAnsi"/>
                <w:sz w:val="22"/>
              </w:rPr>
            </w:pPr>
            <w:r w:rsidRPr="00A52C9A">
              <w:rPr>
                <w:rFonts w:asciiTheme="majorHAnsi" w:hAnsiTheme="majorHAnsi"/>
                <w:sz w:val="22"/>
              </w:rPr>
              <w:t>L3 = 0,75</w:t>
            </w:r>
          </w:p>
        </w:tc>
        <w:tc>
          <w:tcPr>
            <w:tcW w:w="791" w:type="pct"/>
            <w:shd w:val="clear" w:color="auto" w:fill="auto"/>
          </w:tcPr>
          <w:p w:rsidR="00A52C9A" w:rsidRPr="00A54AF9" w:rsidRDefault="00A52C9A" w:rsidP="00A52C9A">
            <w:pPr>
              <w:jc w:val="center"/>
              <w:rPr>
                <w:rFonts w:asciiTheme="majorHAnsi" w:hAnsiTheme="majorHAnsi"/>
                <w:sz w:val="22"/>
                <w:szCs w:val="22"/>
              </w:rPr>
            </w:pPr>
          </w:p>
        </w:tc>
      </w:tr>
      <w:tr w:rsidR="00A52C9A" w:rsidRPr="00A54AF9" w:rsidTr="00A52C9A">
        <w:trPr>
          <w:trHeight w:val="1079"/>
        </w:trPr>
        <w:tc>
          <w:tcPr>
            <w:tcW w:w="273"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T4</w:t>
            </w:r>
          </w:p>
        </w:tc>
        <w:tc>
          <w:tcPr>
            <w:tcW w:w="2488" w:type="pct"/>
          </w:tcPr>
          <w:p w:rsidR="00A52C9A" w:rsidRPr="00A52C9A" w:rsidRDefault="00A52C9A" w:rsidP="00A52C9A">
            <w:pPr>
              <w:rPr>
                <w:rFonts w:asciiTheme="majorHAnsi" w:hAnsiTheme="majorHAnsi"/>
                <w:color w:val="000000" w:themeColor="text1"/>
                <w:sz w:val="22"/>
              </w:rPr>
            </w:pPr>
            <w:r w:rsidRPr="00A52C9A">
              <w:rPr>
                <w:rFonts w:asciiTheme="majorHAnsi" w:hAnsiTheme="majorHAnsi"/>
                <w:color w:val="000000" w:themeColor="text1"/>
                <w:sz w:val="22"/>
              </w:rPr>
              <w:t>Sistema yra patvirtinta (JAV FDA arba Europos sąjungos autorizuotų institucijų) gimdos kaklelio piktybinių navikų patikros programos vykdymui.</w:t>
            </w:r>
          </w:p>
          <w:p w:rsidR="00A52C9A" w:rsidRPr="00A52C9A" w:rsidRDefault="00A52C9A" w:rsidP="00A52C9A">
            <w:pPr>
              <w:rPr>
                <w:rFonts w:asciiTheme="majorHAnsi" w:hAnsiTheme="majorHAnsi"/>
                <w:color w:val="000000" w:themeColor="text1"/>
                <w:sz w:val="22"/>
              </w:rPr>
            </w:pPr>
          </w:p>
        </w:tc>
        <w:tc>
          <w:tcPr>
            <w:tcW w:w="707" w:type="pct"/>
            <w:shd w:val="clear" w:color="auto" w:fill="auto"/>
          </w:tcPr>
          <w:p w:rsidR="00A52C9A" w:rsidRPr="00A21C10" w:rsidRDefault="00A52C9A" w:rsidP="00A52C9A">
            <w:pPr>
              <w:rPr>
                <w:rFonts w:asciiTheme="majorHAnsi" w:hAnsiTheme="majorHAnsi"/>
                <w:color w:val="000000" w:themeColor="text1"/>
                <w:sz w:val="22"/>
              </w:rPr>
            </w:pPr>
            <w:r w:rsidRPr="00A21C10">
              <w:rPr>
                <w:rFonts w:asciiTheme="majorHAnsi" w:hAnsiTheme="majorHAnsi"/>
                <w:color w:val="000000" w:themeColor="text1"/>
                <w:sz w:val="22"/>
              </w:rPr>
              <w:t>Statinis: (yra/nėra)</w:t>
            </w:r>
          </w:p>
        </w:tc>
        <w:tc>
          <w:tcPr>
            <w:tcW w:w="741" w:type="pct"/>
            <w:shd w:val="clear" w:color="auto" w:fill="auto"/>
          </w:tcPr>
          <w:p w:rsidR="00A52C9A" w:rsidRPr="00A52C9A" w:rsidRDefault="00A52C9A" w:rsidP="00A52C9A">
            <w:pPr>
              <w:rPr>
                <w:rFonts w:asciiTheme="majorHAnsi" w:hAnsiTheme="majorHAnsi"/>
                <w:sz w:val="22"/>
              </w:rPr>
            </w:pPr>
            <w:r w:rsidRPr="00A52C9A">
              <w:rPr>
                <w:rFonts w:asciiTheme="majorHAnsi" w:hAnsiTheme="majorHAnsi"/>
                <w:sz w:val="22"/>
              </w:rPr>
              <w:t>L4=0,062</w:t>
            </w:r>
          </w:p>
        </w:tc>
        <w:tc>
          <w:tcPr>
            <w:tcW w:w="791" w:type="pct"/>
            <w:shd w:val="clear" w:color="auto" w:fill="auto"/>
          </w:tcPr>
          <w:p w:rsidR="00A52C9A" w:rsidRPr="00A54AF9" w:rsidRDefault="00A52C9A" w:rsidP="00A52C9A">
            <w:pPr>
              <w:jc w:val="center"/>
              <w:rPr>
                <w:rFonts w:asciiTheme="majorHAnsi" w:hAnsiTheme="majorHAnsi"/>
                <w:sz w:val="22"/>
                <w:szCs w:val="22"/>
              </w:rPr>
            </w:pPr>
          </w:p>
        </w:tc>
      </w:tr>
    </w:tbl>
    <w:p w:rsidR="00B347C5" w:rsidRPr="00D02107" w:rsidRDefault="00B347C5" w:rsidP="00B347C5">
      <w:pPr>
        <w:pStyle w:val="Body2"/>
        <w:rPr>
          <w:rFonts w:asciiTheme="majorHAnsi" w:hAnsiTheme="majorHAnsi" w:cs="Times New Roman"/>
        </w:rPr>
      </w:pPr>
    </w:p>
    <w:p w:rsidR="00A52C9A" w:rsidRPr="0053090B" w:rsidRDefault="00A52C9A" w:rsidP="00A52C9A">
      <w:pPr>
        <w:shd w:val="clear" w:color="auto" w:fill="FFFFFF"/>
        <w:spacing w:after="160" w:line="256" w:lineRule="auto"/>
        <w:ind w:firstLine="284"/>
        <w:jc w:val="both"/>
        <w:rPr>
          <w:rFonts w:asciiTheme="majorHAnsi" w:hAnsiTheme="majorHAnsi"/>
          <w:color w:val="000000"/>
          <w:sz w:val="22"/>
          <w:szCs w:val="22"/>
        </w:rPr>
      </w:pPr>
      <w:r w:rsidRPr="0053090B">
        <w:rPr>
          <w:rFonts w:asciiTheme="majorHAnsi" w:hAnsiTheme="majorHAnsi"/>
          <w:color w:val="000000"/>
          <w:sz w:val="22"/>
          <w:szCs w:val="22"/>
        </w:rPr>
        <w:t>Pasiūlymo ekonominio naudingumo (kainos ir kokybės santykio) apskaičiavimo tvarka (formulė) yra pateikiama žemiau:</w:t>
      </w:r>
    </w:p>
    <w:p w:rsidR="00A52C9A" w:rsidRPr="00570707" w:rsidRDefault="00A52C9A" w:rsidP="00A52C9A">
      <w:pPr>
        <w:shd w:val="clear" w:color="auto" w:fill="FFFFFF"/>
        <w:spacing w:after="160" w:line="256" w:lineRule="auto"/>
        <w:ind w:firstLine="284"/>
        <w:jc w:val="both"/>
        <w:rPr>
          <w:rFonts w:asciiTheme="majorHAnsi" w:hAnsiTheme="majorHAnsi"/>
          <w:color w:val="000000"/>
          <w:sz w:val="22"/>
          <w:szCs w:val="22"/>
        </w:rPr>
      </w:pPr>
      <w:r w:rsidRPr="00570707">
        <w:rPr>
          <w:rFonts w:asciiTheme="majorHAnsi" w:hAnsiTheme="majorHAnsi"/>
          <w:color w:val="000000"/>
          <w:sz w:val="22"/>
          <w:szCs w:val="22"/>
        </w:rPr>
        <w:t>1. Pasiūlymo ekonominis naudingumas (E) apskaičiuojamas sudedant tiekėjo pasiūlymo kainos (K) ir techninių pranašumų (T) balus:</w:t>
      </w:r>
    </w:p>
    <w:p w:rsidR="00A52C9A" w:rsidRPr="00570707" w:rsidRDefault="00A52C9A" w:rsidP="00A52C9A">
      <w:pPr>
        <w:shd w:val="clear" w:color="auto" w:fill="FFFFFF"/>
        <w:spacing w:after="360" w:line="257" w:lineRule="auto"/>
        <w:ind w:firstLine="284"/>
        <w:jc w:val="center"/>
        <w:rPr>
          <w:rFonts w:asciiTheme="majorHAnsi" w:hAnsiTheme="majorHAnsi"/>
          <w:color w:val="000000"/>
          <w:sz w:val="22"/>
          <w:szCs w:val="22"/>
        </w:rPr>
      </w:pPr>
      <w:r w:rsidRPr="00570707">
        <w:rPr>
          <w:rFonts w:asciiTheme="majorHAnsi" w:hAnsiTheme="majorHAnsi"/>
          <w:i/>
          <w:iCs/>
          <w:color w:val="000000"/>
          <w:sz w:val="22"/>
          <w:szCs w:val="22"/>
        </w:rPr>
        <w:t xml:space="preserve">E </w:t>
      </w:r>
      <w:r w:rsidRPr="00570707">
        <w:rPr>
          <w:rFonts w:asciiTheme="majorHAnsi" w:hAnsiTheme="majorHAnsi"/>
          <w:color w:val="000000"/>
          <w:sz w:val="22"/>
          <w:szCs w:val="22"/>
        </w:rPr>
        <w:t xml:space="preserve">= </w:t>
      </w:r>
      <w:r w:rsidRPr="00570707">
        <w:rPr>
          <w:rFonts w:asciiTheme="majorHAnsi" w:hAnsiTheme="majorHAnsi"/>
          <w:i/>
          <w:color w:val="000000"/>
          <w:sz w:val="22"/>
          <w:szCs w:val="22"/>
        </w:rPr>
        <w:t>K</w:t>
      </w:r>
      <w:r w:rsidRPr="00570707">
        <w:rPr>
          <w:rFonts w:asciiTheme="majorHAnsi" w:hAnsiTheme="majorHAnsi"/>
          <w:color w:val="000000"/>
          <w:sz w:val="22"/>
          <w:szCs w:val="22"/>
        </w:rPr>
        <w:t xml:space="preserve"> </w:t>
      </w:r>
      <w:r w:rsidRPr="00570707">
        <w:rPr>
          <w:rFonts w:asciiTheme="majorHAnsi" w:hAnsiTheme="majorHAnsi"/>
          <w:i/>
          <w:iCs/>
          <w:color w:val="000000"/>
          <w:sz w:val="22"/>
          <w:szCs w:val="22"/>
        </w:rPr>
        <w:t>+ T</w:t>
      </w:r>
    </w:p>
    <w:p w:rsidR="00A52C9A" w:rsidRPr="00570707" w:rsidRDefault="00A52C9A" w:rsidP="00A52C9A">
      <w:pPr>
        <w:shd w:val="clear" w:color="auto" w:fill="FFFFFF"/>
        <w:spacing w:after="160" w:line="256" w:lineRule="auto"/>
        <w:ind w:firstLine="284"/>
        <w:jc w:val="both"/>
        <w:rPr>
          <w:rFonts w:asciiTheme="majorHAnsi" w:hAnsiTheme="majorHAnsi"/>
          <w:color w:val="000000" w:themeColor="text1"/>
          <w:sz w:val="22"/>
          <w:szCs w:val="22"/>
        </w:rPr>
      </w:pPr>
      <w:r w:rsidRPr="00570707">
        <w:rPr>
          <w:rFonts w:asciiTheme="majorHAnsi" w:hAnsiTheme="majorHAnsi"/>
          <w:iCs/>
          <w:color w:val="000000"/>
          <w:sz w:val="22"/>
          <w:szCs w:val="22"/>
        </w:rPr>
        <w:t xml:space="preserve">2. </w:t>
      </w:r>
      <w:r w:rsidRPr="00570707">
        <w:rPr>
          <w:rFonts w:asciiTheme="majorHAnsi" w:hAnsiTheme="majorHAnsi"/>
          <w:color w:val="000000"/>
          <w:sz w:val="22"/>
          <w:szCs w:val="22"/>
        </w:rPr>
        <w:t xml:space="preserve">Pasiūlymo kainos (K) balai </w:t>
      </w:r>
      <w:r w:rsidRPr="00570707">
        <w:rPr>
          <w:rFonts w:asciiTheme="majorHAnsi" w:hAnsiTheme="majorHAnsi"/>
          <w:color w:val="000000" w:themeColor="text1"/>
          <w:sz w:val="22"/>
          <w:szCs w:val="22"/>
        </w:rPr>
        <w:t>apskaičiuojami mažiausios pasiūlytos kainos (K</w:t>
      </w:r>
      <w:r w:rsidRPr="00570707">
        <w:rPr>
          <w:rFonts w:asciiTheme="majorHAnsi" w:hAnsiTheme="majorHAnsi"/>
          <w:color w:val="000000" w:themeColor="text1"/>
          <w:sz w:val="22"/>
          <w:szCs w:val="22"/>
          <w:vertAlign w:val="subscript"/>
        </w:rPr>
        <w:t>min</w:t>
      </w:r>
      <w:r w:rsidRPr="00570707">
        <w:rPr>
          <w:rFonts w:asciiTheme="majorHAnsi" w:hAnsiTheme="majorHAnsi"/>
          <w:color w:val="000000" w:themeColor="text1"/>
          <w:sz w:val="22"/>
          <w:szCs w:val="22"/>
        </w:rPr>
        <w:t>) ir vertinamo pasiūlymo kainos (K</w:t>
      </w:r>
      <w:r w:rsidRPr="00570707">
        <w:rPr>
          <w:rFonts w:asciiTheme="majorHAnsi" w:hAnsiTheme="majorHAnsi"/>
          <w:color w:val="000000" w:themeColor="text1"/>
          <w:sz w:val="22"/>
          <w:szCs w:val="22"/>
          <w:vertAlign w:val="subscript"/>
        </w:rPr>
        <w:t>v</w:t>
      </w:r>
      <w:r w:rsidRPr="00570707">
        <w:rPr>
          <w:rFonts w:asciiTheme="majorHAnsi" w:hAnsiTheme="majorHAnsi"/>
          <w:color w:val="000000" w:themeColor="text1"/>
          <w:sz w:val="22"/>
          <w:szCs w:val="22"/>
        </w:rPr>
        <w:t>) santykį padauginant iš kainos lyginamojo svorio (X):</w:t>
      </w:r>
    </w:p>
    <w:p w:rsidR="00A52C9A" w:rsidRPr="00A54AF9" w:rsidRDefault="00A52C9A" w:rsidP="00A52C9A">
      <w:pPr>
        <w:spacing w:after="360" w:line="257" w:lineRule="auto"/>
        <w:ind w:firstLine="284"/>
        <w:jc w:val="center"/>
        <w:rPr>
          <w:rFonts w:asciiTheme="majorHAnsi" w:hAnsiTheme="majorHAnsi"/>
          <w:color w:val="000000" w:themeColor="text1"/>
          <w:sz w:val="22"/>
          <w:szCs w:val="22"/>
        </w:rPr>
      </w:pPr>
      <m:oMathPara>
        <m:oMath>
          <m:r>
            <w:rPr>
              <w:rFonts w:ascii="Cambria Math" w:hAnsi="Cambria Math"/>
              <w:color w:val="000000" w:themeColor="text1"/>
              <w:sz w:val="22"/>
              <w:szCs w:val="22"/>
            </w:rPr>
            <m:t>K=</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min</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v</m:t>
                  </m:r>
                </m:sub>
              </m:sSub>
            </m:den>
          </m:f>
          <m:r>
            <w:rPr>
              <w:rFonts w:ascii="Cambria Math" w:hAnsi="Cambria Math"/>
              <w:color w:val="000000" w:themeColor="text1"/>
              <w:sz w:val="22"/>
              <w:szCs w:val="22"/>
            </w:rPr>
            <m:t xml:space="preserve"> ×X</m:t>
          </m:r>
        </m:oMath>
      </m:oMathPara>
    </w:p>
    <w:p w:rsidR="00A52C9A" w:rsidRPr="00A54AF9" w:rsidRDefault="00A52C9A" w:rsidP="00A52C9A">
      <w:pPr>
        <w:spacing w:after="160" w:line="256" w:lineRule="auto"/>
        <w:ind w:firstLine="284"/>
        <w:jc w:val="both"/>
        <w:rPr>
          <w:rFonts w:asciiTheme="majorHAnsi" w:hAnsiTheme="majorHAnsi"/>
          <w:color w:val="000000" w:themeColor="text1"/>
          <w:sz w:val="22"/>
          <w:szCs w:val="22"/>
        </w:rPr>
      </w:pPr>
      <w:r w:rsidRPr="00A54AF9">
        <w:rPr>
          <w:rFonts w:asciiTheme="majorHAnsi" w:hAnsiTheme="majorHAnsi"/>
          <w:color w:val="000000" w:themeColor="text1"/>
          <w:sz w:val="22"/>
          <w:szCs w:val="22"/>
        </w:rPr>
        <w:t>3. Siūlomo objekto T</w:t>
      </w:r>
      <w:r w:rsidRPr="00A54AF9">
        <w:rPr>
          <w:rFonts w:asciiTheme="majorHAnsi" w:hAnsiTheme="majorHAnsi"/>
          <w:color w:val="000000" w:themeColor="text1"/>
          <w:sz w:val="22"/>
          <w:szCs w:val="22"/>
          <w:vertAlign w:val="subscript"/>
        </w:rPr>
        <w:t>i</w:t>
      </w:r>
      <w:r w:rsidRPr="00A54AF9">
        <w:rPr>
          <w:rFonts w:asciiTheme="majorHAnsi" w:hAnsiTheme="majorHAnsi"/>
          <w:color w:val="000000" w:themeColor="text1"/>
          <w:sz w:val="22"/>
          <w:szCs w:val="22"/>
        </w:rPr>
        <w:t xml:space="preserve"> techninis parametras aprašomas statiniu vertinimo būdu ir neturi skaitinių išraiškų (yra arba nėra), todėl parametro įvertinimas apskaičiuojamas taip:</w:t>
      </w:r>
    </w:p>
    <w:p w:rsidR="00A52C9A" w:rsidRPr="00A54AF9" w:rsidRDefault="00A52C9A" w:rsidP="00A52C9A">
      <w:pPr>
        <w:spacing w:after="160" w:line="256" w:lineRule="auto"/>
        <w:ind w:firstLine="284"/>
        <w:jc w:val="both"/>
        <w:rPr>
          <w:rFonts w:asciiTheme="majorHAnsi" w:hAnsiTheme="majorHAnsi"/>
          <w:color w:val="000000"/>
          <w:sz w:val="22"/>
          <w:szCs w:val="22"/>
          <w:lang w:val="it-IT"/>
        </w:rPr>
      </w:pPr>
      <w:r w:rsidRPr="00A54AF9">
        <w:rPr>
          <w:rFonts w:asciiTheme="majorHAnsi" w:hAnsiTheme="majorHAnsi"/>
          <w:color w:val="000000" w:themeColor="text1"/>
          <w:sz w:val="22"/>
          <w:szCs w:val="22"/>
          <w:lang w:val="it-IT"/>
        </w:rPr>
        <w:t xml:space="preserve">Jei siūlomas objektas turi nurodytą pranašumą: </w:t>
      </w:r>
      <w:r w:rsidRPr="00A54AF9">
        <w:rPr>
          <w:rFonts w:asciiTheme="majorHAnsi" w:hAnsiTheme="majorHAnsi"/>
          <w:i/>
          <w:color w:val="000000" w:themeColor="text1"/>
          <w:sz w:val="22"/>
          <w:szCs w:val="22"/>
          <w:lang w:val="it-IT"/>
        </w:rPr>
        <w:t>T</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themeColor="text1"/>
          <w:sz w:val="22"/>
          <w:szCs w:val="22"/>
          <w:lang w:val="it-IT"/>
        </w:rPr>
        <w:t xml:space="preserve"> = L</w:t>
      </w:r>
      <w:r w:rsidRPr="00A54AF9">
        <w:rPr>
          <w:rFonts w:asciiTheme="majorHAnsi" w:hAnsiTheme="majorHAnsi"/>
          <w:i/>
          <w:color w:val="000000" w:themeColor="text1"/>
          <w:sz w:val="22"/>
          <w:szCs w:val="22"/>
          <w:vertAlign w:val="subscript"/>
          <w:lang w:val="it-IT"/>
        </w:rPr>
        <w:t>i</w:t>
      </w:r>
      <w:r w:rsidRPr="00A54AF9">
        <w:rPr>
          <w:rFonts w:asciiTheme="majorHAnsi" w:hAnsiTheme="majorHAnsi"/>
          <w:i/>
          <w:color w:val="000000"/>
          <w:sz w:val="22"/>
          <w:szCs w:val="22"/>
          <w:lang w:val="it-IT"/>
        </w:rPr>
        <w:t>;</w:t>
      </w:r>
    </w:p>
    <w:p w:rsidR="00A52C9A" w:rsidRPr="00A54AF9" w:rsidRDefault="00A52C9A" w:rsidP="00A52C9A">
      <w:pPr>
        <w:spacing w:after="160" w:line="256" w:lineRule="auto"/>
        <w:ind w:firstLine="284"/>
        <w:rPr>
          <w:rFonts w:asciiTheme="majorHAnsi" w:hAnsiTheme="majorHAnsi"/>
          <w:i/>
          <w:color w:val="000000"/>
          <w:sz w:val="22"/>
          <w:szCs w:val="22"/>
          <w:lang w:val="it-IT"/>
        </w:rPr>
      </w:pPr>
      <w:r w:rsidRPr="00A54AF9">
        <w:rPr>
          <w:rFonts w:asciiTheme="majorHAnsi" w:hAnsiTheme="majorHAnsi"/>
          <w:color w:val="000000"/>
          <w:sz w:val="22"/>
          <w:szCs w:val="22"/>
          <w:lang w:val="it-IT"/>
        </w:rPr>
        <w:t xml:space="preserve">Jei siūlomas objektas neturi nurodyto pranašumo: </w:t>
      </w:r>
      <w:r w:rsidRPr="00A54AF9">
        <w:rPr>
          <w:rFonts w:asciiTheme="majorHAnsi" w:hAnsiTheme="majorHAnsi"/>
          <w:i/>
          <w:color w:val="000000"/>
          <w:sz w:val="22"/>
          <w:szCs w:val="22"/>
          <w:lang w:val="it-IT"/>
        </w:rPr>
        <w:t>T</w:t>
      </w:r>
      <w:r w:rsidRPr="00A54AF9">
        <w:rPr>
          <w:rFonts w:asciiTheme="majorHAnsi" w:hAnsiTheme="majorHAnsi"/>
          <w:i/>
          <w:color w:val="000000"/>
          <w:sz w:val="22"/>
          <w:szCs w:val="22"/>
          <w:vertAlign w:val="subscript"/>
          <w:lang w:val="it-IT"/>
        </w:rPr>
        <w:t>i</w:t>
      </w:r>
      <w:r w:rsidRPr="00A54AF9">
        <w:rPr>
          <w:rFonts w:asciiTheme="majorHAnsi" w:hAnsiTheme="majorHAnsi"/>
          <w:i/>
          <w:color w:val="000000"/>
          <w:sz w:val="22"/>
          <w:szCs w:val="22"/>
          <w:lang w:val="it-IT"/>
        </w:rPr>
        <w:t xml:space="preserve"> = 0.</w:t>
      </w:r>
    </w:p>
    <w:p w:rsidR="00A52C9A" w:rsidRPr="00A54AF9" w:rsidRDefault="00A52C9A" w:rsidP="00A52C9A">
      <w:pPr>
        <w:shd w:val="clear" w:color="auto" w:fill="FFFFFF"/>
        <w:spacing w:after="160" w:line="256" w:lineRule="auto"/>
        <w:ind w:firstLine="284"/>
        <w:jc w:val="both"/>
        <w:rPr>
          <w:rFonts w:asciiTheme="majorHAnsi" w:hAnsiTheme="majorHAnsi"/>
          <w:color w:val="000000" w:themeColor="text1"/>
          <w:sz w:val="22"/>
          <w:szCs w:val="22"/>
          <w:lang w:val="it-IT"/>
        </w:rPr>
      </w:pPr>
      <w:r w:rsidRPr="00A54AF9">
        <w:rPr>
          <w:rFonts w:asciiTheme="majorHAnsi" w:hAnsiTheme="majorHAnsi"/>
          <w:color w:val="000000" w:themeColor="text1"/>
          <w:sz w:val="22"/>
          <w:szCs w:val="22"/>
          <w:lang w:val="it-IT"/>
        </w:rPr>
        <w:t>Techninių pranašumų (T) balai apskaičiuojami visų techninių kriterijų parametrų įvertinimų sumą padauginant iš techninių pranašumų lyginamojo svorio (Y):</w:t>
      </w:r>
    </w:p>
    <w:p w:rsidR="00A52C9A" w:rsidRPr="00A54AF9" w:rsidRDefault="00A52C9A" w:rsidP="00A52C9A">
      <w:pPr>
        <w:spacing w:after="360" w:line="257" w:lineRule="auto"/>
        <w:ind w:firstLine="284"/>
        <w:jc w:val="center"/>
        <w:rPr>
          <w:rFonts w:asciiTheme="majorHAnsi" w:hAnsiTheme="majorHAnsi"/>
          <w:color w:val="000000" w:themeColor="text1"/>
          <w:sz w:val="22"/>
          <w:szCs w:val="22"/>
        </w:rPr>
      </w:pPr>
      <m:oMathPara>
        <m:oMath>
          <m:r>
            <w:rPr>
              <w:rFonts w:ascii="Cambria Math" w:eastAsiaTheme="minorHAnsi" w:hAnsi="Cambria Math"/>
              <w:color w:val="000000" w:themeColor="text1"/>
              <w:sz w:val="22"/>
              <w:szCs w:val="22"/>
            </w:rPr>
            <m:t xml:space="preserve">T= </m:t>
          </m:r>
          <m:d>
            <m:dPr>
              <m:ctrlPr>
                <w:rPr>
                  <w:rFonts w:ascii="Cambria Math" w:eastAsiaTheme="minorHAnsi" w:hAnsi="Cambria Math"/>
                  <w:i/>
                  <w:color w:val="000000" w:themeColor="text1"/>
                  <w:sz w:val="22"/>
                  <w:szCs w:val="22"/>
                </w:rPr>
              </m:ctrlPr>
            </m:dPr>
            <m:e>
              <m:nary>
                <m:naryPr>
                  <m:chr m:val="∑"/>
                  <m:grow m:val="1"/>
                  <m:ctrlPr>
                    <w:rPr>
                      <w:rFonts w:ascii="Cambria Math" w:eastAsiaTheme="minorHAnsi" w:hAnsi="Cambria Math"/>
                      <w:color w:val="000000" w:themeColor="text1"/>
                      <w:sz w:val="22"/>
                      <w:szCs w:val="22"/>
                    </w:rPr>
                  </m:ctrlPr>
                </m:naryPr>
                <m:sub>
                  <m:r>
                    <w:rPr>
                      <w:rFonts w:ascii="Cambria Math" w:eastAsia="Cambria Math" w:hAnsi="Cambria Math"/>
                      <w:color w:val="000000" w:themeColor="text1"/>
                      <w:sz w:val="22"/>
                      <w:szCs w:val="22"/>
                    </w:rPr>
                    <m:t>i=1</m:t>
                  </m:r>
                </m:sub>
                <m:sup>
                  <m:r>
                    <w:rPr>
                      <w:rFonts w:ascii="Cambria Math" w:eastAsiaTheme="minorHAnsi" w:hAnsi="Cambria Math"/>
                      <w:color w:val="000000" w:themeColor="text1"/>
                      <w:sz w:val="22"/>
                      <w:szCs w:val="22"/>
                    </w:rPr>
                    <m:t>4</m:t>
                  </m:r>
                </m:sup>
                <m:e>
                  <m:sSub>
                    <m:sSubPr>
                      <m:ctrlPr>
                        <w:rPr>
                          <w:rFonts w:ascii="Cambria Math" w:eastAsiaTheme="minorHAnsi" w:hAnsi="Cambria Math"/>
                          <w:i/>
                          <w:color w:val="000000" w:themeColor="text1"/>
                          <w:sz w:val="22"/>
                          <w:szCs w:val="22"/>
                        </w:rPr>
                      </m:ctrlPr>
                    </m:sSubPr>
                    <m:e>
                      <m:r>
                        <w:rPr>
                          <w:rFonts w:ascii="Cambria Math" w:eastAsiaTheme="minorHAnsi" w:hAnsi="Cambria Math"/>
                          <w:color w:val="000000" w:themeColor="text1"/>
                          <w:sz w:val="22"/>
                          <w:szCs w:val="22"/>
                        </w:rPr>
                        <m:t>T</m:t>
                      </m:r>
                    </m:e>
                    <m:sub>
                      <m:r>
                        <w:rPr>
                          <w:rFonts w:ascii="Cambria Math" w:eastAsiaTheme="minorHAnsi" w:hAnsi="Cambria Math"/>
                          <w:color w:val="000000" w:themeColor="text1"/>
                          <w:sz w:val="22"/>
                          <w:szCs w:val="22"/>
                        </w:rPr>
                        <m:t>i</m:t>
                      </m:r>
                    </m:sub>
                  </m:sSub>
                </m:e>
              </m:nary>
            </m:e>
          </m:d>
          <m:r>
            <w:rPr>
              <w:rFonts w:ascii="Cambria Math" w:eastAsiaTheme="minorHAnsi" w:hAnsi="Cambria Math"/>
              <w:color w:val="000000" w:themeColor="text1"/>
              <w:sz w:val="22"/>
              <w:szCs w:val="22"/>
            </w:rPr>
            <m:t>×Y</m:t>
          </m:r>
        </m:oMath>
      </m:oMathPara>
    </w:p>
    <w:p w:rsidR="00A52C9A" w:rsidRPr="00A54AF9" w:rsidRDefault="00A52C9A" w:rsidP="00A52C9A">
      <w:pPr>
        <w:pStyle w:val="Skaiiai2lygis"/>
        <w:numPr>
          <w:ilvl w:val="0"/>
          <w:numId w:val="0"/>
        </w:numPr>
        <w:ind w:firstLine="709"/>
        <w:rPr>
          <w:rFonts w:asciiTheme="majorHAnsi" w:eastAsia="Calibri" w:hAnsiTheme="majorHAnsi"/>
          <w:color w:val="000000" w:themeColor="text1"/>
          <w:lang w:val="lt-LT"/>
        </w:rPr>
      </w:pPr>
      <w:r>
        <w:rPr>
          <w:rFonts w:asciiTheme="majorHAnsi" w:hAnsiTheme="majorHAnsi"/>
          <w:color w:val="000000" w:themeColor="text1"/>
          <w:lang w:bidi="hi-IN"/>
        </w:rPr>
        <w:lastRenderedPageBreak/>
        <w:t xml:space="preserve">14.3. </w:t>
      </w:r>
      <w:r w:rsidRPr="00A54AF9">
        <w:rPr>
          <w:rFonts w:asciiTheme="majorHAnsi" w:hAnsiTheme="majorHAnsi"/>
          <w:color w:val="000000" w:themeColor="text1"/>
          <w:lang w:bidi="hi-IN"/>
        </w:rPr>
        <w:t>Laimėjusiu Pasiūlymu bus pripažintas Pasiūlymas, atitinkantis visus Pirkimo dokumentuose nustatytus reikalavimus ir kurio ekonominio naudingumo kriterijus bus didžiausias.</w:t>
      </w:r>
    </w:p>
    <w:p w:rsidR="00A52C9A" w:rsidRPr="00A54AF9" w:rsidRDefault="00A52C9A" w:rsidP="00A52C9A">
      <w:pPr>
        <w:pStyle w:val="Skaiiai2lygis"/>
        <w:numPr>
          <w:ilvl w:val="0"/>
          <w:numId w:val="0"/>
        </w:numPr>
        <w:ind w:firstLine="709"/>
        <w:rPr>
          <w:rFonts w:asciiTheme="majorHAnsi" w:hAnsiTheme="majorHAnsi"/>
          <w:color w:val="000000" w:themeColor="text1"/>
          <w:lang w:val="lt-LT"/>
        </w:rPr>
      </w:pPr>
      <w:r>
        <w:rPr>
          <w:rFonts w:asciiTheme="majorHAnsi" w:eastAsia="Calibri" w:hAnsiTheme="majorHAnsi"/>
          <w:color w:val="000000" w:themeColor="text1"/>
          <w:lang w:val="lt-LT"/>
        </w:rPr>
        <w:t>14.4.</w:t>
      </w:r>
      <w:r w:rsidRPr="00A54AF9">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A54AF9">
        <w:rPr>
          <w:rFonts w:asciiTheme="majorHAnsi" w:hAnsiTheme="majorHAnsi"/>
          <w:color w:val="000000" w:themeColor="text1"/>
          <w:lang w:val="lt-LT"/>
        </w:rPr>
        <w:t xml:space="preserve"> </w:t>
      </w:r>
    </w:p>
    <w:p w:rsidR="00A52C9A" w:rsidRPr="00A54AF9" w:rsidRDefault="00A52C9A" w:rsidP="00A52C9A">
      <w:pPr>
        <w:pStyle w:val="Body2"/>
        <w:ind w:firstLine="709"/>
        <w:rPr>
          <w:rFonts w:asciiTheme="majorHAnsi" w:hAnsiTheme="majorHAnsi" w:cs="Times New Roman"/>
          <w:lang w:val="lt-LT"/>
        </w:rPr>
      </w:pPr>
      <w:r w:rsidRPr="00A54AF9">
        <w:rPr>
          <w:rFonts w:asciiTheme="majorHAnsi" w:hAnsiTheme="majorHAnsi" w:cs="Times New Roman"/>
          <w:lang w:val="lt-LT"/>
        </w:rPr>
        <w:t>14.</w:t>
      </w:r>
      <w:r>
        <w:rPr>
          <w:rFonts w:asciiTheme="majorHAnsi" w:hAnsiTheme="majorHAnsi" w:cs="Times New Roman"/>
          <w:lang w:val="lt-LT"/>
        </w:rPr>
        <w:t>5</w:t>
      </w:r>
      <w:r w:rsidRPr="00A54AF9">
        <w:rPr>
          <w:rFonts w:asciiTheme="majorHAnsi" w:hAnsiTheme="majorHAnsi"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4A4C02" w:rsidRPr="00A52C9A" w:rsidRDefault="004A4C02" w:rsidP="00F5373C">
      <w:pPr>
        <w:pStyle w:val="Body2"/>
        <w:ind w:firstLine="1276"/>
        <w:rPr>
          <w:rFonts w:asciiTheme="majorHAnsi" w:hAnsiTheme="majorHAnsi" w:cs="Times New Roman"/>
          <w:sz w:val="24"/>
          <w:szCs w:val="24"/>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lastRenderedPageBreak/>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3"/>
    <w:p w:rsidR="00A52C9A" w:rsidRPr="00A54AF9" w:rsidRDefault="00A52C9A" w:rsidP="00A52C9A">
      <w:pPr>
        <w:pStyle w:val="NormalWeb"/>
        <w:ind w:firstLine="709"/>
        <w:jc w:val="both"/>
        <w:rPr>
          <w:rFonts w:asciiTheme="majorHAnsi" w:hAnsiTheme="majorHAnsi"/>
          <w:color w:val="000000"/>
          <w:sz w:val="22"/>
          <w:szCs w:val="22"/>
        </w:rPr>
      </w:pPr>
      <w:r>
        <w:rPr>
          <w:rFonts w:asciiTheme="majorHAnsi" w:hAnsiTheme="majorHAnsi"/>
          <w:color w:val="000000"/>
          <w:sz w:val="22"/>
          <w:szCs w:val="22"/>
        </w:rPr>
        <w:t xml:space="preserve">        17.4. M</w:t>
      </w:r>
      <w:r w:rsidRPr="00A21C10">
        <w:rPr>
          <w:rFonts w:asciiTheme="majorHAnsi" w:hAnsiTheme="majorHAnsi"/>
          <w:color w:val="000000"/>
          <w:sz w:val="22"/>
          <w:szCs w:val="22"/>
        </w:rPr>
        <w:t xml:space="preserve">aksimali pradinės sutarties vertė – </w:t>
      </w:r>
      <w:r w:rsidRPr="00A52C9A">
        <w:rPr>
          <w:rFonts w:asciiTheme="majorHAnsi" w:hAnsiTheme="majorHAnsi"/>
          <w:color w:val="000000"/>
          <w:sz w:val="22"/>
          <w:szCs w:val="22"/>
        </w:rPr>
        <w:t xml:space="preserve">76 000,00 </w:t>
      </w:r>
      <w:r w:rsidRPr="00A21C10">
        <w:rPr>
          <w:rFonts w:asciiTheme="majorHAnsi" w:hAnsiTheme="majorHAnsi"/>
          <w:color w:val="000000"/>
          <w:sz w:val="22"/>
          <w:szCs w:val="22"/>
        </w:rPr>
        <w:t xml:space="preserve">Eur su PVM, </w:t>
      </w:r>
      <w:r w:rsidRPr="00A52C9A">
        <w:rPr>
          <w:rFonts w:asciiTheme="majorHAnsi" w:hAnsiTheme="majorHAnsi"/>
          <w:color w:val="000000"/>
          <w:sz w:val="22"/>
          <w:szCs w:val="22"/>
        </w:rPr>
        <w:t xml:space="preserve">72 380,95 </w:t>
      </w:r>
      <w:r w:rsidRPr="00A21C10">
        <w:rPr>
          <w:rFonts w:asciiTheme="majorHAnsi" w:hAnsiTheme="majorHAnsi"/>
          <w:color w:val="000000"/>
          <w:sz w:val="22"/>
          <w:szCs w:val="22"/>
        </w:rPr>
        <w:t>Eur be PVM.</w:t>
      </w:r>
    </w:p>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885EC9"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A52C9A" w:rsidRPr="00A52C9A">
        <w:rPr>
          <w:rFonts w:asciiTheme="majorHAnsi" w:hAnsiTheme="majorHAnsi"/>
          <w:b/>
          <w:sz w:val="22"/>
          <w:szCs w:val="22"/>
        </w:rPr>
        <w:t>REAGENT</w:t>
      </w:r>
      <w:r w:rsidR="00A52C9A">
        <w:rPr>
          <w:rFonts w:asciiTheme="majorHAnsi" w:hAnsiTheme="majorHAnsi"/>
          <w:b/>
          <w:sz w:val="22"/>
          <w:szCs w:val="22"/>
        </w:rPr>
        <w:t>Ų</w:t>
      </w:r>
      <w:r w:rsidR="00A52C9A" w:rsidRPr="00A52C9A">
        <w:rPr>
          <w:rFonts w:asciiTheme="majorHAnsi" w:hAnsiTheme="majorHAnsi"/>
          <w:b/>
          <w:sz w:val="22"/>
          <w:szCs w:val="22"/>
        </w:rPr>
        <w:t xml:space="preserve"> IR PAPILDOM</w:t>
      </w:r>
      <w:r w:rsidR="00A52C9A">
        <w:rPr>
          <w:rFonts w:asciiTheme="majorHAnsi" w:hAnsiTheme="majorHAnsi"/>
          <w:b/>
          <w:sz w:val="22"/>
          <w:szCs w:val="22"/>
        </w:rPr>
        <w:t>Ų</w:t>
      </w:r>
      <w:r w:rsidR="00A52C9A" w:rsidRPr="00A52C9A">
        <w:rPr>
          <w:rFonts w:asciiTheme="majorHAnsi" w:hAnsiTheme="majorHAnsi"/>
          <w:b/>
          <w:sz w:val="22"/>
          <w:szCs w:val="22"/>
        </w:rPr>
        <w:t xml:space="preserve"> PRIEMON</w:t>
      </w:r>
      <w:r w:rsidR="00A52C9A">
        <w:rPr>
          <w:rFonts w:asciiTheme="majorHAnsi" w:hAnsiTheme="majorHAnsi"/>
          <w:b/>
          <w:sz w:val="22"/>
          <w:szCs w:val="22"/>
        </w:rPr>
        <w:t>IŲ</w:t>
      </w:r>
      <w:r w:rsidR="00A52C9A" w:rsidRPr="00A52C9A">
        <w:rPr>
          <w:rFonts w:asciiTheme="majorHAnsi" w:hAnsiTheme="majorHAnsi"/>
          <w:b/>
          <w:sz w:val="22"/>
          <w:szCs w:val="22"/>
        </w:rPr>
        <w:t xml:space="preserve"> GINEKOLOGINIŲ IR NEGINEKOLOGINIŲ ĖMINIŲ IŠ SKYSTOSIOS TERPĖS PARUOŠIMO TYRIMUI KARTU SU ĮRANGOS ĮSIGIJIMU PANAUDOS BŪDU</w:t>
      </w:r>
      <w:r w:rsidR="00A52C9A">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885EC9"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lastRenderedPageBreak/>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885EC9"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A429B" w:rsidRPr="000E5EF0" w:rsidRDefault="008A429B" w:rsidP="00CC03D0">
            <w:pPr>
              <w:ind w:right="-108" w:firstLine="720"/>
              <w:jc w:val="center"/>
              <w:rPr>
                <w:rFonts w:asciiTheme="majorHAnsi" w:hAnsiTheme="majorHAnsi"/>
                <w:b/>
                <w:sz w:val="22"/>
                <w:szCs w:val="22"/>
              </w:rPr>
            </w:pPr>
          </w:p>
          <w:p w:rsidR="00476F8E" w:rsidRPr="000E5EF0" w:rsidRDefault="00476F8E" w:rsidP="00CC03D0">
            <w:pPr>
              <w:ind w:right="-108" w:firstLine="720"/>
              <w:jc w:val="center"/>
              <w:rPr>
                <w:rFonts w:asciiTheme="majorHAnsi" w:hAnsiTheme="majorHAnsi"/>
                <w:b/>
                <w:sz w:val="22"/>
                <w:szCs w:val="22"/>
              </w:rPr>
            </w:pPr>
            <w:r w:rsidRPr="000E5EF0">
              <w:rPr>
                <w:rFonts w:asciiTheme="majorHAnsi" w:hAnsiTheme="majorHAnsi"/>
                <w:b/>
                <w:sz w:val="22"/>
                <w:szCs w:val="22"/>
              </w:rPr>
              <w:t>SIŪLOMA ĮRANGA PANAUDOS SUTARTIES PAGRINDU</w:t>
            </w:r>
          </w:p>
          <w:p w:rsidR="00476F8E" w:rsidRPr="000E5EF0"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285"/>
              <w:gridCol w:w="1993"/>
              <w:gridCol w:w="1426"/>
              <w:gridCol w:w="2246"/>
            </w:tblGrid>
            <w:tr w:rsidR="00476F8E" w:rsidRPr="00F562E4" w:rsidTr="008558E0">
              <w:trPr>
                <w:trHeight w:val="357"/>
              </w:trPr>
              <w:tc>
                <w:tcPr>
                  <w:tcW w:w="713" w:type="dxa"/>
                  <w:shd w:val="clear" w:color="auto" w:fill="auto"/>
                </w:tcPr>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Eil.</w:t>
                  </w:r>
                </w:p>
                <w:p w:rsidR="00476F8E" w:rsidRPr="008A429B" w:rsidRDefault="00476F8E" w:rsidP="00476F8E">
                  <w:pPr>
                    <w:tabs>
                      <w:tab w:val="left" w:pos="1276"/>
                    </w:tabs>
                    <w:rPr>
                      <w:rFonts w:asciiTheme="majorHAnsi" w:hAnsiTheme="majorHAnsi"/>
                      <w:sz w:val="22"/>
                      <w:szCs w:val="22"/>
                      <w:lang w:val="it-IT"/>
                    </w:rPr>
                  </w:pPr>
                  <w:r w:rsidRPr="008A429B">
                    <w:rPr>
                      <w:rFonts w:asciiTheme="majorHAnsi" w:hAnsiTheme="majorHAnsi"/>
                      <w:sz w:val="22"/>
                      <w:szCs w:val="22"/>
                      <w:lang w:val="it-IT"/>
                    </w:rPr>
                    <w:t>Nr.</w:t>
                  </w:r>
                </w:p>
              </w:tc>
              <w:tc>
                <w:tcPr>
                  <w:tcW w:w="3285" w:type="dxa"/>
                  <w:shd w:val="clear" w:color="auto" w:fill="auto"/>
                </w:tcPr>
                <w:p w:rsidR="009D2BE8" w:rsidRDefault="00476F8E" w:rsidP="00476F8E">
                  <w:pPr>
                    <w:tabs>
                      <w:tab w:val="left" w:pos="1276"/>
                    </w:tabs>
                    <w:rPr>
                      <w:rFonts w:asciiTheme="majorHAnsi" w:hAnsiTheme="majorHAnsi"/>
                      <w:i/>
                      <w:sz w:val="22"/>
                      <w:szCs w:val="22"/>
                      <w:lang w:val="it-IT"/>
                    </w:rPr>
                  </w:pPr>
                  <w:r w:rsidRPr="000E5EF0">
                    <w:rPr>
                      <w:rFonts w:asciiTheme="majorHAnsi" w:hAnsiTheme="majorHAnsi"/>
                      <w:sz w:val="22"/>
                      <w:szCs w:val="22"/>
                      <w:lang w:val="it-IT"/>
                    </w:rPr>
                    <w:t>Perduodamo turto (Panaudos) aprašas</w:t>
                  </w:r>
                  <w:r w:rsidR="00F562E4" w:rsidRPr="000E5EF0">
                    <w:rPr>
                      <w:rFonts w:asciiTheme="majorHAnsi" w:hAnsiTheme="majorHAnsi"/>
                      <w:sz w:val="22"/>
                      <w:szCs w:val="22"/>
                      <w:lang w:val="it-IT"/>
                    </w:rPr>
                    <w:t xml:space="preserve"> (gamintojas ir </w:t>
                  </w:r>
                  <w:r w:rsidR="00F562E4" w:rsidRPr="000E5EF0">
                    <w:rPr>
                      <w:rFonts w:asciiTheme="majorHAnsi" w:hAnsiTheme="majorHAnsi"/>
                      <w:i/>
                      <w:sz w:val="22"/>
                      <w:szCs w:val="22"/>
                      <w:lang w:val="it-IT"/>
                    </w:rPr>
                    <w:t>modelis)</w:t>
                  </w:r>
                </w:p>
                <w:p w:rsidR="00476F8E" w:rsidRPr="009D2BE8" w:rsidRDefault="009D2BE8" w:rsidP="00476F8E">
                  <w:pPr>
                    <w:tabs>
                      <w:tab w:val="left" w:pos="1276"/>
                    </w:tabs>
                    <w:rPr>
                      <w:rFonts w:asciiTheme="majorHAnsi" w:hAnsiTheme="majorHAnsi"/>
                      <w:i/>
                      <w:sz w:val="22"/>
                      <w:szCs w:val="22"/>
                      <w:lang w:val="it-IT"/>
                    </w:rPr>
                  </w:pPr>
                  <w:r w:rsidRPr="009D2BE8">
                    <w:rPr>
                      <w:rFonts w:asciiTheme="majorHAnsi" w:hAnsiTheme="majorHAnsi"/>
                      <w:i/>
                      <w:color w:val="FF0000"/>
                      <w:sz w:val="22"/>
                      <w:szCs w:val="22"/>
                      <w:lang w:val="it-IT"/>
                    </w:rPr>
                    <w:t xml:space="preserve">(būtina nurodyti </w:t>
                  </w:r>
                  <w:r w:rsidR="008558E0" w:rsidRPr="008558E0">
                    <w:rPr>
                      <w:rFonts w:asciiTheme="majorHAnsi" w:hAnsiTheme="majorHAnsi"/>
                      <w:i/>
                      <w:color w:val="FF0000"/>
                      <w:sz w:val="22"/>
                      <w:szCs w:val="22"/>
                      <w:lang w:val="it-IT"/>
                    </w:rPr>
                    <w:t xml:space="preserve">nepertraukiamo maitinimo šaltinio </w:t>
                  </w:r>
                  <w:r w:rsidRPr="009D2BE8">
                    <w:rPr>
                      <w:rFonts w:asciiTheme="majorHAnsi" w:hAnsiTheme="majorHAnsi"/>
                      <w:i/>
                      <w:color w:val="FF0000"/>
                      <w:sz w:val="22"/>
                      <w:szCs w:val="22"/>
                      <w:lang w:val="it-IT"/>
                    </w:rPr>
                    <w:t>gamintojo pavadinimą ir kilmės šalį)</w:t>
                  </w:r>
                  <w:r w:rsidR="003A43C4" w:rsidRPr="009D2BE8">
                    <w:rPr>
                      <w:rFonts w:asciiTheme="majorHAnsi" w:hAnsiTheme="majorHAnsi"/>
                      <w:i/>
                      <w:color w:val="FF0000"/>
                      <w:sz w:val="22"/>
                      <w:szCs w:val="22"/>
                      <w:lang w:val="it-IT"/>
                    </w:rPr>
                    <w:t xml:space="preserve"> </w:t>
                  </w:r>
                </w:p>
              </w:tc>
              <w:tc>
                <w:tcPr>
                  <w:tcW w:w="1993" w:type="dxa"/>
                  <w:shd w:val="clear" w:color="auto" w:fill="auto"/>
                </w:tcPr>
                <w:p w:rsidR="00476F8E"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p w:rsidR="00F91682" w:rsidRDefault="00F91682" w:rsidP="00476F8E">
                  <w:pPr>
                    <w:tabs>
                      <w:tab w:val="left" w:pos="1276"/>
                    </w:tabs>
                    <w:rPr>
                      <w:rFonts w:asciiTheme="majorHAnsi" w:hAnsiTheme="majorHAnsi"/>
                      <w:sz w:val="22"/>
                      <w:szCs w:val="22"/>
                    </w:rPr>
                  </w:pPr>
                </w:p>
                <w:p w:rsidR="00F91682" w:rsidRPr="00F91682" w:rsidRDefault="00F91682"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8558E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285"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993"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3A43C4" w:rsidRPr="00F562E4" w:rsidTr="008558E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285"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993"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3A43C4" w:rsidRPr="00F562E4" w:rsidTr="008558E0">
              <w:trPr>
                <w:trHeight w:val="178"/>
              </w:trPr>
              <w:tc>
                <w:tcPr>
                  <w:tcW w:w="713" w:type="dxa"/>
                  <w:shd w:val="clear" w:color="auto" w:fill="auto"/>
                </w:tcPr>
                <w:p w:rsidR="003A43C4" w:rsidRPr="00F562E4" w:rsidRDefault="003A43C4" w:rsidP="003A43C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Theme="majorHAnsi" w:hAnsiTheme="majorHAnsi"/>
                      <w:sz w:val="22"/>
                      <w:szCs w:val="22"/>
                    </w:rPr>
                  </w:pPr>
                  <w:r>
                    <w:rPr>
                      <w:rFonts w:asciiTheme="majorHAnsi" w:hAnsiTheme="majorHAnsi"/>
                      <w:sz w:val="22"/>
                      <w:szCs w:val="22"/>
                    </w:rPr>
                    <w:t>….</w:t>
                  </w:r>
                </w:p>
              </w:tc>
              <w:tc>
                <w:tcPr>
                  <w:tcW w:w="3285"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993" w:type="dxa"/>
                  <w:shd w:val="clear" w:color="auto" w:fill="auto"/>
                </w:tcPr>
                <w:p w:rsidR="003A43C4" w:rsidRPr="00F562E4" w:rsidRDefault="003A43C4" w:rsidP="00476F8E">
                  <w:pPr>
                    <w:tabs>
                      <w:tab w:val="left" w:pos="1276"/>
                    </w:tabs>
                    <w:rPr>
                      <w:rFonts w:asciiTheme="majorHAnsi" w:hAnsiTheme="majorHAnsi"/>
                      <w:sz w:val="22"/>
                      <w:szCs w:val="22"/>
                    </w:rPr>
                  </w:pPr>
                </w:p>
              </w:tc>
              <w:tc>
                <w:tcPr>
                  <w:tcW w:w="1426" w:type="dxa"/>
                  <w:shd w:val="clear" w:color="auto" w:fill="auto"/>
                </w:tcPr>
                <w:p w:rsidR="003A43C4" w:rsidRPr="00F562E4" w:rsidRDefault="003A43C4" w:rsidP="00476F8E">
                  <w:pPr>
                    <w:tabs>
                      <w:tab w:val="left" w:pos="1276"/>
                    </w:tabs>
                    <w:rPr>
                      <w:rFonts w:asciiTheme="majorHAnsi" w:hAnsiTheme="majorHAnsi"/>
                      <w:sz w:val="22"/>
                      <w:szCs w:val="22"/>
                    </w:rPr>
                  </w:pPr>
                </w:p>
              </w:tc>
              <w:tc>
                <w:tcPr>
                  <w:tcW w:w="2246" w:type="dxa"/>
                  <w:shd w:val="clear" w:color="auto" w:fill="auto"/>
                </w:tcPr>
                <w:p w:rsidR="003A43C4" w:rsidRPr="00F562E4" w:rsidRDefault="003A43C4"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B347C5" w:rsidP="002A39EE">
            <w:pPr>
              <w:ind w:right="318" w:firstLine="720"/>
              <w:jc w:val="right"/>
              <w:rPr>
                <w:rFonts w:asciiTheme="majorHAnsi" w:hAnsiTheme="majorHAnsi"/>
                <w:sz w:val="22"/>
                <w:szCs w:val="22"/>
              </w:rPr>
            </w:pPr>
            <w:r>
              <w:rPr>
                <w:rFonts w:asciiTheme="majorHAnsi" w:hAnsiTheme="majorHAnsi"/>
                <w:sz w:val="22"/>
                <w:szCs w:val="22"/>
              </w:rPr>
              <w:t xml:space="preserve">6 </w:t>
            </w:r>
            <w:r w:rsidR="00476F8E" w:rsidRPr="00F562E4">
              <w:rPr>
                <w:rFonts w:asciiTheme="majorHAnsi" w:hAnsiTheme="majorHAnsi"/>
                <w:sz w:val="22"/>
                <w:szCs w:val="22"/>
              </w:rPr>
              <w:t>lentelė</w:t>
            </w:r>
          </w:p>
          <w:p w:rsidR="008558E0" w:rsidRDefault="008558E0" w:rsidP="008558E0">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8558E0" w:rsidRDefault="008558E0" w:rsidP="008558E0">
            <w:pPr>
              <w:ind w:right="-108" w:firstLine="720"/>
              <w:jc w:val="center"/>
              <w:rPr>
                <w:rFonts w:asciiTheme="majorHAnsi" w:hAnsiTheme="majorHAnsi"/>
                <w:b/>
                <w:sz w:val="22"/>
                <w:szCs w:val="22"/>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3687"/>
              <w:gridCol w:w="1702"/>
              <w:gridCol w:w="1984"/>
              <w:gridCol w:w="1705"/>
            </w:tblGrid>
            <w:tr w:rsidR="008558E0" w:rsidRPr="00A54AF9" w:rsidTr="008558E0">
              <w:trPr>
                <w:trHeight w:val="534"/>
              </w:trPr>
              <w:tc>
                <w:tcPr>
                  <w:tcW w:w="305" w:type="pct"/>
                  <w:vMerge w:val="restart"/>
                  <w:shd w:val="clear" w:color="auto" w:fill="auto"/>
                  <w:vAlign w:val="center"/>
                </w:tcPr>
                <w:p w:rsidR="008558E0" w:rsidRPr="00A54AF9" w:rsidRDefault="008558E0" w:rsidP="008558E0">
                  <w:pPr>
                    <w:jc w:val="center"/>
                    <w:rPr>
                      <w:rFonts w:asciiTheme="majorHAnsi" w:hAnsiTheme="majorHAnsi"/>
                      <w:bCs/>
                      <w:sz w:val="22"/>
                      <w:szCs w:val="22"/>
                    </w:rPr>
                  </w:pPr>
                  <w:r w:rsidRPr="00A54AF9">
                    <w:rPr>
                      <w:rFonts w:asciiTheme="majorHAnsi" w:hAnsiTheme="majorHAnsi"/>
                      <w:b/>
                      <w:sz w:val="22"/>
                      <w:szCs w:val="22"/>
                    </w:rPr>
                    <w:t>Eil. Nr.</w:t>
                  </w:r>
                </w:p>
              </w:tc>
              <w:tc>
                <w:tcPr>
                  <w:tcW w:w="1907" w:type="pct"/>
                  <w:vMerge w:val="restart"/>
                  <w:shd w:val="clear" w:color="auto" w:fill="auto"/>
                  <w:vAlign w:val="center"/>
                </w:tcPr>
                <w:p w:rsidR="008558E0" w:rsidRPr="00A54AF9" w:rsidRDefault="008558E0" w:rsidP="008558E0">
                  <w:pPr>
                    <w:jc w:val="center"/>
                    <w:rPr>
                      <w:rFonts w:asciiTheme="majorHAnsi" w:hAnsiTheme="majorHAnsi"/>
                      <w:bCs/>
                      <w:sz w:val="22"/>
                      <w:szCs w:val="22"/>
                    </w:rPr>
                  </w:pPr>
                  <w:r w:rsidRPr="00A54AF9">
                    <w:rPr>
                      <w:rFonts w:asciiTheme="majorHAnsi" w:hAnsiTheme="majorHAnsi"/>
                      <w:b/>
                      <w:sz w:val="22"/>
                      <w:szCs w:val="22"/>
                    </w:rPr>
                    <w:t>Kriterijaus (T) parametrai</w:t>
                  </w:r>
                </w:p>
              </w:tc>
              <w:tc>
                <w:tcPr>
                  <w:tcW w:w="2788" w:type="pct"/>
                  <w:gridSpan w:val="3"/>
                  <w:vAlign w:val="center"/>
                </w:tcPr>
                <w:p w:rsidR="008558E0" w:rsidRPr="00A54AF9" w:rsidRDefault="008558E0" w:rsidP="008558E0">
                  <w:pPr>
                    <w:widowControl w:val="0"/>
                    <w:suppressAutoHyphens/>
                    <w:snapToGrid w:val="0"/>
                    <w:jc w:val="center"/>
                    <w:rPr>
                      <w:rFonts w:asciiTheme="majorHAnsi" w:eastAsia="Andale Sans UI" w:hAnsiTheme="majorHAnsi"/>
                      <w:sz w:val="22"/>
                      <w:szCs w:val="22"/>
                      <w:lang w:eastAsia="zh-CN"/>
                    </w:rPr>
                  </w:pPr>
                  <w:r w:rsidRPr="00A54AF9">
                    <w:rPr>
                      <w:rFonts w:asciiTheme="majorHAnsi" w:eastAsia="Andale Sans UI" w:hAnsiTheme="majorHAnsi"/>
                      <w:b/>
                      <w:bCs/>
                      <w:color w:val="000000"/>
                      <w:sz w:val="22"/>
                      <w:szCs w:val="22"/>
                      <w:lang w:eastAsia="zh-CN"/>
                    </w:rPr>
                    <w:t>Atitikimas kokybiniams reikalavimams.</w:t>
                  </w:r>
                </w:p>
                <w:p w:rsidR="008558E0" w:rsidRPr="00A54AF9" w:rsidRDefault="008558E0" w:rsidP="008558E0">
                  <w:pPr>
                    <w:jc w:val="center"/>
                    <w:rPr>
                      <w:rFonts w:asciiTheme="majorHAnsi" w:hAnsiTheme="majorHAnsi"/>
                      <w:b/>
                      <w:sz w:val="22"/>
                      <w:szCs w:val="22"/>
                    </w:rPr>
                  </w:pPr>
                  <w:r w:rsidRPr="00A54AF9">
                    <w:rPr>
                      <w:rFonts w:asciiTheme="majorHAnsi" w:eastAsia="Andale Sans UI" w:hAnsiTheme="majorHAnsi"/>
                      <w:b/>
                      <w:bCs/>
                      <w:color w:val="000000"/>
                      <w:sz w:val="22"/>
                      <w:szCs w:val="22"/>
                      <w:lang w:eastAsia="zh-CN"/>
                    </w:rPr>
                    <w:t>Nuoroda į pridedamus, prekės atitikimą charakteristikoms įrodančius, dokumentus (bukletų, techninių aprašų puslapių Nr.)</w:t>
                  </w:r>
                </w:p>
              </w:tc>
            </w:tr>
            <w:tr w:rsidR="008558E0" w:rsidRPr="00A54AF9" w:rsidTr="008558E0">
              <w:trPr>
                <w:trHeight w:val="84"/>
              </w:trPr>
              <w:tc>
                <w:tcPr>
                  <w:tcW w:w="305" w:type="pct"/>
                  <w:vMerge/>
                  <w:shd w:val="clear" w:color="auto" w:fill="auto"/>
                  <w:vAlign w:val="center"/>
                </w:tcPr>
                <w:p w:rsidR="008558E0" w:rsidRPr="00A54AF9" w:rsidRDefault="008558E0" w:rsidP="008558E0">
                  <w:pPr>
                    <w:jc w:val="center"/>
                    <w:rPr>
                      <w:rFonts w:asciiTheme="majorHAnsi" w:hAnsiTheme="majorHAnsi"/>
                      <w:b/>
                      <w:sz w:val="22"/>
                      <w:szCs w:val="22"/>
                    </w:rPr>
                  </w:pPr>
                </w:p>
              </w:tc>
              <w:tc>
                <w:tcPr>
                  <w:tcW w:w="1907" w:type="pct"/>
                  <w:vMerge/>
                  <w:shd w:val="clear" w:color="auto" w:fill="auto"/>
                  <w:vAlign w:val="center"/>
                </w:tcPr>
                <w:p w:rsidR="008558E0" w:rsidRPr="00A54AF9" w:rsidRDefault="008558E0" w:rsidP="008558E0">
                  <w:pPr>
                    <w:jc w:val="center"/>
                    <w:rPr>
                      <w:rFonts w:asciiTheme="majorHAnsi" w:hAnsiTheme="majorHAnsi"/>
                      <w:b/>
                      <w:sz w:val="22"/>
                      <w:szCs w:val="22"/>
                    </w:rPr>
                  </w:pPr>
                </w:p>
              </w:tc>
              <w:tc>
                <w:tcPr>
                  <w:tcW w:w="880" w:type="pct"/>
                  <w:vMerge w:val="restart"/>
                  <w:vAlign w:val="center"/>
                </w:tcPr>
                <w:p w:rsidR="008558E0" w:rsidRPr="00A54AF9" w:rsidRDefault="008558E0" w:rsidP="008558E0">
                  <w:pPr>
                    <w:jc w:val="center"/>
                    <w:rPr>
                      <w:rFonts w:asciiTheme="majorHAnsi" w:hAnsiTheme="majorHAnsi"/>
                      <w:sz w:val="22"/>
                      <w:szCs w:val="22"/>
                    </w:rPr>
                  </w:pPr>
                  <w:r w:rsidRPr="00A54AF9">
                    <w:rPr>
                      <w:rFonts w:asciiTheme="majorHAnsi" w:hAnsiTheme="majorHAnsi"/>
                      <w:sz w:val="22"/>
                      <w:szCs w:val="22"/>
                    </w:rPr>
                    <w:t xml:space="preserve">Siūlomos prekės </w:t>
                  </w:r>
                  <w:r w:rsidRPr="00A54AF9">
                    <w:rPr>
                      <w:rFonts w:asciiTheme="majorHAnsi" w:hAnsiTheme="majorHAnsi"/>
                      <w:sz w:val="22"/>
                      <w:szCs w:val="22"/>
                    </w:rPr>
                    <w:lastRenderedPageBreak/>
                    <w:t>techniniai parametrai</w:t>
                  </w:r>
                </w:p>
              </w:tc>
              <w:tc>
                <w:tcPr>
                  <w:tcW w:w="1908" w:type="pct"/>
                  <w:gridSpan w:val="2"/>
                </w:tcPr>
                <w:p w:rsidR="008558E0" w:rsidRPr="00A54AF9" w:rsidRDefault="008558E0" w:rsidP="008558E0">
                  <w:pPr>
                    <w:jc w:val="center"/>
                    <w:rPr>
                      <w:rFonts w:asciiTheme="majorHAnsi" w:hAnsiTheme="majorHAnsi"/>
                      <w:sz w:val="22"/>
                      <w:szCs w:val="22"/>
                    </w:rPr>
                  </w:pPr>
                  <w:r w:rsidRPr="00A54AF9">
                    <w:rPr>
                      <w:rFonts w:asciiTheme="majorHAnsi" w:hAnsiTheme="majorHAnsi"/>
                      <w:bCs/>
                      <w:sz w:val="22"/>
                      <w:szCs w:val="22"/>
                    </w:rPr>
                    <w:lastRenderedPageBreak/>
                    <w:t>Pasiūlymo dokumentai, patvirtinantys siūlomos prekės techninius parametrus</w:t>
                  </w:r>
                </w:p>
              </w:tc>
            </w:tr>
            <w:tr w:rsidR="008558E0" w:rsidRPr="00A54AF9" w:rsidTr="008558E0">
              <w:trPr>
                <w:trHeight w:val="84"/>
              </w:trPr>
              <w:tc>
                <w:tcPr>
                  <w:tcW w:w="305" w:type="pct"/>
                  <w:vMerge/>
                  <w:shd w:val="clear" w:color="auto" w:fill="auto"/>
                  <w:vAlign w:val="center"/>
                </w:tcPr>
                <w:p w:rsidR="008558E0" w:rsidRPr="00A54AF9" w:rsidRDefault="008558E0" w:rsidP="008558E0">
                  <w:pPr>
                    <w:jc w:val="center"/>
                    <w:rPr>
                      <w:rFonts w:asciiTheme="majorHAnsi" w:hAnsiTheme="majorHAnsi"/>
                      <w:b/>
                      <w:sz w:val="22"/>
                      <w:szCs w:val="22"/>
                    </w:rPr>
                  </w:pPr>
                </w:p>
              </w:tc>
              <w:tc>
                <w:tcPr>
                  <w:tcW w:w="1907" w:type="pct"/>
                  <w:vMerge/>
                  <w:shd w:val="clear" w:color="auto" w:fill="auto"/>
                  <w:vAlign w:val="center"/>
                </w:tcPr>
                <w:p w:rsidR="008558E0" w:rsidRPr="00A54AF9" w:rsidRDefault="008558E0" w:rsidP="008558E0">
                  <w:pPr>
                    <w:jc w:val="center"/>
                    <w:rPr>
                      <w:rFonts w:asciiTheme="majorHAnsi" w:hAnsiTheme="majorHAnsi"/>
                      <w:b/>
                      <w:sz w:val="22"/>
                      <w:szCs w:val="22"/>
                    </w:rPr>
                  </w:pPr>
                </w:p>
              </w:tc>
              <w:tc>
                <w:tcPr>
                  <w:tcW w:w="880" w:type="pct"/>
                  <w:vMerge/>
                </w:tcPr>
                <w:p w:rsidR="008558E0" w:rsidRPr="00A54AF9" w:rsidRDefault="008558E0" w:rsidP="008558E0">
                  <w:pPr>
                    <w:jc w:val="center"/>
                    <w:rPr>
                      <w:rFonts w:asciiTheme="majorHAnsi" w:hAnsiTheme="majorHAnsi"/>
                      <w:sz w:val="22"/>
                      <w:szCs w:val="22"/>
                    </w:rPr>
                  </w:pPr>
                </w:p>
              </w:tc>
              <w:tc>
                <w:tcPr>
                  <w:tcW w:w="1026" w:type="pct"/>
                  <w:shd w:val="clear" w:color="auto" w:fill="auto"/>
                  <w:vAlign w:val="center"/>
                </w:tcPr>
                <w:p w:rsidR="008558E0" w:rsidRPr="00A54AF9" w:rsidRDefault="008558E0" w:rsidP="008558E0">
                  <w:pPr>
                    <w:jc w:val="center"/>
                    <w:rPr>
                      <w:rFonts w:asciiTheme="majorHAnsi" w:hAnsiTheme="majorHAnsi"/>
                      <w:sz w:val="22"/>
                      <w:szCs w:val="22"/>
                    </w:rPr>
                  </w:pPr>
                  <w:r w:rsidRPr="00A54AF9">
                    <w:rPr>
                      <w:rFonts w:asciiTheme="majorHAnsi" w:hAnsiTheme="majorHAnsi"/>
                      <w:bCs/>
                      <w:sz w:val="22"/>
                      <w:szCs w:val="22"/>
                    </w:rPr>
                    <w:t>Dokumento pavadinimas</w:t>
                  </w:r>
                </w:p>
              </w:tc>
              <w:tc>
                <w:tcPr>
                  <w:tcW w:w="882" w:type="pct"/>
                  <w:shd w:val="clear" w:color="auto" w:fill="auto"/>
                </w:tcPr>
                <w:p w:rsidR="008558E0" w:rsidRPr="00A54AF9" w:rsidRDefault="008558E0" w:rsidP="008558E0">
                  <w:pPr>
                    <w:jc w:val="center"/>
                    <w:rPr>
                      <w:rFonts w:asciiTheme="majorHAnsi" w:hAnsiTheme="majorHAnsi"/>
                      <w:b/>
                      <w:sz w:val="22"/>
                      <w:szCs w:val="22"/>
                    </w:rPr>
                  </w:pPr>
                  <w:r w:rsidRPr="00A54AF9">
                    <w:rPr>
                      <w:rFonts w:asciiTheme="majorHAnsi" w:hAnsiTheme="majorHAnsi"/>
                      <w:bCs/>
                      <w:sz w:val="22"/>
                      <w:szCs w:val="22"/>
                    </w:rPr>
                    <w:t xml:space="preserve">Dokumento </w:t>
                  </w:r>
                  <w:proofErr w:type="gramStart"/>
                  <w:r w:rsidRPr="00A54AF9">
                    <w:rPr>
                      <w:rFonts w:asciiTheme="majorHAnsi" w:hAnsiTheme="majorHAnsi"/>
                      <w:bCs/>
                      <w:sz w:val="22"/>
                      <w:szCs w:val="22"/>
                    </w:rPr>
                    <w:t>puslapio  numeris</w:t>
                  </w:r>
                  <w:proofErr w:type="gramEnd"/>
                </w:p>
              </w:tc>
            </w:tr>
            <w:tr w:rsidR="008558E0" w:rsidRPr="00A54AF9" w:rsidTr="008558E0">
              <w:tblPrEx>
                <w:tblLook w:val="0000" w:firstRow="0" w:lastRow="0" w:firstColumn="0" w:lastColumn="0" w:noHBand="0" w:noVBand="0"/>
              </w:tblPrEx>
              <w:tc>
                <w:tcPr>
                  <w:tcW w:w="305" w:type="pct"/>
                  <w:shd w:val="clear" w:color="auto" w:fill="auto"/>
                  <w:vAlign w:val="center"/>
                </w:tcPr>
                <w:p w:rsidR="008558E0" w:rsidRPr="00A54AF9" w:rsidRDefault="008558E0" w:rsidP="008558E0">
                  <w:pPr>
                    <w:jc w:val="center"/>
                    <w:rPr>
                      <w:rFonts w:asciiTheme="majorHAnsi" w:hAnsiTheme="majorHAnsi"/>
                      <w:sz w:val="22"/>
                      <w:szCs w:val="22"/>
                    </w:rPr>
                  </w:pPr>
                  <w:r w:rsidRPr="00A54AF9">
                    <w:rPr>
                      <w:rFonts w:asciiTheme="majorHAnsi" w:hAnsiTheme="majorHAnsi"/>
                      <w:sz w:val="22"/>
                      <w:szCs w:val="22"/>
                    </w:rPr>
                    <w:t>1</w:t>
                  </w:r>
                </w:p>
              </w:tc>
              <w:tc>
                <w:tcPr>
                  <w:tcW w:w="1907" w:type="pct"/>
                </w:tcPr>
                <w:p w:rsidR="008558E0" w:rsidRPr="008558E0" w:rsidRDefault="008558E0" w:rsidP="008558E0">
                  <w:pPr>
                    <w:rPr>
                      <w:rFonts w:asciiTheme="majorHAnsi" w:hAnsiTheme="majorHAnsi"/>
                      <w:color w:val="000000" w:themeColor="text1"/>
                      <w:sz w:val="22"/>
                    </w:rPr>
                  </w:pPr>
                  <w:r w:rsidRPr="008558E0">
                    <w:rPr>
                      <w:rFonts w:asciiTheme="majorHAnsi" w:hAnsiTheme="majorHAnsi"/>
                      <w:sz w:val="22"/>
                    </w:rPr>
                    <w:t xml:space="preserve">Pilnai automatinis </w:t>
                  </w:r>
                  <w:r w:rsidRPr="008558E0">
                    <w:rPr>
                      <w:rFonts w:asciiTheme="majorHAnsi" w:hAnsiTheme="majorHAnsi"/>
                      <w:color w:val="000000" w:themeColor="text1"/>
                      <w:sz w:val="22"/>
                    </w:rPr>
                    <w:t>procesas nuo ląstelių paruošimo iki tepinėlio užfiksavimo vyksta uždaroje sistemoje.</w:t>
                  </w:r>
                </w:p>
              </w:tc>
              <w:tc>
                <w:tcPr>
                  <w:tcW w:w="880"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c>
                <w:tcPr>
                  <w:tcW w:w="1026"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c>
                <w:tcPr>
                  <w:tcW w:w="882"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r>
            <w:tr w:rsidR="008558E0" w:rsidRPr="00A54AF9" w:rsidTr="008558E0">
              <w:tblPrEx>
                <w:tblLook w:val="0000" w:firstRow="0" w:lastRow="0" w:firstColumn="0" w:lastColumn="0" w:noHBand="0" w:noVBand="0"/>
              </w:tblPrEx>
              <w:tc>
                <w:tcPr>
                  <w:tcW w:w="305" w:type="pct"/>
                  <w:shd w:val="clear" w:color="auto" w:fill="auto"/>
                  <w:vAlign w:val="center"/>
                </w:tcPr>
                <w:p w:rsidR="008558E0" w:rsidRPr="00A54AF9" w:rsidRDefault="008558E0" w:rsidP="008558E0">
                  <w:pPr>
                    <w:jc w:val="center"/>
                    <w:rPr>
                      <w:rFonts w:asciiTheme="majorHAnsi" w:hAnsiTheme="majorHAnsi"/>
                      <w:color w:val="000000"/>
                      <w:sz w:val="22"/>
                      <w:szCs w:val="22"/>
                    </w:rPr>
                  </w:pPr>
                  <w:r w:rsidRPr="00A54AF9">
                    <w:rPr>
                      <w:rFonts w:asciiTheme="majorHAnsi" w:hAnsiTheme="majorHAnsi"/>
                      <w:color w:val="000000"/>
                      <w:sz w:val="22"/>
                      <w:szCs w:val="22"/>
                    </w:rPr>
                    <w:t>2</w:t>
                  </w:r>
                </w:p>
              </w:tc>
              <w:tc>
                <w:tcPr>
                  <w:tcW w:w="1907" w:type="pct"/>
                </w:tcPr>
                <w:p w:rsidR="008558E0" w:rsidRPr="008558E0" w:rsidRDefault="008558E0" w:rsidP="008558E0">
                  <w:pPr>
                    <w:rPr>
                      <w:rFonts w:asciiTheme="majorHAnsi" w:hAnsiTheme="majorHAnsi"/>
                      <w:color w:val="000000" w:themeColor="text1"/>
                      <w:sz w:val="22"/>
                      <w:lang w:val="it-IT"/>
                    </w:rPr>
                  </w:pPr>
                  <w:r w:rsidRPr="008558E0">
                    <w:rPr>
                      <w:rFonts w:asciiTheme="majorHAnsi" w:hAnsiTheme="majorHAnsi"/>
                      <w:color w:val="000000" w:themeColor="text1"/>
                      <w:sz w:val="22"/>
                      <w:lang w:val="it-IT"/>
                    </w:rPr>
                    <w:t>Sistema automatiškai sutikrina to paties mėginio indelio ir stiklelio atitikimą.</w:t>
                  </w:r>
                </w:p>
              </w:tc>
              <w:tc>
                <w:tcPr>
                  <w:tcW w:w="880"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c>
                <w:tcPr>
                  <w:tcW w:w="1026"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c>
                <w:tcPr>
                  <w:tcW w:w="882" w:type="pct"/>
                  <w:shd w:val="clear" w:color="auto" w:fill="auto"/>
                  <w:vAlign w:val="center"/>
                </w:tcPr>
                <w:p w:rsidR="008558E0" w:rsidRPr="00A54AF9" w:rsidRDefault="008558E0" w:rsidP="008558E0">
                  <w:pPr>
                    <w:jc w:val="center"/>
                    <w:rPr>
                      <w:rFonts w:ascii="Cambria" w:hAnsi="Cambria"/>
                      <w:color w:val="FF0000"/>
                      <w:sz w:val="22"/>
                      <w:szCs w:val="22"/>
                    </w:rPr>
                  </w:pPr>
                  <w:r w:rsidRPr="00A54AF9">
                    <w:rPr>
                      <w:rFonts w:ascii="Cambria" w:hAnsi="Cambria"/>
                      <w:i/>
                      <w:color w:val="FF0000"/>
                      <w:sz w:val="22"/>
                      <w:szCs w:val="22"/>
                    </w:rPr>
                    <w:t>įrašyti</w:t>
                  </w:r>
                </w:p>
              </w:tc>
            </w:tr>
            <w:tr w:rsidR="008558E0" w:rsidRPr="008558E0" w:rsidTr="008558E0">
              <w:tblPrEx>
                <w:tblLook w:val="0000" w:firstRow="0" w:lastRow="0" w:firstColumn="0" w:lastColumn="0" w:noHBand="0" w:noVBand="0"/>
              </w:tblPrEx>
              <w:tc>
                <w:tcPr>
                  <w:tcW w:w="305" w:type="pct"/>
                  <w:shd w:val="clear" w:color="auto" w:fill="auto"/>
                  <w:vAlign w:val="center"/>
                </w:tcPr>
                <w:p w:rsidR="008558E0" w:rsidRPr="00A54AF9" w:rsidRDefault="008558E0" w:rsidP="008558E0">
                  <w:pPr>
                    <w:jc w:val="center"/>
                    <w:rPr>
                      <w:rFonts w:asciiTheme="majorHAnsi" w:hAnsiTheme="majorHAnsi"/>
                      <w:color w:val="000000"/>
                      <w:sz w:val="22"/>
                      <w:szCs w:val="22"/>
                    </w:rPr>
                  </w:pPr>
                  <w:r w:rsidRPr="00A54AF9">
                    <w:rPr>
                      <w:rFonts w:asciiTheme="majorHAnsi" w:hAnsiTheme="majorHAnsi"/>
                      <w:color w:val="000000"/>
                      <w:sz w:val="22"/>
                      <w:szCs w:val="22"/>
                    </w:rPr>
                    <w:t>3</w:t>
                  </w:r>
                </w:p>
              </w:tc>
              <w:tc>
                <w:tcPr>
                  <w:tcW w:w="1907" w:type="pct"/>
                </w:tcPr>
                <w:p w:rsidR="008558E0" w:rsidRPr="008558E0" w:rsidRDefault="008558E0" w:rsidP="008558E0">
                  <w:pPr>
                    <w:rPr>
                      <w:rFonts w:asciiTheme="majorHAnsi" w:hAnsiTheme="majorHAnsi"/>
                      <w:color w:val="000000" w:themeColor="text1"/>
                      <w:sz w:val="22"/>
                    </w:rPr>
                  </w:pPr>
                  <w:r w:rsidRPr="008558E0">
                    <w:rPr>
                      <w:rFonts w:asciiTheme="majorHAnsi" w:hAnsiTheme="majorHAnsi"/>
                      <w:color w:val="000000" w:themeColor="text1"/>
                      <w:sz w:val="22"/>
                    </w:rPr>
                    <w:t>Sistema pilnai automatiškai atlieka visus mėginio ir stiklelio paruošimo etapus – t.y. automatiškai supurto mėginio indelį, atsuka dangtelį, paruošia vienasluoksnį tepinėlį, perkelia ant objektinio stiklelio, užfiksuoja ir vėl užsuka mėginio dangtelį.</w:t>
                  </w:r>
                </w:p>
              </w:tc>
              <w:tc>
                <w:tcPr>
                  <w:tcW w:w="880"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c>
                <w:tcPr>
                  <w:tcW w:w="1026"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c>
                <w:tcPr>
                  <w:tcW w:w="882"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r>
            <w:tr w:rsidR="008558E0" w:rsidRPr="00885EC9" w:rsidTr="008558E0">
              <w:tblPrEx>
                <w:tblLook w:val="0000" w:firstRow="0" w:lastRow="0" w:firstColumn="0" w:lastColumn="0" w:noHBand="0" w:noVBand="0"/>
              </w:tblPrEx>
              <w:tc>
                <w:tcPr>
                  <w:tcW w:w="305" w:type="pct"/>
                  <w:shd w:val="clear" w:color="auto" w:fill="auto"/>
                  <w:vAlign w:val="center"/>
                </w:tcPr>
                <w:p w:rsidR="008558E0" w:rsidRPr="008558E0" w:rsidRDefault="008558E0" w:rsidP="008558E0">
                  <w:pPr>
                    <w:jc w:val="center"/>
                    <w:rPr>
                      <w:rFonts w:asciiTheme="majorHAnsi" w:hAnsiTheme="majorHAnsi"/>
                      <w:color w:val="000000"/>
                      <w:sz w:val="22"/>
                      <w:szCs w:val="22"/>
                      <w:lang w:val="it-IT"/>
                    </w:rPr>
                  </w:pPr>
                  <w:r w:rsidRPr="008558E0">
                    <w:rPr>
                      <w:rFonts w:asciiTheme="majorHAnsi" w:hAnsiTheme="majorHAnsi"/>
                      <w:color w:val="000000"/>
                      <w:sz w:val="22"/>
                      <w:szCs w:val="22"/>
                      <w:lang w:val="it-IT"/>
                    </w:rPr>
                    <w:t>4</w:t>
                  </w:r>
                </w:p>
              </w:tc>
              <w:tc>
                <w:tcPr>
                  <w:tcW w:w="1907" w:type="pct"/>
                </w:tcPr>
                <w:p w:rsidR="008558E0" w:rsidRPr="008558E0" w:rsidRDefault="008558E0" w:rsidP="008558E0">
                  <w:pPr>
                    <w:rPr>
                      <w:rFonts w:asciiTheme="majorHAnsi" w:hAnsiTheme="majorHAnsi"/>
                      <w:color w:val="000000" w:themeColor="text1"/>
                      <w:sz w:val="22"/>
                      <w:lang w:val="it-IT"/>
                    </w:rPr>
                  </w:pPr>
                  <w:r w:rsidRPr="008558E0">
                    <w:rPr>
                      <w:rFonts w:asciiTheme="majorHAnsi" w:hAnsiTheme="majorHAnsi"/>
                      <w:color w:val="000000" w:themeColor="text1"/>
                      <w:sz w:val="22"/>
                      <w:lang w:val="it-IT"/>
                    </w:rPr>
                    <w:t>Sistema yra patvirtinta (JAV FDA arba Europos sąjungos autorizuotų institucijų) gimdos kaklelio piktybinių navikų patikros programos vykdymui.</w:t>
                  </w:r>
                </w:p>
                <w:p w:rsidR="008558E0" w:rsidRPr="008558E0" w:rsidRDefault="008558E0" w:rsidP="008558E0">
                  <w:pPr>
                    <w:rPr>
                      <w:rFonts w:asciiTheme="majorHAnsi" w:hAnsiTheme="majorHAnsi"/>
                      <w:color w:val="000000" w:themeColor="text1"/>
                      <w:sz w:val="22"/>
                      <w:lang w:val="it-IT"/>
                    </w:rPr>
                  </w:pPr>
                </w:p>
              </w:tc>
              <w:tc>
                <w:tcPr>
                  <w:tcW w:w="880"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c>
                <w:tcPr>
                  <w:tcW w:w="1026"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c>
                <w:tcPr>
                  <w:tcW w:w="882" w:type="pct"/>
                  <w:shd w:val="clear" w:color="auto" w:fill="auto"/>
                  <w:vAlign w:val="center"/>
                </w:tcPr>
                <w:p w:rsidR="008558E0" w:rsidRPr="008558E0" w:rsidRDefault="008558E0" w:rsidP="008558E0">
                  <w:pPr>
                    <w:jc w:val="center"/>
                    <w:rPr>
                      <w:rFonts w:ascii="Cambria" w:hAnsi="Cambria"/>
                      <w:color w:val="FF0000"/>
                      <w:sz w:val="22"/>
                      <w:szCs w:val="22"/>
                      <w:lang w:val="it-IT"/>
                    </w:rPr>
                  </w:pPr>
                  <w:r w:rsidRPr="008558E0">
                    <w:rPr>
                      <w:rFonts w:ascii="Cambria" w:hAnsi="Cambria"/>
                      <w:i/>
                      <w:color w:val="FF0000"/>
                      <w:sz w:val="22"/>
                      <w:szCs w:val="22"/>
                      <w:lang w:val="it-IT"/>
                    </w:rPr>
                    <w:t>įrašyti</w:t>
                  </w:r>
                </w:p>
              </w:tc>
            </w:tr>
          </w:tbl>
          <w:p w:rsidR="008558E0" w:rsidRDefault="008558E0" w:rsidP="008558E0">
            <w:pPr>
              <w:ind w:right="318" w:firstLine="720"/>
              <w:jc w:val="right"/>
              <w:rPr>
                <w:rFonts w:asciiTheme="majorHAnsi" w:hAnsiTheme="majorHAnsi"/>
                <w:sz w:val="22"/>
                <w:szCs w:val="22"/>
                <w:lang w:val="it-IT"/>
              </w:rPr>
            </w:pPr>
          </w:p>
          <w:p w:rsidR="008558E0" w:rsidRPr="008558E0" w:rsidRDefault="008558E0" w:rsidP="008558E0">
            <w:pPr>
              <w:ind w:right="318" w:firstLine="720"/>
              <w:jc w:val="right"/>
              <w:rPr>
                <w:rFonts w:asciiTheme="majorHAnsi" w:hAnsiTheme="majorHAnsi"/>
                <w:sz w:val="22"/>
                <w:szCs w:val="22"/>
                <w:lang w:val="it-IT"/>
              </w:rPr>
            </w:pPr>
            <w:r>
              <w:rPr>
                <w:rFonts w:asciiTheme="majorHAnsi" w:hAnsiTheme="majorHAnsi"/>
                <w:sz w:val="22"/>
                <w:szCs w:val="22"/>
                <w:lang w:val="it-IT"/>
              </w:rPr>
              <w:t>7</w:t>
            </w:r>
            <w:r w:rsidRPr="008558E0">
              <w:rPr>
                <w:rFonts w:asciiTheme="majorHAnsi" w:hAnsiTheme="majorHAnsi"/>
                <w:sz w:val="22"/>
                <w:szCs w:val="22"/>
                <w:lang w:val="it-IT"/>
              </w:rPr>
              <w:t xml:space="preserve"> lentelė</w:t>
            </w:r>
          </w:p>
          <w:p w:rsidR="008558E0" w:rsidRPr="008558E0" w:rsidRDefault="008558E0" w:rsidP="007C7568">
            <w:pPr>
              <w:jc w:val="center"/>
              <w:rPr>
                <w:rFonts w:asciiTheme="majorHAnsi" w:hAnsiTheme="majorHAnsi"/>
                <w:b/>
                <w:sz w:val="22"/>
                <w:szCs w:val="22"/>
                <w:lang w:val="it-IT"/>
              </w:rPr>
            </w:pPr>
          </w:p>
          <w:p w:rsidR="007C7568" w:rsidRPr="008A44B7" w:rsidRDefault="007C7568" w:rsidP="007C7568">
            <w:pPr>
              <w:jc w:val="center"/>
              <w:rPr>
                <w:rFonts w:asciiTheme="majorHAnsi" w:hAnsiTheme="majorHAnsi"/>
                <w:b/>
                <w:sz w:val="22"/>
                <w:szCs w:val="22"/>
                <w:lang w:val="it-IT"/>
              </w:rPr>
            </w:pPr>
            <w:r w:rsidRPr="008A44B7">
              <w:rPr>
                <w:rFonts w:asciiTheme="majorHAnsi" w:hAnsiTheme="majorHAnsi"/>
                <w:b/>
                <w:sz w:val="22"/>
                <w:szCs w:val="22"/>
                <w:lang w:val="it-IT"/>
              </w:rPr>
              <w:t>PATEIKIAMŲ DOKUMENTŲ SĄRAŠAS</w:t>
            </w:r>
          </w:p>
          <w:p w:rsidR="007C7568" w:rsidRPr="008A44B7" w:rsidRDefault="007C7568" w:rsidP="007C7568">
            <w:pPr>
              <w:jc w:val="center"/>
              <w:rPr>
                <w:rFonts w:asciiTheme="majorHAnsi" w:hAnsiTheme="majorHAnsi"/>
                <w:b/>
                <w:sz w:val="22"/>
                <w:szCs w:val="22"/>
                <w:lang w:val="it-I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885EC9" w:rsidTr="00CB58D4">
              <w:tc>
                <w:tcPr>
                  <w:tcW w:w="675"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center"/>
                    <w:rPr>
                      <w:rFonts w:asciiTheme="majorHAnsi" w:hAnsiTheme="majorHAnsi"/>
                      <w:sz w:val="22"/>
                      <w:szCs w:val="22"/>
                      <w:lang w:val="it-IT"/>
                    </w:rPr>
                  </w:pPr>
                  <w:r w:rsidRPr="008A44B7">
                    <w:rPr>
                      <w:rFonts w:asciiTheme="majorHAnsi" w:hAnsiTheme="majorHAnsi"/>
                      <w:sz w:val="22"/>
                      <w:szCs w:val="22"/>
                      <w:lang w:val="it-I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center"/>
                    <w:rPr>
                      <w:rFonts w:asciiTheme="majorHAnsi" w:hAnsiTheme="majorHAnsi"/>
                      <w:sz w:val="22"/>
                      <w:szCs w:val="22"/>
                      <w:lang w:val="it-IT"/>
                    </w:rPr>
                  </w:pPr>
                  <w:r w:rsidRPr="008A44B7">
                    <w:rPr>
                      <w:rFonts w:asciiTheme="majorHAnsi" w:hAnsiTheme="majorHAnsi"/>
                      <w:sz w:val="22"/>
                      <w:szCs w:val="22"/>
                      <w:lang w:val="it-I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center"/>
                    <w:rPr>
                      <w:rFonts w:asciiTheme="majorHAnsi" w:hAnsiTheme="majorHAnsi"/>
                      <w:sz w:val="22"/>
                      <w:szCs w:val="22"/>
                      <w:lang w:val="it-IT"/>
                    </w:rPr>
                  </w:pPr>
                  <w:r w:rsidRPr="008A44B7">
                    <w:rPr>
                      <w:rFonts w:asciiTheme="majorHAnsi" w:hAnsiTheme="majorHAnsi"/>
                      <w:sz w:val="22"/>
                      <w:szCs w:val="22"/>
                      <w:lang w:val="it-IT"/>
                    </w:rPr>
                    <w:t>Dokumento puslapių skaičius</w:t>
                  </w:r>
                </w:p>
              </w:tc>
            </w:tr>
            <w:tr w:rsidR="007C7568" w:rsidRPr="00885EC9" w:rsidTr="00CB58D4">
              <w:tc>
                <w:tcPr>
                  <w:tcW w:w="675"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c>
                <w:tcPr>
                  <w:tcW w:w="6862"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c>
                <w:tcPr>
                  <w:tcW w:w="2126"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r>
            <w:tr w:rsidR="007C7568" w:rsidRPr="00885EC9" w:rsidTr="00CB58D4">
              <w:tc>
                <w:tcPr>
                  <w:tcW w:w="675"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r>
            <w:tr w:rsidR="007C7568" w:rsidRPr="00885EC9" w:rsidTr="00CB58D4">
              <w:tc>
                <w:tcPr>
                  <w:tcW w:w="675"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c>
                <w:tcPr>
                  <w:tcW w:w="6862"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c>
                <w:tcPr>
                  <w:tcW w:w="2126" w:type="dxa"/>
                  <w:tcBorders>
                    <w:top w:val="single" w:sz="4" w:space="0" w:color="auto"/>
                    <w:left w:val="single" w:sz="4" w:space="0" w:color="auto"/>
                    <w:bottom w:val="single" w:sz="4" w:space="0" w:color="auto"/>
                    <w:right w:val="single" w:sz="4" w:space="0" w:color="auto"/>
                  </w:tcBorders>
                </w:tcPr>
                <w:p w:rsidR="007C7568" w:rsidRPr="008A44B7" w:rsidRDefault="007C7568" w:rsidP="007C7568">
                  <w:pPr>
                    <w:jc w:val="both"/>
                    <w:rPr>
                      <w:rFonts w:asciiTheme="majorHAnsi" w:hAnsiTheme="majorHAnsi"/>
                      <w:sz w:val="22"/>
                      <w:szCs w:val="22"/>
                      <w:lang w:val="it-IT"/>
                    </w:rPr>
                  </w:pPr>
                </w:p>
              </w:tc>
            </w:tr>
          </w:tbl>
          <w:p w:rsidR="007C7568" w:rsidRPr="008A44B7" w:rsidRDefault="007C7568" w:rsidP="007C7568">
            <w:pPr>
              <w:ind w:right="-108"/>
              <w:jc w:val="both"/>
              <w:rPr>
                <w:rFonts w:asciiTheme="majorHAnsi" w:hAnsiTheme="majorHAnsi"/>
                <w:sz w:val="22"/>
                <w:szCs w:val="22"/>
                <w:lang w:val="it-IT"/>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lastRenderedPageBreak/>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B74" w:rsidRDefault="004D1B74" w:rsidP="000D1449">
      <w:r>
        <w:separator/>
      </w:r>
    </w:p>
  </w:endnote>
  <w:endnote w:type="continuationSeparator" w:id="0">
    <w:p w:rsidR="004D1B74" w:rsidRDefault="004D1B7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B74" w:rsidRDefault="004D1B74" w:rsidP="000D1449">
      <w:r>
        <w:separator/>
      </w:r>
    </w:p>
  </w:footnote>
  <w:footnote w:type="continuationSeparator" w:id="0">
    <w:p w:rsidR="004D1B74" w:rsidRDefault="004D1B74" w:rsidP="000D1449">
      <w:r>
        <w:continuationSeparator/>
      </w:r>
    </w:p>
  </w:footnote>
  <w:footnote w:id="1">
    <w:p w:rsidR="007842E1" w:rsidRPr="00BA5459" w:rsidRDefault="007842E1"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842E1" w:rsidRPr="00BA5459" w:rsidRDefault="007842E1"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842E1" w:rsidRPr="00BA5459" w:rsidRDefault="007842E1"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42E1" w:rsidRDefault="007842E1" w:rsidP="00401E0B">
      <w:pPr>
        <w:pStyle w:val="FootnoteText"/>
      </w:pPr>
    </w:p>
  </w:footnote>
  <w:footnote w:id="2">
    <w:p w:rsidR="007842E1" w:rsidRPr="00344E3D" w:rsidRDefault="007842E1"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842E1" w:rsidRPr="00344E3D" w:rsidRDefault="007842E1" w:rsidP="00401E0B">
      <w:pPr>
        <w:pStyle w:val="FootnoteText"/>
        <w:numPr>
          <w:ilvl w:val="0"/>
          <w:numId w:val="14"/>
        </w:numPr>
        <w:spacing w:after="0"/>
        <w:rPr>
          <w:i/>
          <w:iCs/>
          <w:sz w:val="18"/>
          <w:szCs w:val="18"/>
        </w:rPr>
      </w:pPr>
      <w:r w:rsidRPr="00344E3D">
        <w:rPr>
          <w:i/>
          <w:iCs/>
          <w:sz w:val="18"/>
          <w:szCs w:val="18"/>
        </w:rPr>
        <w:t xml:space="preserve">priesaikos deklaracija; </w:t>
      </w:r>
    </w:p>
    <w:p w:rsidR="007842E1" w:rsidRPr="00344E3D" w:rsidRDefault="007842E1"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42E1" w:rsidRDefault="007842E1" w:rsidP="00401E0B">
      <w:pPr>
        <w:pStyle w:val="FootnoteText"/>
      </w:pPr>
    </w:p>
  </w:footnote>
  <w:footnote w:id="3">
    <w:p w:rsidR="007842E1" w:rsidRPr="00D76940" w:rsidRDefault="007842E1"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842E1" w:rsidRPr="00D76940" w:rsidRDefault="007842E1" w:rsidP="00401E0B">
      <w:pPr>
        <w:pStyle w:val="FootnoteText"/>
        <w:numPr>
          <w:ilvl w:val="0"/>
          <w:numId w:val="15"/>
        </w:numPr>
        <w:spacing w:after="0"/>
        <w:rPr>
          <w:i/>
          <w:iCs/>
          <w:sz w:val="18"/>
          <w:szCs w:val="18"/>
        </w:rPr>
      </w:pPr>
      <w:r w:rsidRPr="00D76940">
        <w:rPr>
          <w:i/>
          <w:iCs/>
          <w:sz w:val="18"/>
          <w:szCs w:val="18"/>
        </w:rPr>
        <w:t xml:space="preserve">priesaikos deklaracija; </w:t>
      </w:r>
    </w:p>
    <w:p w:rsidR="007842E1" w:rsidRPr="00D76940" w:rsidRDefault="007842E1"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42E1" w:rsidRDefault="007842E1" w:rsidP="00401E0B">
      <w:pPr>
        <w:pStyle w:val="FootnoteText"/>
      </w:pPr>
    </w:p>
  </w:footnote>
  <w:footnote w:id="4">
    <w:p w:rsidR="007842E1" w:rsidRDefault="007842E1"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E5EF0"/>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554D3"/>
    <w:rsid w:val="00357E44"/>
    <w:rsid w:val="0036641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43D65"/>
    <w:rsid w:val="0046131D"/>
    <w:rsid w:val="00463A86"/>
    <w:rsid w:val="00466130"/>
    <w:rsid w:val="004740DF"/>
    <w:rsid w:val="00476F8E"/>
    <w:rsid w:val="004841E8"/>
    <w:rsid w:val="004857F4"/>
    <w:rsid w:val="00496649"/>
    <w:rsid w:val="004A4BBE"/>
    <w:rsid w:val="004A4C02"/>
    <w:rsid w:val="004B70BF"/>
    <w:rsid w:val="004C4258"/>
    <w:rsid w:val="004C65FE"/>
    <w:rsid w:val="004C7A82"/>
    <w:rsid w:val="004D1B74"/>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070F3"/>
    <w:rsid w:val="00616071"/>
    <w:rsid w:val="006209DB"/>
    <w:rsid w:val="0063219E"/>
    <w:rsid w:val="00651218"/>
    <w:rsid w:val="006621DA"/>
    <w:rsid w:val="00662C1E"/>
    <w:rsid w:val="00667D63"/>
    <w:rsid w:val="00670BCE"/>
    <w:rsid w:val="006833F6"/>
    <w:rsid w:val="006848C7"/>
    <w:rsid w:val="00694E70"/>
    <w:rsid w:val="006A27D9"/>
    <w:rsid w:val="006C0643"/>
    <w:rsid w:val="006C0A04"/>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842E1"/>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558E0"/>
    <w:rsid w:val="00885EC9"/>
    <w:rsid w:val="00895692"/>
    <w:rsid w:val="008A2A1A"/>
    <w:rsid w:val="008A429B"/>
    <w:rsid w:val="008A44B7"/>
    <w:rsid w:val="008A66D4"/>
    <w:rsid w:val="008A6852"/>
    <w:rsid w:val="008B746A"/>
    <w:rsid w:val="008C19B4"/>
    <w:rsid w:val="008D7E40"/>
    <w:rsid w:val="008F6181"/>
    <w:rsid w:val="008F6BE5"/>
    <w:rsid w:val="00906428"/>
    <w:rsid w:val="00912CAB"/>
    <w:rsid w:val="0091475E"/>
    <w:rsid w:val="00937026"/>
    <w:rsid w:val="00937DFB"/>
    <w:rsid w:val="0094019A"/>
    <w:rsid w:val="00950782"/>
    <w:rsid w:val="00950F0E"/>
    <w:rsid w:val="00954292"/>
    <w:rsid w:val="00954DF8"/>
    <w:rsid w:val="00963C5A"/>
    <w:rsid w:val="009641A4"/>
    <w:rsid w:val="00974B98"/>
    <w:rsid w:val="009755C5"/>
    <w:rsid w:val="009835BD"/>
    <w:rsid w:val="00987CF8"/>
    <w:rsid w:val="009927DE"/>
    <w:rsid w:val="00993F01"/>
    <w:rsid w:val="009B6345"/>
    <w:rsid w:val="009D18C6"/>
    <w:rsid w:val="009D2BE8"/>
    <w:rsid w:val="009F3455"/>
    <w:rsid w:val="00A13BB1"/>
    <w:rsid w:val="00A267EC"/>
    <w:rsid w:val="00A31A90"/>
    <w:rsid w:val="00A31BEF"/>
    <w:rsid w:val="00A359AF"/>
    <w:rsid w:val="00A52C9A"/>
    <w:rsid w:val="00A80E1B"/>
    <w:rsid w:val="00A845E5"/>
    <w:rsid w:val="00A876D5"/>
    <w:rsid w:val="00AB1602"/>
    <w:rsid w:val="00AD29F5"/>
    <w:rsid w:val="00AD53E7"/>
    <w:rsid w:val="00AD62B2"/>
    <w:rsid w:val="00AD7A10"/>
    <w:rsid w:val="00AF4EB2"/>
    <w:rsid w:val="00B301D8"/>
    <w:rsid w:val="00B315E7"/>
    <w:rsid w:val="00B32737"/>
    <w:rsid w:val="00B347C5"/>
    <w:rsid w:val="00B36858"/>
    <w:rsid w:val="00B4013F"/>
    <w:rsid w:val="00B447BB"/>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189"/>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B7D70"/>
    <w:rsid w:val="00DC20BE"/>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15E9"/>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C0F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67C228-ED41-42F0-B435-31B85559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27</Pages>
  <Words>48621</Words>
  <Characters>27714</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100</cp:revision>
  <cp:lastPrinted>2026-07-09T09:38:00Z</cp:lastPrinted>
  <dcterms:created xsi:type="dcterms:W3CDTF">2020-10-05T13:26:00Z</dcterms:created>
  <dcterms:modified xsi:type="dcterms:W3CDTF">2026-07-09T09:39:00Z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