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Pr>
          <w:rFonts w:eastAsia="Arial"/>
        </w:rPr>
        <w:lastRenderedPageBreak/>
        <w:t>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w:t>
      </w:r>
      <w:r>
        <w:lastRenderedPageBreak/>
        <w:t>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 xml:space="preserve">tiesioginio atsiskaitymo su subtiekėjais galimybė nekeičia Tiekėjo atsakomybės dėl Sutarties </w:t>
      </w:r>
      <w:r>
        <w:rPr>
          <w:rFonts w:eastAsia="Cambria"/>
          <w:shd w:val="clear" w:color="auto" w:fill="FFFFFF"/>
        </w:rPr>
        <w:lastRenderedPageBreak/>
        <w:t>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w:t>
      </w:r>
      <w:r>
        <w:rPr>
          <w:rFonts w:eastAsia="Arial"/>
        </w:rPr>
        <w:lastRenderedPageBreak/>
        <w:t>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w:t>
      </w:r>
      <w:r w:rsidR="00D418E6">
        <w:rPr>
          <w:rFonts w:eastAsia="Arial"/>
        </w:rPr>
        <w:lastRenderedPageBreak/>
        <w:t>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w:t>
      </w:r>
      <w:r>
        <w:rPr>
          <w:rFonts w:eastAsia="Arial"/>
        </w:rPr>
        <w:lastRenderedPageBreak/>
        <w:t>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 xml:space="preserve">Tiekėjui praleidus Paslaugų ar jų etapo suteikimo terminą, netesybos skaičiuojamos nuo Paslaugų ar jų etapo suteikimo termino pabaigos (neįskaitytinai) iki Paslaugų ar jų etapo suteikimo datos </w:t>
      </w:r>
      <w:r>
        <w:rPr>
          <w:rFonts w:eastAsia="Arial"/>
        </w:rPr>
        <w:lastRenderedPageBreak/>
        <w:t>(įskaitytinai),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w:t>
      </w:r>
      <w:r>
        <w:rPr>
          <w:rFonts w:eastAsia="Arial"/>
        </w:rPr>
        <w:lastRenderedPageBreak/>
        <w:t>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lastRenderedPageBreak/>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lastRenderedPageBreak/>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3FEE9" w14:textId="77777777" w:rsidR="0079052E" w:rsidRDefault="0079052E">
      <w:pPr>
        <w:rPr>
          <w:sz w:val="20"/>
        </w:rPr>
      </w:pPr>
      <w:r>
        <w:rPr>
          <w:sz w:val="20"/>
        </w:rPr>
        <w:separator/>
      </w:r>
    </w:p>
  </w:endnote>
  <w:endnote w:type="continuationSeparator" w:id="0">
    <w:p w14:paraId="5F82EECC" w14:textId="77777777" w:rsidR="0079052E" w:rsidRDefault="0079052E">
      <w:pPr>
        <w:rPr>
          <w:sz w:val="20"/>
        </w:rPr>
      </w:pPr>
      <w:r>
        <w:rPr>
          <w:sz w:val="20"/>
        </w:rPr>
        <w:continuationSeparator/>
      </w:r>
    </w:p>
  </w:endnote>
  <w:endnote w:type="continuationNotice" w:id="1">
    <w:p w14:paraId="2592967E" w14:textId="77777777" w:rsidR="0079052E" w:rsidRDefault="007905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FD26" w14:textId="77777777" w:rsidR="00601219" w:rsidRDefault="00601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2E921" w14:textId="77777777" w:rsidR="00601219" w:rsidRDefault="00601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D2FCB" w14:textId="77777777" w:rsidR="0079052E" w:rsidRDefault="0079052E">
      <w:pPr>
        <w:rPr>
          <w:sz w:val="20"/>
        </w:rPr>
      </w:pPr>
      <w:r>
        <w:rPr>
          <w:sz w:val="20"/>
        </w:rPr>
        <w:separator/>
      </w:r>
    </w:p>
  </w:footnote>
  <w:footnote w:type="continuationSeparator" w:id="0">
    <w:p w14:paraId="2999B538" w14:textId="77777777" w:rsidR="0079052E" w:rsidRDefault="0079052E">
      <w:pPr>
        <w:rPr>
          <w:sz w:val="20"/>
        </w:rPr>
      </w:pPr>
      <w:r>
        <w:rPr>
          <w:sz w:val="20"/>
        </w:rPr>
        <w:continuationSeparator/>
      </w:r>
    </w:p>
  </w:footnote>
  <w:footnote w:type="continuationNotice" w:id="1">
    <w:p w14:paraId="4846E022" w14:textId="77777777" w:rsidR="0079052E" w:rsidRDefault="007905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3608" w14:textId="77777777" w:rsidR="00601219" w:rsidRDefault="006012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1459F" w14:textId="4E555695" w:rsidR="000A6EB1" w:rsidRDefault="000A6EB1" w:rsidP="000A6EB1">
    <w:pPr>
      <w:pStyle w:val="TOC2"/>
      <w:rPr>
        <w:noProof/>
        <w:kern w:val="2"/>
        <w:sz w:val="24"/>
        <w:szCs w:val="24"/>
        <w14:ligatures w14:val="standardContextual"/>
      </w:rPr>
    </w:pPr>
    <w:hyperlink w:anchor="_Toc194665981" w:history="1">
      <w:r w:rsidRPr="00FD5EBA">
        <w:rPr>
          <w:rStyle w:val="Hyperlink"/>
          <w:rFonts w:eastAsia="Calibri" w:cstheme="majorHAnsi"/>
          <w:noProof/>
        </w:rPr>
        <w:t>Pirkimo sąlygų 11 priedas „Paslaugų pirkimo-pardavimo sutarties bendrosios sąlygos“</w:t>
      </w:r>
    </w:hyperlink>
    <w:r>
      <w:rPr>
        <w:noProof/>
        <w:kern w:val="2"/>
        <w:sz w:val="24"/>
        <w:szCs w:val="24"/>
        <w14:ligatures w14:val="standardContextual"/>
      </w:rPr>
      <w:t xml:space="preserve"> </w:t>
    </w:r>
  </w:p>
  <w:p w14:paraId="5CA55983" w14:textId="45673822" w:rsidR="00601219" w:rsidRPr="000A6EB1" w:rsidRDefault="00601219" w:rsidP="000A6E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273F"/>
    <w:rsid w:val="000872D2"/>
    <w:rsid w:val="000A13E1"/>
    <w:rsid w:val="000A6EB1"/>
    <w:rsid w:val="000B0897"/>
    <w:rsid w:val="000B3E38"/>
    <w:rsid w:val="001322CD"/>
    <w:rsid w:val="003B104E"/>
    <w:rsid w:val="004253F1"/>
    <w:rsid w:val="00480651"/>
    <w:rsid w:val="004A2AF4"/>
    <w:rsid w:val="004F10FB"/>
    <w:rsid w:val="00533F41"/>
    <w:rsid w:val="005521DA"/>
    <w:rsid w:val="00601219"/>
    <w:rsid w:val="007604B0"/>
    <w:rsid w:val="0079052E"/>
    <w:rsid w:val="007D4CAA"/>
    <w:rsid w:val="0083118A"/>
    <w:rsid w:val="00925978"/>
    <w:rsid w:val="009728BC"/>
    <w:rsid w:val="00A72765"/>
    <w:rsid w:val="00AD13BC"/>
    <w:rsid w:val="00B27721"/>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10BCCB60-2022-4AFC-8527-150B52D6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 w:type="character" w:styleId="Hyperlink">
    <w:name w:val="Hyperlink"/>
    <w:basedOn w:val="DefaultParagraphFont"/>
    <w:uiPriority w:val="99"/>
    <w:unhideWhenUsed/>
    <w:rsid w:val="000A6EB1"/>
    <w:rPr>
      <w:strike w:val="0"/>
      <w:dstrike w:val="0"/>
      <w:color w:val="auto"/>
      <w:u w:val="none"/>
      <w:effect w:val="none"/>
    </w:rPr>
  </w:style>
  <w:style w:type="paragraph" w:styleId="TOC2">
    <w:name w:val="toc 2"/>
    <w:basedOn w:val="Normal"/>
    <w:next w:val="Normal"/>
    <w:autoRedefine/>
    <w:uiPriority w:val="39"/>
    <w:unhideWhenUsed/>
    <w:rsid w:val="000A6EB1"/>
    <w:pPr>
      <w:tabs>
        <w:tab w:val="right" w:leader="dot" w:pos="9962"/>
      </w:tabs>
      <w:spacing w:line="276" w:lineRule="auto"/>
      <w:ind w:left="5529"/>
      <w:jc w:val="right"/>
    </w:pPr>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Giedrė J</cp:lastModifiedBy>
  <cp:revision>3</cp:revision>
  <dcterms:created xsi:type="dcterms:W3CDTF">2025-04-23T05:46:00Z</dcterms:created>
  <dcterms:modified xsi:type="dcterms:W3CDTF">2026-06-30T04:48:00Z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c01d5a48-4c59-412d-be44-bbc1eb67ba39_Enabled">
    <vt:lpwstr>true</vt:lpwstr>
  </property>
  <property fmtid="{D5CDD505-2E9C-101B-9397-08002B2CF9AE}" pid="4" name="MSIP_Label_c01d5a48-4c59-412d-be44-bbc1eb67ba39_SetDate">
    <vt:lpwstr>2026-06-30T04:47:27Z</vt:lpwstr>
  </property>
  <property fmtid="{D5CDD505-2E9C-101B-9397-08002B2CF9AE}" pid="5" name="MSIP_Label_c01d5a48-4c59-412d-be44-bbc1eb67ba39_Method">
    <vt:lpwstr>Standard</vt:lpwstr>
  </property>
  <property fmtid="{D5CDD505-2E9C-101B-9397-08002B2CF9AE}" pid="6" name="MSIP_Label_c01d5a48-4c59-412d-be44-bbc1eb67ba39_Name">
    <vt:lpwstr>Vieša informacija</vt:lpwstr>
  </property>
  <property fmtid="{D5CDD505-2E9C-101B-9397-08002B2CF9AE}" pid="7" name="MSIP_Label_c01d5a48-4c59-412d-be44-bbc1eb67ba39_SiteId">
    <vt:lpwstr>a6503176-38f3-4811-8b58-65db73593a8b</vt:lpwstr>
  </property>
  <property fmtid="{D5CDD505-2E9C-101B-9397-08002B2CF9AE}" pid="8" name="MSIP_Label_c01d5a48-4c59-412d-be44-bbc1eb67ba39_ActionId">
    <vt:lpwstr>c6d279d0-2c25-49ac-8aea-92087631fc6d</vt:lpwstr>
  </property>
  <property fmtid="{D5CDD505-2E9C-101B-9397-08002B2CF9AE}" pid="9" name="MSIP_Label_c01d5a48-4c59-412d-be44-bbc1eb67ba39_ContentBits">
    <vt:lpwstr>0</vt:lpwstr>
  </property>
  <property fmtid="{D5CDD505-2E9C-101B-9397-08002B2CF9AE}" pid="10" name="MSIP_Label_c01d5a48-4c59-412d-be44-bbc1eb67ba39_Tag">
    <vt:lpwstr>10, 3, 0, 1</vt:lpwstr>
  </property>
</Properties>
</file>