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023A4" w:rsidRPr="005E0702" w:rsidRDefault="008023A4" w:rsidP="008023A4">
      <w:pPr>
        <w:pStyle w:val="Pagrindiniotekstotrauka2"/>
        <w:ind w:right="-1" w:firstLine="0"/>
        <w:jc w:val="center"/>
        <w:rPr>
          <w:rFonts w:ascii="Times New Roman" w:hAnsi="Times New Roman"/>
          <w:b/>
          <w:sz w:val="24"/>
        </w:rPr>
      </w:pPr>
      <w:r w:rsidRPr="005E0702">
        <w:rPr>
          <w:rFonts w:ascii="Times New Roman" w:hAnsi="Times New Roman"/>
          <w:b/>
          <w:sz w:val="24"/>
        </w:rPr>
        <w:t>LIETUVOS RESPUBLIKOS SEIMO KANCELIARIJOS</w:t>
      </w:r>
    </w:p>
    <w:p w:rsidR="008023A4" w:rsidRPr="005E0702" w:rsidRDefault="008023A4" w:rsidP="008023A4">
      <w:pPr>
        <w:pStyle w:val="Pagrindinistekstas"/>
        <w:spacing w:before="60" w:after="60"/>
        <w:ind w:right="-227"/>
        <w:rPr>
          <w:rFonts w:ascii="Times New Roman" w:hAnsi="Times New Roman"/>
        </w:rPr>
      </w:pPr>
      <w:r w:rsidRPr="005E0702">
        <w:rPr>
          <w:rFonts w:ascii="Times New Roman" w:hAnsi="Times New Roman"/>
        </w:rPr>
        <w:t xml:space="preserve">VIEŠŲJŲ PIRKIMŲ </w:t>
      </w:r>
      <w:r>
        <w:rPr>
          <w:rFonts w:ascii="Times New Roman" w:hAnsi="Times New Roman"/>
        </w:rPr>
        <w:t>2</w:t>
      </w:r>
      <w:r w:rsidRPr="005E0702">
        <w:rPr>
          <w:rFonts w:ascii="Times New Roman" w:hAnsi="Times New Roman"/>
        </w:rPr>
        <w:t>-OSIOS KOMISIJOS POSĖDŽIO PROTOKOL</w:t>
      </w:r>
      <w:r>
        <w:rPr>
          <w:rFonts w:ascii="Times New Roman" w:hAnsi="Times New Roman"/>
        </w:rPr>
        <w:t>O IŠRAŠAS</w:t>
      </w:r>
    </w:p>
    <w:p w:rsidR="008023A4" w:rsidRDefault="008023A4" w:rsidP="008023A4">
      <w:pPr>
        <w:tabs>
          <w:tab w:val="left" w:pos="284"/>
          <w:tab w:val="left" w:pos="1985"/>
        </w:tabs>
        <w:spacing w:line="360" w:lineRule="auto"/>
        <w:ind w:right="-1"/>
        <w:jc w:val="both"/>
        <w:rPr>
          <w:sz w:val="24"/>
        </w:rPr>
      </w:pPr>
    </w:p>
    <w:p w:rsidR="008023A4" w:rsidRPr="00944E61" w:rsidRDefault="008023A4" w:rsidP="008023A4">
      <w:pPr>
        <w:tabs>
          <w:tab w:val="left" w:pos="284"/>
          <w:tab w:val="left" w:pos="1985"/>
        </w:tabs>
        <w:spacing w:line="264" w:lineRule="auto"/>
        <w:jc w:val="center"/>
        <w:rPr>
          <w:sz w:val="24"/>
        </w:rPr>
      </w:pPr>
      <w:r w:rsidRPr="002229B7">
        <w:rPr>
          <w:sz w:val="24"/>
          <w:szCs w:val="24"/>
        </w:rPr>
        <w:t>202</w:t>
      </w:r>
      <w:r w:rsidR="0038683F">
        <w:rPr>
          <w:sz w:val="24"/>
          <w:szCs w:val="24"/>
        </w:rPr>
        <w:t>6</w:t>
      </w:r>
      <w:r w:rsidRPr="002229B7">
        <w:rPr>
          <w:sz w:val="24"/>
          <w:szCs w:val="24"/>
        </w:rPr>
        <w:t xml:space="preserve"> </w:t>
      </w:r>
      <w:r>
        <w:rPr>
          <w:sz w:val="24"/>
          <w:szCs w:val="24"/>
        </w:rPr>
        <w:t xml:space="preserve">m. </w:t>
      </w:r>
      <w:r w:rsidR="0038683F">
        <w:rPr>
          <w:sz w:val="24"/>
          <w:szCs w:val="24"/>
        </w:rPr>
        <w:t>liepos 10</w:t>
      </w:r>
      <w:r w:rsidRPr="002229B7">
        <w:rPr>
          <w:sz w:val="24"/>
          <w:szCs w:val="24"/>
        </w:rPr>
        <w:t xml:space="preserve"> d.</w:t>
      </w:r>
    </w:p>
    <w:p w:rsidR="008023A4" w:rsidRPr="00007098" w:rsidRDefault="008023A4" w:rsidP="008023A4">
      <w:pPr>
        <w:pStyle w:val="Preformatted"/>
        <w:tabs>
          <w:tab w:val="clear" w:pos="9590"/>
        </w:tabs>
        <w:spacing w:line="264" w:lineRule="auto"/>
        <w:jc w:val="center"/>
        <w:rPr>
          <w:rFonts w:ascii="Times New Roman" w:hAnsi="Times New Roman"/>
          <w:i/>
          <w:sz w:val="24"/>
        </w:rPr>
      </w:pPr>
      <w:r w:rsidRPr="00007098">
        <w:rPr>
          <w:rFonts w:ascii="Times New Roman" w:hAnsi="Times New Roman"/>
          <w:sz w:val="24"/>
        </w:rPr>
        <w:t>Vilnius</w:t>
      </w:r>
    </w:p>
    <w:p w:rsidR="00C83235" w:rsidRDefault="00C83235"/>
    <w:p w:rsidR="008023A4" w:rsidRDefault="008023A4" w:rsidP="008023A4">
      <w:pPr>
        <w:spacing w:line="276" w:lineRule="auto"/>
        <w:ind w:firstLine="720"/>
        <w:jc w:val="both"/>
        <w:rPr>
          <w:sz w:val="24"/>
          <w:szCs w:val="24"/>
        </w:rPr>
      </w:pPr>
      <w:r w:rsidRPr="008023A4">
        <w:rPr>
          <w:color w:val="000000"/>
          <w:sz w:val="24"/>
          <w:szCs w:val="24"/>
        </w:rPr>
        <w:t>Komisij</w:t>
      </w:r>
      <w:r>
        <w:rPr>
          <w:color w:val="000000"/>
          <w:sz w:val="24"/>
          <w:szCs w:val="24"/>
        </w:rPr>
        <w:t xml:space="preserve">a </w:t>
      </w:r>
      <w:r w:rsidRPr="008023A4">
        <w:rPr>
          <w:color w:val="000000"/>
          <w:sz w:val="24"/>
          <w:szCs w:val="24"/>
        </w:rPr>
        <w:t xml:space="preserve">susipažino su </w:t>
      </w:r>
      <w:r w:rsidR="0038683F" w:rsidRPr="0038683F">
        <w:rPr>
          <w:color w:val="000000"/>
          <w:sz w:val="24"/>
          <w:szCs w:val="24"/>
        </w:rPr>
        <w:t>202</w:t>
      </w:r>
      <w:r w:rsidR="0038683F" w:rsidRPr="0038683F">
        <w:rPr>
          <w:color w:val="000000"/>
          <w:sz w:val="24"/>
          <w:szCs w:val="24"/>
          <w:lang w:val="en-US"/>
        </w:rPr>
        <w:t>6</w:t>
      </w:r>
      <w:r w:rsidR="0038683F" w:rsidRPr="0038683F">
        <w:rPr>
          <w:color w:val="000000"/>
          <w:sz w:val="24"/>
          <w:szCs w:val="24"/>
        </w:rPr>
        <w:t xml:space="preserve"> m. liepos 9 d.</w:t>
      </w:r>
      <w:r w:rsidRPr="008023A4">
        <w:rPr>
          <w:color w:val="000000"/>
          <w:sz w:val="24"/>
          <w:szCs w:val="24"/>
        </w:rPr>
        <w:t xml:space="preserve"> </w:t>
      </w:r>
      <w:r>
        <w:rPr>
          <w:color w:val="000000"/>
          <w:sz w:val="24"/>
          <w:szCs w:val="24"/>
        </w:rPr>
        <w:t>CVP IS</w:t>
      </w:r>
      <w:r w:rsidR="0038683F">
        <w:rPr>
          <w:color w:val="000000"/>
          <w:sz w:val="24"/>
          <w:szCs w:val="24"/>
        </w:rPr>
        <w:t xml:space="preserve"> priemonėmis pateiktais</w:t>
      </w:r>
      <w:r w:rsidRPr="008023A4">
        <w:rPr>
          <w:color w:val="000000"/>
          <w:sz w:val="24"/>
          <w:szCs w:val="24"/>
        </w:rPr>
        <w:t xml:space="preserve"> </w:t>
      </w:r>
      <w:r w:rsidR="0038683F">
        <w:rPr>
          <w:color w:val="000000"/>
          <w:sz w:val="24"/>
          <w:szCs w:val="24"/>
        </w:rPr>
        <w:t>prašymais</w:t>
      </w:r>
      <w:r w:rsidRPr="008023A4">
        <w:rPr>
          <w:color w:val="000000"/>
          <w:sz w:val="24"/>
          <w:szCs w:val="24"/>
        </w:rPr>
        <w:t xml:space="preserve"> dėl </w:t>
      </w:r>
      <w:r w:rsidR="007137AB" w:rsidRPr="007137AB">
        <w:rPr>
          <w:bCs/>
          <w:color w:val="000000"/>
          <w:sz w:val="24"/>
          <w:szCs w:val="24"/>
        </w:rPr>
        <w:t xml:space="preserve">mažos vertės </w:t>
      </w:r>
      <w:r w:rsidR="0038683F" w:rsidRPr="0038683F">
        <w:rPr>
          <w:bCs/>
          <w:color w:val="000000"/>
          <w:sz w:val="24"/>
          <w:szCs w:val="24"/>
        </w:rPr>
        <w:t xml:space="preserve">Kompiuterinių darbo vietų </w:t>
      </w:r>
      <w:r w:rsidR="007137AB">
        <w:rPr>
          <w:bCs/>
          <w:color w:val="000000"/>
          <w:sz w:val="24"/>
          <w:szCs w:val="24"/>
        </w:rPr>
        <w:t>pirkimo</w:t>
      </w:r>
      <w:r w:rsidRPr="008023A4">
        <w:rPr>
          <w:color w:val="000000"/>
          <w:sz w:val="24"/>
          <w:szCs w:val="24"/>
        </w:rPr>
        <w:t xml:space="preserve"> (pirkimo Nr. </w:t>
      </w:r>
      <w:r w:rsidR="0038683F" w:rsidRPr="0038683F">
        <w:rPr>
          <w:sz w:val="24"/>
          <w:szCs w:val="24"/>
        </w:rPr>
        <w:t>8710166</w:t>
      </w:r>
      <w:r w:rsidRPr="008023A4">
        <w:rPr>
          <w:color w:val="000000"/>
          <w:sz w:val="24"/>
          <w:szCs w:val="24"/>
        </w:rPr>
        <w:t>)</w:t>
      </w:r>
      <w:r>
        <w:rPr>
          <w:color w:val="000000"/>
          <w:sz w:val="24"/>
          <w:szCs w:val="24"/>
        </w:rPr>
        <w:t xml:space="preserve"> </w:t>
      </w:r>
      <w:r w:rsidRPr="008023A4">
        <w:rPr>
          <w:color w:val="000000"/>
          <w:sz w:val="24"/>
          <w:szCs w:val="24"/>
        </w:rPr>
        <w:t xml:space="preserve">sąlygų ir </w:t>
      </w:r>
      <w:r w:rsidR="0038683F">
        <w:rPr>
          <w:sz w:val="24"/>
          <w:szCs w:val="24"/>
        </w:rPr>
        <w:t>suformulavo atsakymus</w:t>
      </w:r>
      <w:r w:rsidRPr="008023A4">
        <w:rPr>
          <w:sz w:val="24"/>
          <w:szCs w:val="24"/>
        </w:rPr>
        <w:t>:</w:t>
      </w:r>
    </w:p>
    <w:tbl>
      <w:tblPr>
        <w:tblStyle w:val="Lentelstinklelis21"/>
        <w:tblW w:w="9634" w:type="dxa"/>
        <w:tblLook w:val="04A0" w:firstRow="1" w:lastRow="0" w:firstColumn="1" w:lastColumn="0" w:noHBand="0" w:noVBand="1"/>
      </w:tblPr>
      <w:tblGrid>
        <w:gridCol w:w="620"/>
        <w:gridCol w:w="5187"/>
        <w:gridCol w:w="3827"/>
      </w:tblGrid>
      <w:tr w:rsidR="0038683F" w:rsidRPr="0038683F" w:rsidTr="0038683F">
        <w:trPr>
          <w:trHeight w:val="600"/>
        </w:trPr>
        <w:tc>
          <w:tcPr>
            <w:tcW w:w="620" w:type="dxa"/>
            <w:noWrap/>
            <w:hideMark/>
          </w:tcPr>
          <w:p w:rsidR="0038683F" w:rsidRPr="0038683F" w:rsidRDefault="0038683F" w:rsidP="0038683F">
            <w:pPr>
              <w:rPr>
                <w:rFonts w:eastAsiaTheme="minorHAnsi"/>
                <w:b/>
                <w:sz w:val="24"/>
                <w:szCs w:val="24"/>
              </w:rPr>
            </w:pPr>
            <w:r w:rsidRPr="0038683F">
              <w:rPr>
                <w:rFonts w:eastAsiaTheme="minorHAnsi"/>
                <w:b/>
                <w:sz w:val="24"/>
                <w:szCs w:val="24"/>
              </w:rPr>
              <w:t>Eil. Nr.</w:t>
            </w:r>
          </w:p>
        </w:tc>
        <w:tc>
          <w:tcPr>
            <w:tcW w:w="5187" w:type="dxa"/>
            <w:tcBorders>
              <w:top w:val="single" w:sz="8" w:space="0" w:color="auto"/>
              <w:left w:val="nil"/>
              <w:bottom w:val="single" w:sz="8" w:space="0" w:color="auto"/>
              <w:right w:val="single" w:sz="8" w:space="0" w:color="auto"/>
            </w:tcBorders>
          </w:tcPr>
          <w:p w:rsidR="0038683F" w:rsidRPr="0038683F" w:rsidRDefault="0038683F" w:rsidP="0038683F">
            <w:pPr>
              <w:jc w:val="center"/>
              <w:rPr>
                <w:rFonts w:eastAsiaTheme="minorHAnsi"/>
                <w:b/>
                <w:sz w:val="24"/>
                <w:szCs w:val="24"/>
              </w:rPr>
            </w:pPr>
            <w:r w:rsidRPr="0038683F">
              <w:rPr>
                <w:rFonts w:eastAsiaTheme="minorHAnsi"/>
                <w:b/>
                <w:sz w:val="24"/>
                <w:szCs w:val="24"/>
              </w:rPr>
              <w:t>Prašymas</w:t>
            </w:r>
          </w:p>
        </w:tc>
        <w:tc>
          <w:tcPr>
            <w:tcW w:w="3827" w:type="dxa"/>
            <w:tcBorders>
              <w:top w:val="single" w:sz="8" w:space="0" w:color="auto"/>
              <w:left w:val="nil"/>
              <w:bottom w:val="single" w:sz="8" w:space="0" w:color="auto"/>
              <w:right w:val="single" w:sz="8" w:space="0" w:color="auto"/>
            </w:tcBorders>
          </w:tcPr>
          <w:p w:rsidR="0038683F" w:rsidRPr="0038683F" w:rsidRDefault="0038683F" w:rsidP="0038683F">
            <w:pPr>
              <w:jc w:val="center"/>
              <w:rPr>
                <w:rFonts w:eastAsiaTheme="minorHAnsi"/>
                <w:b/>
                <w:sz w:val="24"/>
                <w:szCs w:val="24"/>
              </w:rPr>
            </w:pPr>
            <w:r w:rsidRPr="0038683F">
              <w:rPr>
                <w:rFonts w:eastAsiaTheme="minorHAnsi"/>
                <w:b/>
                <w:sz w:val="24"/>
                <w:szCs w:val="24"/>
              </w:rPr>
              <w:t>Atsakymas</w:t>
            </w:r>
          </w:p>
        </w:tc>
      </w:tr>
      <w:tr w:rsidR="0038683F" w:rsidRPr="0038683F" w:rsidTr="0038683F">
        <w:trPr>
          <w:trHeight w:val="600"/>
        </w:trPr>
        <w:tc>
          <w:tcPr>
            <w:tcW w:w="620" w:type="dxa"/>
            <w:noWrap/>
          </w:tcPr>
          <w:p w:rsidR="0038683F" w:rsidRPr="0038683F" w:rsidRDefault="0038683F" w:rsidP="0038683F">
            <w:pPr>
              <w:rPr>
                <w:rFonts w:eastAsiaTheme="minorHAnsi"/>
                <w:sz w:val="24"/>
                <w:szCs w:val="24"/>
                <w:lang w:val="en-US"/>
              </w:rPr>
            </w:pPr>
            <w:r w:rsidRPr="0038683F">
              <w:rPr>
                <w:rFonts w:eastAsiaTheme="minorHAnsi"/>
                <w:sz w:val="24"/>
                <w:szCs w:val="24"/>
                <w:lang w:val="en-US"/>
              </w:rPr>
              <w:t>1.</w:t>
            </w:r>
          </w:p>
        </w:tc>
        <w:tc>
          <w:tcPr>
            <w:tcW w:w="5187" w:type="dxa"/>
            <w:tcBorders>
              <w:top w:val="single" w:sz="8" w:space="0" w:color="auto"/>
              <w:left w:val="nil"/>
              <w:bottom w:val="single" w:sz="8" w:space="0" w:color="auto"/>
              <w:right w:val="single" w:sz="8" w:space="0" w:color="auto"/>
            </w:tcBorders>
          </w:tcPr>
          <w:p w:rsidR="0038683F" w:rsidRPr="0038683F" w:rsidRDefault="0038683F" w:rsidP="0038683F">
            <w:pPr>
              <w:jc w:val="both"/>
              <w:rPr>
                <w:rFonts w:eastAsiaTheme="minorHAnsi"/>
                <w:sz w:val="24"/>
                <w:szCs w:val="24"/>
              </w:rPr>
            </w:pPr>
            <w:r w:rsidRPr="0038683F">
              <w:rPr>
                <w:rFonts w:eastAsiaTheme="minorHAnsi"/>
                <w:sz w:val="24"/>
                <w:szCs w:val="24"/>
              </w:rPr>
              <w:t>„Vadovaudamiesi viešųjų pirkimų skaidrumo, lygiateisiškumo ir nediskriminavimo principais, prašome patikslinti pirkimo sąlygų 3 priedo „Techninė specifikacija“ 28 punkto reikalavimą.</w:t>
            </w:r>
            <w:r w:rsidRPr="0038683F">
              <w:rPr>
                <w:rFonts w:eastAsiaTheme="minorHAnsi"/>
                <w:sz w:val="24"/>
                <w:szCs w:val="24"/>
              </w:rPr>
              <w:br/>
              <w:t>Techninės specifikacijos 28 punkte nurodyta:</w:t>
            </w:r>
            <w:r w:rsidRPr="0038683F">
              <w:rPr>
                <w:rFonts w:eastAsiaTheme="minorHAnsi"/>
                <w:sz w:val="24"/>
                <w:szCs w:val="24"/>
              </w:rPr>
              <w:br/>
              <w:t>„Visos siūlomo kompiuterio komplekto dalys (sisteminis blokas, pagrindinė plokštė, atmintis, diskinis kaupiklis, monitorius, pelė, klaviatūra) turi būti vieno gamintojo ar turi būti jo sertifikuotos (pažymėtos PC gamintojo firminiu ženklu). Sisteminis blokas turi būti sukomplektuotas komponentais gamintojo gamykloje arba oficialaus gamintojo atstovo servise."</w:t>
            </w:r>
            <w:r w:rsidRPr="0038683F">
              <w:rPr>
                <w:rFonts w:eastAsiaTheme="minorHAnsi"/>
                <w:sz w:val="24"/>
                <w:szCs w:val="24"/>
              </w:rPr>
              <w:br/>
              <w:t>Atsižvelgiant į tai, kad šiame punkte yra tiesiogiai paminėti monitorius, pelė ir klaviatūra, tačiau Techninėje specifikacijoje nėra pateikta atskirų minimalių techninių reikalavimų monitoriui, klaviatūrai ir pelei, prašome paaiškinti:</w:t>
            </w:r>
            <w:r w:rsidRPr="0038683F">
              <w:rPr>
                <w:rFonts w:eastAsiaTheme="minorHAnsi"/>
                <w:sz w:val="24"/>
                <w:szCs w:val="24"/>
              </w:rPr>
              <w:br/>
              <w:t>Ar pagal Techninės specifikacijos 28 punktą tiekėjas privalo kartu su kompiuterio sisteminiu bloku pasiūlyti ir monitorių, klaviatūrą bei pelę?</w:t>
            </w:r>
            <w:r w:rsidRPr="0038683F">
              <w:rPr>
                <w:rFonts w:eastAsiaTheme="minorHAnsi"/>
                <w:sz w:val="24"/>
                <w:szCs w:val="24"/>
              </w:rPr>
              <w:br/>
              <w:t>Jeigu monitoriaus, klaviatūros ir pelės siūlyti neprivaloma, prašome patikslinti, ar 28 punkte nurodytas tekstas dėl „monitoriaus, pelės, klaviatūros“ turi būti suprantamas tik kaip bendro pobūdžio reikalavimas, taikomas tik tuo atveju, jeigu šios dalys būtų siūlomos kartu su kompiuteriu.</w:t>
            </w:r>
            <w:r w:rsidRPr="0038683F">
              <w:rPr>
                <w:rFonts w:eastAsiaTheme="minorHAnsi"/>
                <w:sz w:val="24"/>
                <w:szCs w:val="24"/>
              </w:rPr>
              <w:br/>
              <w:t>Pažymime, kad aiškus šio reikalavimo išaiškinimas yra būtinas siekiant tinkamai parengti pasiūlymą ir išvengti skirtingo tiekėjų interpretavimo dėl siūlomo komplekto sudėties. Neaiškiai apibrėžus, ar monitorius, klaviatūra ir pelė yra privalomos komplekto dalys, tiekėjai gali pateikti skirtingos apimties pasiūlymus, o tai gali turėti įtakos pasiūlymų palyginamumui ir kainodarai.</w:t>
            </w:r>
            <w:r w:rsidRPr="0038683F">
              <w:rPr>
                <w:rFonts w:eastAsiaTheme="minorHAnsi"/>
                <w:sz w:val="24"/>
                <w:szCs w:val="24"/>
              </w:rPr>
              <w:br/>
              <w:t>Prašome atitinkamai patikslinti pirkimo dokumentus arba pateikti oficialų paaiškinimą CVP IS priemonėmis.“</w:t>
            </w:r>
          </w:p>
        </w:tc>
        <w:tc>
          <w:tcPr>
            <w:tcW w:w="3827" w:type="dxa"/>
            <w:tcBorders>
              <w:top w:val="single" w:sz="8" w:space="0" w:color="auto"/>
              <w:left w:val="nil"/>
              <w:bottom w:val="single" w:sz="8" w:space="0" w:color="auto"/>
              <w:right w:val="single" w:sz="8" w:space="0" w:color="auto"/>
            </w:tcBorders>
          </w:tcPr>
          <w:p w:rsidR="0038683F" w:rsidRPr="0038683F" w:rsidRDefault="0038683F" w:rsidP="0038683F">
            <w:pPr>
              <w:jc w:val="both"/>
              <w:rPr>
                <w:rFonts w:eastAsiaTheme="minorHAnsi"/>
                <w:sz w:val="24"/>
                <w:szCs w:val="24"/>
              </w:rPr>
            </w:pPr>
            <w:r w:rsidRPr="0038683F">
              <w:rPr>
                <w:rFonts w:eastAsiaTheme="minorHAnsi"/>
                <w:sz w:val="24"/>
                <w:szCs w:val="24"/>
                <w:lang w:val="en-US"/>
              </w:rPr>
              <w:t xml:space="preserve">1-os </w:t>
            </w:r>
            <w:proofErr w:type="spellStart"/>
            <w:r w:rsidRPr="0038683F">
              <w:rPr>
                <w:rFonts w:eastAsiaTheme="minorHAnsi"/>
                <w:sz w:val="24"/>
                <w:szCs w:val="24"/>
                <w:lang w:val="en-US"/>
              </w:rPr>
              <w:t>pirkimo</w:t>
            </w:r>
            <w:proofErr w:type="spellEnd"/>
            <w:r w:rsidRPr="0038683F">
              <w:rPr>
                <w:rFonts w:eastAsiaTheme="minorHAnsi"/>
                <w:sz w:val="24"/>
                <w:szCs w:val="24"/>
                <w:lang w:val="en-US"/>
              </w:rPr>
              <w:t xml:space="preserve"> </w:t>
            </w:r>
            <w:proofErr w:type="spellStart"/>
            <w:r w:rsidRPr="0038683F">
              <w:rPr>
                <w:rFonts w:eastAsiaTheme="minorHAnsi"/>
                <w:sz w:val="24"/>
                <w:szCs w:val="24"/>
                <w:lang w:val="en-US"/>
              </w:rPr>
              <w:t>objekto</w:t>
            </w:r>
            <w:proofErr w:type="spellEnd"/>
            <w:r w:rsidRPr="0038683F">
              <w:rPr>
                <w:rFonts w:eastAsiaTheme="minorHAnsi"/>
                <w:sz w:val="24"/>
                <w:szCs w:val="24"/>
                <w:lang w:val="en-US"/>
              </w:rPr>
              <w:t xml:space="preserve"> </w:t>
            </w:r>
            <w:proofErr w:type="spellStart"/>
            <w:r w:rsidRPr="0038683F">
              <w:rPr>
                <w:rFonts w:eastAsiaTheme="minorHAnsi"/>
                <w:sz w:val="24"/>
                <w:szCs w:val="24"/>
                <w:lang w:val="en-US"/>
              </w:rPr>
              <w:t>dalies</w:t>
            </w:r>
            <w:proofErr w:type="spellEnd"/>
            <w:r w:rsidRPr="0038683F">
              <w:rPr>
                <w:rFonts w:eastAsiaTheme="minorHAnsi"/>
                <w:sz w:val="24"/>
                <w:szCs w:val="24"/>
                <w:lang w:val="en-US"/>
              </w:rPr>
              <w:t xml:space="preserve"> </w:t>
            </w:r>
            <w:r w:rsidRPr="0038683F">
              <w:rPr>
                <w:rFonts w:eastAsiaTheme="minorHAnsi"/>
                <w:sz w:val="24"/>
                <w:szCs w:val="24"/>
              </w:rPr>
              <w:t>„Aukšto našumo stacionarūs kompiuteriai (stacionariosios darbo stotys</w:t>
            </w:r>
            <w:proofErr w:type="gramStart"/>
            <w:r w:rsidRPr="0038683F">
              <w:rPr>
                <w:rFonts w:eastAsiaTheme="minorHAnsi"/>
                <w:sz w:val="24"/>
                <w:szCs w:val="24"/>
              </w:rPr>
              <w:t>)“</w:t>
            </w:r>
            <w:proofErr w:type="gramEnd"/>
            <w:r w:rsidRPr="0038683F">
              <w:rPr>
                <w:rFonts w:eastAsiaTheme="minorHAnsi"/>
                <w:sz w:val="24"/>
                <w:szCs w:val="24"/>
              </w:rPr>
              <w:t xml:space="preserve"> techninės specifikacijos </w:t>
            </w:r>
            <w:r w:rsidRPr="0038683F">
              <w:rPr>
                <w:rFonts w:eastAsiaTheme="minorHAnsi"/>
                <w:sz w:val="24"/>
                <w:szCs w:val="24"/>
                <w:lang w:val="en-US"/>
              </w:rPr>
              <w:t xml:space="preserve">28 </w:t>
            </w:r>
            <w:proofErr w:type="spellStart"/>
            <w:r w:rsidRPr="0038683F">
              <w:rPr>
                <w:rFonts w:eastAsiaTheme="minorHAnsi"/>
                <w:sz w:val="24"/>
                <w:szCs w:val="24"/>
                <w:lang w:val="en-US"/>
              </w:rPr>
              <w:t>punkte</w:t>
            </w:r>
            <w:proofErr w:type="spellEnd"/>
            <w:r w:rsidRPr="0038683F">
              <w:rPr>
                <w:rFonts w:eastAsiaTheme="minorHAnsi"/>
                <w:sz w:val="24"/>
                <w:szCs w:val="24"/>
                <w:lang w:val="en-US"/>
              </w:rPr>
              <w:t xml:space="preserve"> </w:t>
            </w:r>
            <w:r w:rsidRPr="0038683F">
              <w:rPr>
                <w:rFonts w:eastAsiaTheme="minorHAnsi"/>
                <w:sz w:val="24"/>
                <w:szCs w:val="24"/>
              </w:rPr>
              <w:t xml:space="preserve"> nurodytas tekstas dėl „monitoriaus, pelės, klaviatūros“ turi būti suprantamas tik kaip bendro pobūdžio reikalavimas, taikomas tik tuo atveju, jeigu šios dalys būtų siūlomos kartu su kompiuteriu. Siekiant aiškumo, perkančioji organizacija patikslina techninės specifikacijos </w:t>
            </w:r>
            <w:r w:rsidRPr="0038683F">
              <w:rPr>
                <w:rFonts w:eastAsiaTheme="minorHAnsi"/>
                <w:sz w:val="24"/>
                <w:szCs w:val="24"/>
                <w:lang w:val="en-US"/>
              </w:rPr>
              <w:t xml:space="preserve">28 </w:t>
            </w:r>
            <w:proofErr w:type="spellStart"/>
            <w:r w:rsidRPr="0038683F">
              <w:rPr>
                <w:rFonts w:eastAsiaTheme="minorHAnsi"/>
                <w:sz w:val="24"/>
                <w:szCs w:val="24"/>
                <w:lang w:val="en-US"/>
              </w:rPr>
              <w:t>punktą</w:t>
            </w:r>
            <w:proofErr w:type="spellEnd"/>
            <w:r w:rsidRPr="0038683F">
              <w:rPr>
                <w:rFonts w:eastAsiaTheme="minorHAnsi"/>
                <w:sz w:val="24"/>
                <w:szCs w:val="24"/>
                <w:lang w:val="en-US"/>
              </w:rPr>
              <w:t xml:space="preserve"> </w:t>
            </w:r>
            <w:proofErr w:type="spellStart"/>
            <w:r w:rsidRPr="0038683F">
              <w:rPr>
                <w:rFonts w:eastAsiaTheme="minorHAnsi"/>
                <w:sz w:val="24"/>
                <w:szCs w:val="24"/>
                <w:lang w:val="en-US"/>
              </w:rPr>
              <w:t>ir</w:t>
            </w:r>
            <w:proofErr w:type="spellEnd"/>
            <w:r w:rsidRPr="0038683F">
              <w:rPr>
                <w:rFonts w:eastAsiaTheme="minorHAnsi"/>
                <w:sz w:val="24"/>
                <w:szCs w:val="24"/>
                <w:lang w:val="en-US"/>
              </w:rPr>
              <w:t xml:space="preserve"> </w:t>
            </w:r>
            <w:proofErr w:type="spellStart"/>
            <w:r w:rsidRPr="0038683F">
              <w:rPr>
                <w:rFonts w:eastAsiaTheme="minorHAnsi"/>
                <w:sz w:val="24"/>
                <w:szCs w:val="24"/>
                <w:lang w:val="en-US"/>
              </w:rPr>
              <w:t>vietoje</w:t>
            </w:r>
            <w:proofErr w:type="spellEnd"/>
            <w:r w:rsidRPr="0038683F">
              <w:rPr>
                <w:rFonts w:eastAsiaTheme="minorHAnsi"/>
                <w:sz w:val="24"/>
                <w:szCs w:val="24"/>
              </w:rPr>
              <w:t>:</w:t>
            </w:r>
          </w:p>
          <w:p w:rsidR="0038683F" w:rsidRPr="0038683F" w:rsidRDefault="0038683F" w:rsidP="0038683F">
            <w:pPr>
              <w:jc w:val="both"/>
              <w:rPr>
                <w:rFonts w:eastAsiaTheme="minorHAnsi"/>
                <w:sz w:val="24"/>
                <w:szCs w:val="24"/>
              </w:rPr>
            </w:pPr>
            <w:r w:rsidRPr="0038683F">
              <w:rPr>
                <w:rFonts w:eastAsiaTheme="minorHAnsi"/>
                <w:sz w:val="24"/>
                <w:szCs w:val="24"/>
              </w:rPr>
              <w:t>„</w:t>
            </w:r>
            <w:r w:rsidRPr="0038683F">
              <w:rPr>
                <w:rFonts w:eastAsiaTheme="minorHAnsi"/>
                <w:sz w:val="24"/>
                <w:szCs w:val="24"/>
                <w:lang w:val="en-US"/>
              </w:rPr>
              <w:t xml:space="preserve">28. </w:t>
            </w:r>
            <w:r w:rsidRPr="0038683F">
              <w:rPr>
                <w:rFonts w:eastAsiaTheme="minorHAnsi"/>
                <w:i/>
                <w:sz w:val="24"/>
                <w:szCs w:val="24"/>
              </w:rPr>
              <w:t>Visos siūlomo kompiuterio komplekto dalys (sisteminis blokas, pagrindinė plokštė, atmintis, diskinis kaupiklis, monitorius, pelė, klaviatūra) turi būti vieno gamintojo ar turi būti jo sertifikuotos (pažymėtos PC gamintojo firminiu ženklu). Sisteminis blokas turi būti sukomplektuotas komponentais gamintojo gamykloje arba oficialaus gamintojo atstovo servise</w:t>
            </w:r>
            <w:r w:rsidRPr="0038683F">
              <w:rPr>
                <w:rFonts w:eastAsiaTheme="minorHAnsi"/>
                <w:sz w:val="24"/>
                <w:szCs w:val="24"/>
              </w:rPr>
              <w:t>“</w:t>
            </w:r>
          </w:p>
          <w:p w:rsidR="0038683F" w:rsidRPr="0038683F" w:rsidRDefault="0038683F" w:rsidP="0038683F">
            <w:pPr>
              <w:jc w:val="both"/>
              <w:rPr>
                <w:rFonts w:eastAsiaTheme="minorHAnsi"/>
                <w:sz w:val="24"/>
                <w:szCs w:val="24"/>
              </w:rPr>
            </w:pPr>
            <w:r w:rsidRPr="0038683F">
              <w:rPr>
                <w:rFonts w:eastAsiaTheme="minorHAnsi"/>
                <w:sz w:val="24"/>
                <w:szCs w:val="24"/>
              </w:rPr>
              <w:t>išdėsto taip:</w:t>
            </w:r>
          </w:p>
          <w:p w:rsidR="0038683F" w:rsidRPr="0038683F" w:rsidRDefault="0038683F" w:rsidP="0038683F">
            <w:pPr>
              <w:jc w:val="both"/>
              <w:rPr>
                <w:rFonts w:eastAsiaTheme="minorHAnsi"/>
                <w:sz w:val="24"/>
                <w:szCs w:val="24"/>
                <w:lang w:val="en-US"/>
              </w:rPr>
            </w:pPr>
            <w:r w:rsidRPr="0038683F">
              <w:rPr>
                <w:rFonts w:eastAsiaTheme="minorHAnsi"/>
                <w:sz w:val="24"/>
                <w:szCs w:val="24"/>
              </w:rPr>
              <w:t>„</w:t>
            </w:r>
            <w:r w:rsidRPr="0038683F">
              <w:rPr>
                <w:rFonts w:eastAsiaTheme="minorHAnsi"/>
                <w:i/>
                <w:sz w:val="24"/>
                <w:szCs w:val="24"/>
                <w:lang w:val="en-US"/>
              </w:rPr>
              <w:t xml:space="preserve">28. </w:t>
            </w:r>
            <w:r w:rsidRPr="0038683F">
              <w:rPr>
                <w:rFonts w:eastAsiaTheme="minorHAnsi"/>
                <w:i/>
                <w:sz w:val="24"/>
                <w:szCs w:val="24"/>
              </w:rPr>
              <w:t>Visos siūlomo kompiuterio komplekto dalys (sisteminis blokas, pagrindinė plokštė, atmintis, diskinis kaupiklis) turi būti vieno gamintojo ar turi būti jo sertifikuotos (pažymėtos PC gamintojo firminiu ženklu). Sisteminis blokas turi būti sukomplektuotas komponentais gamintojo gamykloje arba oficialaus gamintojo atstovo servise</w:t>
            </w:r>
            <w:r w:rsidRPr="0038683F">
              <w:rPr>
                <w:rFonts w:eastAsiaTheme="minorHAnsi"/>
                <w:sz w:val="24"/>
                <w:szCs w:val="24"/>
              </w:rPr>
              <w:t>“.</w:t>
            </w:r>
          </w:p>
        </w:tc>
      </w:tr>
      <w:tr w:rsidR="0038683F" w:rsidRPr="0038683F" w:rsidTr="0038683F">
        <w:trPr>
          <w:trHeight w:val="600"/>
        </w:trPr>
        <w:tc>
          <w:tcPr>
            <w:tcW w:w="620" w:type="dxa"/>
            <w:noWrap/>
          </w:tcPr>
          <w:p w:rsidR="0038683F" w:rsidRPr="0038683F" w:rsidRDefault="0038683F" w:rsidP="0038683F">
            <w:pPr>
              <w:rPr>
                <w:rFonts w:eastAsiaTheme="minorHAnsi"/>
                <w:sz w:val="24"/>
                <w:szCs w:val="24"/>
              </w:rPr>
            </w:pPr>
            <w:r w:rsidRPr="0038683F">
              <w:rPr>
                <w:rFonts w:eastAsiaTheme="minorHAnsi"/>
                <w:sz w:val="24"/>
                <w:szCs w:val="24"/>
              </w:rPr>
              <w:t>2.</w:t>
            </w:r>
          </w:p>
        </w:tc>
        <w:tc>
          <w:tcPr>
            <w:tcW w:w="5187" w:type="dxa"/>
            <w:tcBorders>
              <w:top w:val="single" w:sz="8" w:space="0" w:color="auto"/>
              <w:left w:val="nil"/>
              <w:bottom w:val="single" w:sz="8" w:space="0" w:color="auto"/>
              <w:right w:val="single" w:sz="8" w:space="0" w:color="auto"/>
            </w:tcBorders>
          </w:tcPr>
          <w:p w:rsidR="0038683F" w:rsidRPr="0038683F" w:rsidRDefault="0038683F" w:rsidP="0038683F">
            <w:pPr>
              <w:jc w:val="both"/>
              <w:rPr>
                <w:rFonts w:eastAsiaTheme="minorHAnsi"/>
                <w:sz w:val="24"/>
                <w:szCs w:val="24"/>
              </w:rPr>
            </w:pPr>
            <w:r w:rsidRPr="0038683F">
              <w:rPr>
                <w:rFonts w:eastAsiaTheme="minorHAnsi"/>
                <w:sz w:val="24"/>
                <w:szCs w:val="24"/>
              </w:rPr>
              <w:t>„Prašau, paaiškinkite, kodėl yra reikalaujama, kad stacionarių kompiuterių komplektai būtų sertifikuoti pagal NATO SDIP-27/2 B lygio reikalavimus, o nešiojamo kompiuterio komplektas - pagal NATO SDIP-27/3 B lygio reikalavimus?</w:t>
            </w:r>
            <w:r w:rsidRPr="0038683F">
              <w:rPr>
                <w:rFonts w:eastAsiaTheme="minorHAnsi"/>
                <w:sz w:val="24"/>
                <w:szCs w:val="24"/>
              </w:rPr>
              <w:br/>
            </w:r>
            <w:r w:rsidRPr="0038683F">
              <w:rPr>
                <w:rFonts w:eastAsiaTheme="minorHAnsi"/>
                <w:sz w:val="24"/>
                <w:szCs w:val="24"/>
              </w:rPr>
              <w:br/>
              <w:t>Šiuo metu naujausia redakcija yra SDIP-27/3, ji buvo paskelbta 2024 metų lapkričio 24 d. ir atsižvelgia į naujausias grėsmes. SDIP-27/2 redakcija yra sena ir galioja nuo maždaug 2010 metų.“</w:t>
            </w:r>
          </w:p>
        </w:tc>
        <w:tc>
          <w:tcPr>
            <w:tcW w:w="3827" w:type="dxa"/>
            <w:tcBorders>
              <w:top w:val="single" w:sz="8" w:space="0" w:color="auto"/>
              <w:left w:val="nil"/>
              <w:bottom w:val="single" w:sz="8" w:space="0" w:color="auto"/>
              <w:right w:val="single" w:sz="8" w:space="0" w:color="auto"/>
            </w:tcBorders>
          </w:tcPr>
          <w:p w:rsidR="0038683F" w:rsidRPr="0038683F" w:rsidRDefault="0038683F" w:rsidP="0038683F">
            <w:pPr>
              <w:jc w:val="both"/>
              <w:rPr>
                <w:rFonts w:eastAsiaTheme="minorHAnsi"/>
                <w:sz w:val="24"/>
                <w:szCs w:val="24"/>
              </w:rPr>
            </w:pPr>
            <w:r w:rsidRPr="0038683F">
              <w:rPr>
                <w:rFonts w:eastAsiaTheme="minorHAnsi"/>
                <w:sz w:val="24"/>
                <w:szCs w:val="24"/>
              </w:rPr>
              <w:t xml:space="preserve">Atsižvelgdama į tiekėjo paklausimą ir dėl techninės klaidos atsiradusį netikslumą pirkimo sąlygose, perkančioji organizacija patikslina </w:t>
            </w:r>
            <w:r w:rsidRPr="0038683F">
              <w:rPr>
                <w:rFonts w:eastAsiaTheme="minorHAnsi"/>
                <w:sz w:val="24"/>
                <w:szCs w:val="24"/>
                <w:lang w:val="en-US"/>
              </w:rPr>
              <w:t xml:space="preserve">2-os </w:t>
            </w:r>
            <w:proofErr w:type="spellStart"/>
            <w:r w:rsidRPr="0038683F">
              <w:rPr>
                <w:rFonts w:eastAsiaTheme="minorHAnsi"/>
                <w:sz w:val="24"/>
                <w:szCs w:val="24"/>
                <w:lang w:val="en-US"/>
              </w:rPr>
              <w:t>pirkimo</w:t>
            </w:r>
            <w:proofErr w:type="spellEnd"/>
            <w:r w:rsidRPr="0038683F">
              <w:rPr>
                <w:rFonts w:eastAsiaTheme="minorHAnsi"/>
                <w:sz w:val="24"/>
                <w:szCs w:val="24"/>
                <w:lang w:val="en-US"/>
              </w:rPr>
              <w:t xml:space="preserve"> </w:t>
            </w:r>
            <w:proofErr w:type="spellStart"/>
            <w:r w:rsidRPr="0038683F">
              <w:rPr>
                <w:rFonts w:eastAsiaTheme="minorHAnsi"/>
                <w:sz w:val="24"/>
                <w:szCs w:val="24"/>
                <w:lang w:val="en-US"/>
              </w:rPr>
              <w:t>objekto</w:t>
            </w:r>
            <w:proofErr w:type="spellEnd"/>
            <w:r w:rsidRPr="0038683F">
              <w:rPr>
                <w:rFonts w:eastAsiaTheme="minorHAnsi"/>
                <w:sz w:val="24"/>
                <w:szCs w:val="24"/>
                <w:lang w:val="en-US"/>
              </w:rPr>
              <w:t xml:space="preserve"> </w:t>
            </w:r>
            <w:proofErr w:type="spellStart"/>
            <w:r w:rsidRPr="0038683F">
              <w:rPr>
                <w:rFonts w:eastAsiaTheme="minorHAnsi"/>
                <w:sz w:val="24"/>
                <w:szCs w:val="24"/>
                <w:lang w:val="en-US"/>
              </w:rPr>
              <w:t>dalies</w:t>
            </w:r>
            <w:proofErr w:type="spellEnd"/>
            <w:r w:rsidRPr="0038683F">
              <w:rPr>
                <w:rFonts w:eastAsiaTheme="minorHAnsi"/>
                <w:sz w:val="24"/>
                <w:szCs w:val="24"/>
                <w:lang w:val="en-US"/>
              </w:rPr>
              <w:t xml:space="preserve"> </w:t>
            </w:r>
            <w:r w:rsidRPr="0038683F">
              <w:rPr>
                <w:rFonts w:eastAsiaTheme="minorHAnsi"/>
                <w:sz w:val="24"/>
                <w:szCs w:val="24"/>
              </w:rPr>
              <w:t xml:space="preserve">„Kompiuterinės darbo vietos (TEMPEST)“ </w:t>
            </w:r>
            <w:proofErr w:type="spellStart"/>
            <w:r w:rsidRPr="0038683F">
              <w:rPr>
                <w:rFonts w:eastAsiaTheme="minorHAnsi"/>
                <w:sz w:val="24"/>
                <w:szCs w:val="24"/>
                <w:lang w:val="en-US"/>
              </w:rPr>
              <w:t>pirkimo</w:t>
            </w:r>
            <w:proofErr w:type="spellEnd"/>
            <w:r w:rsidRPr="0038683F">
              <w:rPr>
                <w:rFonts w:eastAsiaTheme="minorHAnsi"/>
                <w:sz w:val="24"/>
                <w:szCs w:val="24"/>
              </w:rPr>
              <w:t xml:space="preserve"> sąlygų Stacionaraus kompiuterio su monitoriumi techninės specifikacijos </w:t>
            </w:r>
            <w:r w:rsidRPr="0038683F">
              <w:rPr>
                <w:rFonts w:eastAsiaTheme="minorHAnsi"/>
                <w:sz w:val="24"/>
                <w:szCs w:val="24"/>
                <w:lang w:val="en-US"/>
              </w:rPr>
              <w:t>12</w:t>
            </w:r>
            <w:r w:rsidRPr="0038683F">
              <w:rPr>
                <w:rFonts w:eastAsiaTheme="minorHAnsi"/>
                <w:sz w:val="24"/>
                <w:szCs w:val="24"/>
              </w:rPr>
              <w:t xml:space="preserve"> punktą ir vietoje:</w:t>
            </w:r>
          </w:p>
          <w:p w:rsidR="0038683F" w:rsidRPr="0038683F" w:rsidRDefault="0038683F" w:rsidP="0038683F">
            <w:pPr>
              <w:jc w:val="both"/>
              <w:rPr>
                <w:rFonts w:eastAsiaTheme="minorHAnsi"/>
                <w:sz w:val="24"/>
                <w:szCs w:val="24"/>
              </w:rPr>
            </w:pPr>
            <w:r w:rsidRPr="0038683F">
              <w:rPr>
                <w:rFonts w:eastAsiaTheme="minorHAnsi"/>
                <w:sz w:val="24"/>
                <w:szCs w:val="24"/>
              </w:rPr>
              <w:t>„</w:t>
            </w:r>
            <w:r w:rsidRPr="0038683F">
              <w:rPr>
                <w:rFonts w:eastAsiaTheme="minorHAnsi"/>
                <w:i/>
                <w:sz w:val="24"/>
                <w:szCs w:val="24"/>
                <w:lang w:val="en-US"/>
              </w:rPr>
              <w:t xml:space="preserve">12. </w:t>
            </w:r>
            <w:r w:rsidRPr="0038683F">
              <w:rPr>
                <w:rFonts w:eastAsiaTheme="minorHAnsi"/>
                <w:i/>
                <w:sz w:val="24"/>
                <w:szCs w:val="24"/>
              </w:rPr>
              <w:t xml:space="preserve"> TEMPEST: NATO SDIP 27/2 </w:t>
            </w:r>
            <w:proofErr w:type="spellStart"/>
            <w:r w:rsidRPr="0038683F">
              <w:rPr>
                <w:rFonts w:eastAsiaTheme="minorHAnsi"/>
                <w:i/>
                <w:sz w:val="24"/>
                <w:szCs w:val="24"/>
              </w:rPr>
              <w:t>Level</w:t>
            </w:r>
            <w:proofErr w:type="spellEnd"/>
            <w:r w:rsidRPr="0038683F">
              <w:rPr>
                <w:rFonts w:eastAsiaTheme="minorHAnsi"/>
                <w:i/>
                <w:sz w:val="24"/>
                <w:szCs w:val="24"/>
              </w:rPr>
              <w:t xml:space="preserve"> B arba EU IASG 7-03 </w:t>
            </w:r>
            <w:proofErr w:type="spellStart"/>
            <w:r w:rsidRPr="0038683F">
              <w:rPr>
                <w:rFonts w:eastAsiaTheme="minorHAnsi"/>
                <w:i/>
                <w:sz w:val="24"/>
                <w:szCs w:val="24"/>
              </w:rPr>
              <w:t>Level</w:t>
            </w:r>
            <w:proofErr w:type="spellEnd"/>
            <w:r w:rsidRPr="0038683F">
              <w:rPr>
                <w:rFonts w:eastAsiaTheme="minorHAnsi"/>
                <w:i/>
                <w:sz w:val="24"/>
                <w:szCs w:val="24"/>
              </w:rPr>
              <w:t xml:space="preserve"> B</w:t>
            </w:r>
            <w:r w:rsidRPr="0038683F">
              <w:rPr>
                <w:rFonts w:eastAsiaTheme="minorHAnsi"/>
                <w:sz w:val="24"/>
                <w:szCs w:val="24"/>
              </w:rPr>
              <w:t>“</w:t>
            </w:r>
          </w:p>
          <w:p w:rsidR="0038683F" w:rsidRPr="0038683F" w:rsidRDefault="0038683F" w:rsidP="0038683F">
            <w:pPr>
              <w:jc w:val="both"/>
              <w:rPr>
                <w:rFonts w:eastAsiaTheme="minorHAnsi"/>
                <w:sz w:val="24"/>
                <w:szCs w:val="24"/>
              </w:rPr>
            </w:pPr>
            <w:r w:rsidRPr="0038683F">
              <w:rPr>
                <w:rFonts w:eastAsiaTheme="minorHAnsi"/>
                <w:sz w:val="24"/>
                <w:szCs w:val="24"/>
              </w:rPr>
              <w:t>išdėsto taip:</w:t>
            </w:r>
          </w:p>
          <w:p w:rsidR="0038683F" w:rsidRPr="0038683F" w:rsidRDefault="0038683F" w:rsidP="0038683F">
            <w:pPr>
              <w:jc w:val="both"/>
              <w:rPr>
                <w:rFonts w:eastAsiaTheme="minorHAnsi"/>
                <w:sz w:val="24"/>
                <w:szCs w:val="24"/>
              </w:rPr>
            </w:pPr>
            <w:r w:rsidRPr="0038683F">
              <w:rPr>
                <w:rFonts w:eastAsiaTheme="minorHAnsi"/>
                <w:sz w:val="24"/>
                <w:szCs w:val="24"/>
              </w:rPr>
              <w:t>„</w:t>
            </w:r>
            <w:r w:rsidRPr="0038683F">
              <w:rPr>
                <w:rFonts w:eastAsiaTheme="minorHAnsi"/>
                <w:i/>
                <w:sz w:val="24"/>
                <w:szCs w:val="24"/>
                <w:lang w:val="en-US"/>
              </w:rPr>
              <w:t xml:space="preserve">12. </w:t>
            </w:r>
            <w:r w:rsidRPr="0038683F">
              <w:rPr>
                <w:rFonts w:eastAsiaTheme="minorHAnsi"/>
                <w:i/>
                <w:sz w:val="24"/>
                <w:szCs w:val="24"/>
              </w:rPr>
              <w:t xml:space="preserve">TEMPEST: NATO SDIP 27/3 </w:t>
            </w:r>
            <w:proofErr w:type="spellStart"/>
            <w:r w:rsidRPr="0038683F">
              <w:rPr>
                <w:rFonts w:eastAsiaTheme="minorHAnsi"/>
                <w:i/>
                <w:sz w:val="24"/>
                <w:szCs w:val="24"/>
              </w:rPr>
              <w:t>Level</w:t>
            </w:r>
            <w:proofErr w:type="spellEnd"/>
            <w:r w:rsidRPr="0038683F">
              <w:rPr>
                <w:rFonts w:eastAsiaTheme="minorHAnsi"/>
                <w:i/>
                <w:sz w:val="24"/>
                <w:szCs w:val="24"/>
              </w:rPr>
              <w:t xml:space="preserve"> B arba EU IASG 7-03 </w:t>
            </w:r>
            <w:proofErr w:type="spellStart"/>
            <w:r w:rsidRPr="0038683F">
              <w:rPr>
                <w:rFonts w:eastAsiaTheme="minorHAnsi"/>
                <w:i/>
                <w:sz w:val="24"/>
                <w:szCs w:val="24"/>
              </w:rPr>
              <w:t>Level</w:t>
            </w:r>
            <w:proofErr w:type="spellEnd"/>
            <w:r w:rsidRPr="0038683F">
              <w:rPr>
                <w:rFonts w:eastAsiaTheme="minorHAnsi"/>
                <w:i/>
                <w:sz w:val="24"/>
                <w:szCs w:val="24"/>
              </w:rPr>
              <w:t xml:space="preserve"> B</w:t>
            </w:r>
            <w:r w:rsidRPr="0038683F">
              <w:rPr>
                <w:rFonts w:eastAsiaTheme="minorHAnsi"/>
                <w:sz w:val="24"/>
                <w:szCs w:val="24"/>
              </w:rPr>
              <w:t>“.</w:t>
            </w:r>
          </w:p>
        </w:tc>
      </w:tr>
    </w:tbl>
    <w:p w:rsidR="0038683F" w:rsidRDefault="0038683F" w:rsidP="00947129">
      <w:pPr>
        <w:ind w:firstLine="1296"/>
        <w:jc w:val="both"/>
        <w:rPr>
          <w:sz w:val="24"/>
          <w:szCs w:val="24"/>
        </w:rPr>
      </w:pPr>
    </w:p>
    <w:p w:rsidR="0038683F" w:rsidRDefault="0038683F" w:rsidP="00947129">
      <w:pPr>
        <w:ind w:firstLine="1296"/>
        <w:jc w:val="both"/>
        <w:rPr>
          <w:sz w:val="24"/>
          <w:szCs w:val="24"/>
        </w:rPr>
      </w:pPr>
    </w:p>
    <w:p w:rsidR="00947129" w:rsidRPr="007137AB" w:rsidRDefault="008023A4" w:rsidP="00947129">
      <w:pPr>
        <w:ind w:firstLine="1296"/>
        <w:jc w:val="both"/>
        <w:rPr>
          <w:rFonts w:eastAsia="Aptos"/>
          <w:kern w:val="2"/>
          <w:sz w:val="24"/>
          <w:szCs w:val="24"/>
          <w14:ligatures w14:val="standardContextual"/>
        </w:rPr>
      </w:pPr>
      <w:r w:rsidRPr="008023A4">
        <w:rPr>
          <w:sz w:val="24"/>
          <w:szCs w:val="24"/>
        </w:rPr>
        <w:t xml:space="preserve">Atsižvelgiant į atliktus </w:t>
      </w:r>
      <w:r w:rsidR="007137AB">
        <w:rPr>
          <w:sz w:val="24"/>
          <w:szCs w:val="24"/>
        </w:rPr>
        <w:t>pirkimo</w:t>
      </w:r>
      <w:r w:rsidR="00F92911">
        <w:rPr>
          <w:sz w:val="24"/>
          <w:szCs w:val="24"/>
        </w:rPr>
        <w:t xml:space="preserve"> sąlygų </w:t>
      </w:r>
      <w:proofErr w:type="spellStart"/>
      <w:r w:rsidRPr="008023A4">
        <w:rPr>
          <w:sz w:val="24"/>
          <w:szCs w:val="24"/>
        </w:rPr>
        <w:t>patikslinimus</w:t>
      </w:r>
      <w:proofErr w:type="spellEnd"/>
      <w:r w:rsidRPr="008023A4">
        <w:rPr>
          <w:sz w:val="24"/>
          <w:szCs w:val="24"/>
        </w:rPr>
        <w:t xml:space="preserve">, </w:t>
      </w:r>
      <w:r w:rsidR="00F92911">
        <w:rPr>
          <w:sz w:val="24"/>
          <w:szCs w:val="24"/>
        </w:rPr>
        <w:t>komisija nusprendė</w:t>
      </w:r>
      <w:r w:rsidRPr="008023A4">
        <w:rPr>
          <w:sz w:val="24"/>
          <w:szCs w:val="24"/>
        </w:rPr>
        <w:t xml:space="preserve"> </w:t>
      </w:r>
      <w:r w:rsidR="0038683F" w:rsidRPr="0038683F">
        <w:rPr>
          <w:sz w:val="24"/>
          <w:szCs w:val="24"/>
        </w:rPr>
        <w:t xml:space="preserve">pirkimo sąlygų </w:t>
      </w:r>
      <w:r w:rsidR="0038683F" w:rsidRPr="0038683F">
        <w:rPr>
          <w:sz w:val="24"/>
          <w:szCs w:val="24"/>
          <w:lang w:val="en-US"/>
        </w:rPr>
        <w:t>3 pried</w:t>
      </w:r>
      <w:r w:rsidR="0038683F" w:rsidRPr="0038683F">
        <w:rPr>
          <w:sz w:val="24"/>
          <w:szCs w:val="24"/>
        </w:rPr>
        <w:t>ą „Techninė specifikacija“ (abiejų pirkimo objekto dalių) išdėstyti nauja redakcija</w:t>
      </w:r>
      <w:r w:rsidR="0038683F">
        <w:rPr>
          <w:sz w:val="24"/>
          <w:szCs w:val="24"/>
        </w:rPr>
        <w:t>. Komisija taip pat nusprendė</w:t>
      </w:r>
      <w:bookmarkStart w:id="0" w:name="_GoBack"/>
      <w:bookmarkEnd w:id="0"/>
      <w:r w:rsidR="0038683F" w:rsidRPr="0038683F">
        <w:rPr>
          <w:sz w:val="24"/>
          <w:szCs w:val="24"/>
        </w:rPr>
        <w:t xml:space="preserve"> </w:t>
      </w:r>
      <w:r w:rsidRPr="008023A4">
        <w:rPr>
          <w:sz w:val="24"/>
          <w:szCs w:val="24"/>
        </w:rPr>
        <w:t xml:space="preserve">pratęsti pasiūlymų pateikimo terminą iki </w:t>
      </w:r>
      <w:r w:rsidR="0038683F">
        <w:rPr>
          <w:b/>
          <w:sz w:val="24"/>
          <w:szCs w:val="24"/>
        </w:rPr>
        <w:t>2026</w:t>
      </w:r>
      <w:r w:rsidRPr="00F92911">
        <w:rPr>
          <w:b/>
          <w:sz w:val="24"/>
          <w:szCs w:val="24"/>
        </w:rPr>
        <w:t xml:space="preserve"> m. </w:t>
      </w:r>
      <w:r w:rsidR="0038683F">
        <w:rPr>
          <w:b/>
          <w:sz w:val="24"/>
          <w:szCs w:val="24"/>
        </w:rPr>
        <w:t>liepos 21</w:t>
      </w:r>
      <w:r w:rsidRPr="00F92911">
        <w:rPr>
          <w:b/>
          <w:sz w:val="24"/>
          <w:szCs w:val="24"/>
        </w:rPr>
        <w:t xml:space="preserve"> d. 10.00 val.</w:t>
      </w:r>
      <w:r w:rsidR="007137AB">
        <w:rPr>
          <w:b/>
          <w:sz w:val="24"/>
          <w:szCs w:val="24"/>
        </w:rPr>
        <w:t xml:space="preserve"> </w:t>
      </w:r>
      <w:r w:rsidR="007137AB" w:rsidRPr="007137AB">
        <w:rPr>
          <w:sz w:val="24"/>
          <w:szCs w:val="24"/>
        </w:rPr>
        <w:t xml:space="preserve">Terminas </w:t>
      </w:r>
      <w:r w:rsidR="007137AB">
        <w:rPr>
          <w:sz w:val="24"/>
          <w:szCs w:val="24"/>
        </w:rPr>
        <w:t>tiekėjams teikti pasiūlymus</w:t>
      </w:r>
      <w:r w:rsidR="007137AB" w:rsidRPr="007137AB">
        <w:rPr>
          <w:sz w:val="24"/>
          <w:szCs w:val="24"/>
        </w:rPr>
        <w:t xml:space="preserve"> patikslinti pirkimo dokumentus arba prašymus dėl pirkimo dokumentų paaiškinimų</w:t>
      </w:r>
      <w:r w:rsidR="007137AB">
        <w:rPr>
          <w:sz w:val="24"/>
          <w:szCs w:val="24"/>
        </w:rPr>
        <w:t xml:space="preserve"> pratęsiamas iki </w:t>
      </w:r>
      <w:r w:rsidR="0038683F">
        <w:rPr>
          <w:sz w:val="24"/>
          <w:szCs w:val="24"/>
        </w:rPr>
        <w:t>2026</w:t>
      </w:r>
      <w:r w:rsidR="007137AB" w:rsidRPr="007137AB">
        <w:rPr>
          <w:sz w:val="24"/>
          <w:szCs w:val="24"/>
        </w:rPr>
        <w:t xml:space="preserve"> m. </w:t>
      </w:r>
      <w:r w:rsidR="0038683F">
        <w:rPr>
          <w:sz w:val="24"/>
          <w:szCs w:val="24"/>
        </w:rPr>
        <w:t>liepos 17</w:t>
      </w:r>
      <w:r w:rsidR="007137AB" w:rsidRPr="007137AB">
        <w:rPr>
          <w:sz w:val="24"/>
          <w:szCs w:val="24"/>
        </w:rPr>
        <w:t xml:space="preserve"> d. 10.00 val.</w:t>
      </w:r>
    </w:p>
    <w:p w:rsidR="008023A4" w:rsidRPr="00F92911" w:rsidRDefault="008023A4" w:rsidP="008023A4">
      <w:pPr>
        <w:ind w:firstLine="709"/>
        <w:rPr>
          <w:b/>
          <w:sz w:val="24"/>
          <w:szCs w:val="24"/>
        </w:rPr>
      </w:pPr>
    </w:p>
    <w:sectPr w:rsidR="008023A4" w:rsidRPr="00F92911">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Aptos">
    <w:altName w:val="Arial"/>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3A4"/>
    <w:rsid w:val="0009645E"/>
    <w:rsid w:val="0038683F"/>
    <w:rsid w:val="007137AB"/>
    <w:rsid w:val="008023A4"/>
    <w:rsid w:val="00947129"/>
    <w:rsid w:val="00C83235"/>
    <w:rsid w:val="00CD526E"/>
    <w:rsid w:val="00F9291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FF3CF1"/>
  <w15:chartTrackingRefBased/>
  <w15:docId w15:val="{2DECFDAC-EF01-495A-ACDE-B1041D161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023A4"/>
    <w:pPr>
      <w:spacing w:after="0" w:line="240" w:lineRule="auto"/>
    </w:pPr>
    <w:rPr>
      <w:rFonts w:ascii="Times New Roman" w:eastAsia="Times New Roman" w:hAnsi="Times New Roman" w:cs="Times New Roman"/>
      <w:sz w:val="20"/>
      <w:szCs w:val="20"/>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8023A4"/>
    <w:pPr>
      <w:jc w:val="center"/>
    </w:pPr>
    <w:rPr>
      <w:rFonts w:ascii="TimesLT" w:hAnsi="TimesLT"/>
      <w:b/>
      <w:sz w:val="24"/>
    </w:rPr>
  </w:style>
  <w:style w:type="character" w:customStyle="1" w:styleId="PagrindinistekstasDiagrama">
    <w:name w:val="Pagrindinis tekstas Diagrama"/>
    <w:basedOn w:val="Numatytasispastraiposriftas"/>
    <w:link w:val="Pagrindinistekstas"/>
    <w:rsid w:val="008023A4"/>
    <w:rPr>
      <w:rFonts w:ascii="TimesLT" w:eastAsia="Times New Roman" w:hAnsi="TimesLT" w:cs="Times New Roman"/>
      <w:b/>
      <w:sz w:val="24"/>
      <w:szCs w:val="20"/>
    </w:rPr>
  </w:style>
  <w:style w:type="paragraph" w:styleId="Pagrindiniotekstotrauka2">
    <w:name w:val="Body Text Indent 2"/>
    <w:basedOn w:val="prastasis"/>
    <w:link w:val="Pagrindiniotekstotrauka2Diagrama"/>
    <w:rsid w:val="008023A4"/>
    <w:pPr>
      <w:ind w:right="-450" w:firstLine="270"/>
      <w:jc w:val="both"/>
    </w:pPr>
    <w:rPr>
      <w:rFonts w:ascii="TimesLT" w:hAnsi="TimesLT"/>
      <w:sz w:val="22"/>
    </w:rPr>
  </w:style>
  <w:style w:type="character" w:customStyle="1" w:styleId="Pagrindiniotekstotrauka2Diagrama">
    <w:name w:val="Pagrindinio teksto įtrauka 2 Diagrama"/>
    <w:basedOn w:val="Numatytasispastraiposriftas"/>
    <w:link w:val="Pagrindiniotekstotrauka2"/>
    <w:rsid w:val="008023A4"/>
    <w:rPr>
      <w:rFonts w:ascii="TimesLT" w:eastAsia="Times New Roman" w:hAnsi="TimesLT" w:cs="Times New Roman"/>
      <w:szCs w:val="20"/>
    </w:rPr>
  </w:style>
  <w:style w:type="paragraph" w:customStyle="1" w:styleId="Preformatted">
    <w:name w:val="Preformatted"/>
    <w:basedOn w:val="prastasis"/>
    <w:rsid w:val="008023A4"/>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Pagrindiniotekstotrauka3">
    <w:name w:val="Body Text Indent 3"/>
    <w:basedOn w:val="prastasis"/>
    <w:link w:val="Pagrindiniotekstotrauka3Diagrama"/>
    <w:uiPriority w:val="99"/>
    <w:unhideWhenUsed/>
    <w:rsid w:val="008023A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8023A4"/>
    <w:rPr>
      <w:rFonts w:ascii="Times New Roman" w:eastAsia="Times New Roman" w:hAnsi="Times New Roman" w:cs="Times New Roman"/>
      <w:sz w:val="16"/>
      <w:szCs w:val="16"/>
    </w:rPr>
  </w:style>
  <w:style w:type="table" w:customStyle="1" w:styleId="Lentelstinklelis10">
    <w:name w:val="Lentelės tinklelis10"/>
    <w:basedOn w:val="prastojilentel"/>
    <w:uiPriority w:val="39"/>
    <w:qFormat/>
    <w:rsid w:val="00CD526E"/>
    <w:pPr>
      <w:spacing w:after="0" w:line="240" w:lineRule="auto"/>
    </w:pPr>
    <w:rPr>
      <w:rFonts w:ascii="Times New Roman" w:eastAsia="Arial Unicode MS"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uiPriority w:val="39"/>
    <w:rsid w:val="007137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uiPriority w:val="39"/>
    <w:rsid w:val="007137AB"/>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1">
    <w:name w:val="Lentelės tinklelis21"/>
    <w:basedOn w:val="prastojilentel"/>
    <w:next w:val="Lentelstinklelis"/>
    <w:uiPriority w:val="39"/>
    <w:rsid w:val="00386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3868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55376">
      <w:bodyDiv w:val="1"/>
      <w:marLeft w:val="0"/>
      <w:marRight w:val="0"/>
      <w:marTop w:val="0"/>
      <w:marBottom w:val="0"/>
      <w:divBdr>
        <w:top w:val="none" w:sz="0" w:space="0" w:color="auto"/>
        <w:left w:val="none" w:sz="0" w:space="0" w:color="auto"/>
        <w:bottom w:val="none" w:sz="0" w:space="0" w:color="auto"/>
        <w:right w:val="none" w:sz="0" w:space="0" w:color="auto"/>
      </w:divBdr>
    </w:div>
    <w:div w:id="1040976433">
      <w:bodyDiv w:val="1"/>
      <w:marLeft w:val="0"/>
      <w:marRight w:val="0"/>
      <w:marTop w:val="0"/>
      <w:marBottom w:val="0"/>
      <w:divBdr>
        <w:top w:val="none" w:sz="0" w:space="0" w:color="auto"/>
        <w:left w:val="none" w:sz="0" w:space="0" w:color="auto"/>
        <w:bottom w:val="none" w:sz="0" w:space="0" w:color="auto"/>
        <w:right w:val="none" w:sz="0" w:space="0" w:color="auto"/>
      </w:divBdr>
    </w:div>
    <w:div w:id="2004040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2</Pages>
  <Words>2911</Words>
  <Characters>1660</Characters>
  <Application>Microsoft Office Word</Application>
  <DocSecurity>0</DocSecurity>
  <Lines>13</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DZIKARIENĖ Irma</dc:creator>
  <cp:keywords/>
  <dc:description/>
  <cp:lastModifiedBy>DZIKARIENĖ Irma</cp:lastModifiedBy>
  <cp:revision>5</cp:revision>
  <dcterms:created xsi:type="dcterms:W3CDTF">2025-07-01T11:03:00Z</dcterms:created>
  <dcterms:modified xsi:type="dcterms:W3CDTF">2026-07-10T07:49:00Z</dcterms:modified>
</cp:coreProperties>
</file>