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B12D8C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B12D8C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B12D8C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B12D8C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B12D8C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B12D8C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B12D8C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B12D8C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B12D8C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B12D8C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075B6431" w:rsidR="00520494" w:rsidRPr="00B12D8C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B12D8C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12D8C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56072F" w:rsidRPr="00B12D8C">
        <w:rPr>
          <w:rStyle w:val="normaltextrun"/>
          <w:rFonts w:ascii="Arial" w:hAnsi="Arial" w:cs="Arial"/>
          <w:sz w:val="22"/>
          <w:szCs w:val="22"/>
          <w:lang w:val="lt-LT"/>
        </w:rPr>
        <w:t>6</w:t>
      </w:r>
      <w:r w:rsidR="00824550" w:rsidRPr="00B12D8C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56072F" w:rsidRPr="00B12D8C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A26D1C" w:rsidRPr="00B12D8C">
        <w:rPr>
          <w:rStyle w:val="normaltextrun"/>
          <w:rFonts w:ascii="Arial" w:hAnsi="Arial" w:cs="Arial"/>
          <w:sz w:val="22"/>
          <w:szCs w:val="22"/>
          <w:lang w:val="lt-LT"/>
        </w:rPr>
        <w:t>7</w:t>
      </w:r>
      <w:r w:rsidR="007159C6" w:rsidRPr="00B12D8C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A26D1C" w:rsidRPr="00B12D8C">
        <w:rPr>
          <w:rStyle w:val="normaltextrun"/>
          <w:rFonts w:ascii="Arial" w:hAnsi="Arial" w:cs="Arial"/>
          <w:sz w:val="22"/>
          <w:szCs w:val="22"/>
          <w:lang w:val="lt-LT"/>
        </w:rPr>
        <w:t>10</w:t>
      </w:r>
    </w:p>
    <w:p w14:paraId="7D5EB376" w14:textId="77777777" w:rsidR="00520494" w:rsidRPr="00B12D8C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B12D8C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B12D8C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4699D856" w:rsidR="00442E2B" w:rsidRPr="00B12D8C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B12D8C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B12D8C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B12D8C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720AE8" w:rsidRPr="00B12D8C">
        <w:rPr>
          <w:rFonts w:ascii="Arial" w:hAnsi="Arial" w:cs="Arial"/>
          <w:bCs/>
          <w:sz w:val="22"/>
          <w:szCs w:val="22"/>
          <w:lang w:val="lt-LT"/>
        </w:rPr>
        <w:t xml:space="preserve">mokslo paskirties (visuomeninių paskirties grupės) pastato Universiteto g. 9, Vilniuje (Filosofijos fakultetas), durų, vartų bei susijusių elementų remonto, gamybos, dažymo, </w:t>
      </w:r>
      <w:r w:rsidR="00720AE8" w:rsidRPr="00B12D8C">
        <w:rPr>
          <w:rFonts w:ascii="Arial" w:hAnsi="Arial" w:cs="Arial"/>
          <w:sz w:val="22"/>
          <w:szCs w:val="22"/>
          <w:lang w:val="lt-LT" w:eastAsia="ja-JP"/>
        </w:rPr>
        <w:t xml:space="preserve">demontavimo </w:t>
      </w:r>
      <w:r w:rsidR="00720AE8" w:rsidRPr="00B12D8C">
        <w:rPr>
          <w:rFonts w:ascii="Arial" w:hAnsi="Arial" w:cs="Arial"/>
          <w:sz w:val="22"/>
          <w:szCs w:val="22"/>
          <w:lang w:val="lt-LT"/>
        </w:rPr>
        <w:t xml:space="preserve">ir montavimo darbus bei kitus susijusius </w:t>
      </w:r>
      <w:r w:rsidR="00720AE8" w:rsidRPr="00B12D8C">
        <w:rPr>
          <w:rFonts w:ascii="Arial" w:hAnsi="Arial" w:cs="Arial"/>
          <w:bCs/>
          <w:sz w:val="22"/>
          <w:szCs w:val="22"/>
          <w:lang w:val="lt-LT"/>
        </w:rPr>
        <w:t>darbus</w:t>
      </w:r>
      <w:r w:rsidR="004312DD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B12D8C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B12D8C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B12D8C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107C7407" w:rsidR="00661F0A" w:rsidRPr="00B12D8C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12D8C">
        <w:rPr>
          <w:rFonts w:ascii="Arial" w:hAnsi="Arial" w:cs="Arial"/>
          <w:sz w:val="22"/>
          <w:szCs w:val="22"/>
          <w:lang w:val="lt-LT"/>
        </w:rPr>
        <w:t>202</w:t>
      </w:r>
      <w:r w:rsidR="00E2641F" w:rsidRPr="00B12D8C">
        <w:rPr>
          <w:rFonts w:ascii="Arial" w:hAnsi="Arial" w:cs="Arial"/>
          <w:sz w:val="22"/>
          <w:szCs w:val="22"/>
          <w:lang w:val="lt-LT"/>
        </w:rPr>
        <w:t>6</w:t>
      </w:r>
      <w:r w:rsidRPr="00B12D8C">
        <w:rPr>
          <w:rFonts w:ascii="Arial" w:hAnsi="Arial" w:cs="Arial"/>
          <w:sz w:val="22"/>
          <w:szCs w:val="22"/>
          <w:lang w:val="lt-LT"/>
        </w:rPr>
        <w:t>-</w:t>
      </w:r>
      <w:r w:rsidR="00E2641F" w:rsidRPr="00B12D8C">
        <w:rPr>
          <w:rFonts w:ascii="Arial" w:hAnsi="Arial" w:cs="Arial"/>
          <w:sz w:val="22"/>
          <w:szCs w:val="22"/>
          <w:lang w:val="lt-LT"/>
        </w:rPr>
        <w:t>0</w:t>
      </w:r>
      <w:r w:rsidR="00981410" w:rsidRPr="00B12D8C">
        <w:rPr>
          <w:rFonts w:ascii="Arial" w:hAnsi="Arial" w:cs="Arial"/>
          <w:sz w:val="22"/>
          <w:szCs w:val="22"/>
          <w:lang w:val="lt-LT"/>
        </w:rPr>
        <w:t>7</w:t>
      </w:r>
      <w:r w:rsidR="000B2B48" w:rsidRPr="00B12D8C">
        <w:rPr>
          <w:rFonts w:ascii="Arial" w:hAnsi="Arial" w:cs="Arial"/>
          <w:sz w:val="22"/>
          <w:szCs w:val="22"/>
          <w:lang w:val="lt-LT"/>
        </w:rPr>
        <w:t>-</w:t>
      </w:r>
      <w:r w:rsidR="00981410" w:rsidRPr="00B12D8C">
        <w:rPr>
          <w:rFonts w:ascii="Arial" w:hAnsi="Arial" w:cs="Arial"/>
          <w:sz w:val="22"/>
          <w:szCs w:val="22"/>
          <w:lang w:val="lt-LT"/>
        </w:rPr>
        <w:t>09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B12D8C">
        <w:rPr>
          <w:rFonts w:ascii="Arial" w:hAnsi="Arial" w:cs="Arial"/>
          <w:sz w:val="22"/>
          <w:szCs w:val="22"/>
          <w:lang w:val="lt-LT"/>
        </w:rPr>
        <w:t>PO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B12D8C">
        <w:rPr>
          <w:rFonts w:ascii="Arial" w:hAnsi="Arial" w:cs="Arial"/>
          <w:sz w:val="22"/>
          <w:szCs w:val="22"/>
          <w:lang w:val="lt-LT"/>
        </w:rPr>
        <w:t>o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suinteresuot</w:t>
      </w:r>
      <w:r w:rsidR="00981410" w:rsidRPr="00B12D8C">
        <w:rPr>
          <w:rFonts w:ascii="Arial" w:hAnsi="Arial" w:cs="Arial"/>
          <w:sz w:val="22"/>
          <w:szCs w:val="22"/>
          <w:lang w:val="lt-LT"/>
        </w:rPr>
        <w:t>o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81410" w:rsidRPr="00B12D8C">
        <w:rPr>
          <w:rFonts w:ascii="Arial" w:hAnsi="Arial" w:cs="Arial"/>
          <w:sz w:val="22"/>
          <w:szCs w:val="22"/>
          <w:lang w:val="lt-LT"/>
        </w:rPr>
        <w:t>o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2012FF" w:rsidRPr="00B12D8C">
        <w:rPr>
          <w:rFonts w:ascii="Arial" w:hAnsi="Arial" w:cs="Arial"/>
          <w:sz w:val="22"/>
          <w:szCs w:val="22"/>
          <w:lang w:val="lt-LT"/>
        </w:rPr>
        <w:t>us</w:t>
      </w:r>
      <w:r w:rsidRPr="00B12D8C">
        <w:rPr>
          <w:rFonts w:ascii="Arial" w:hAnsi="Arial" w:cs="Arial"/>
          <w:sz w:val="22"/>
          <w:szCs w:val="22"/>
          <w:lang w:val="lt-LT"/>
        </w:rPr>
        <w:t>, kuri</w:t>
      </w:r>
      <w:r w:rsidR="002012FF" w:rsidRPr="00B12D8C">
        <w:rPr>
          <w:rFonts w:ascii="Arial" w:hAnsi="Arial" w:cs="Arial"/>
          <w:sz w:val="22"/>
          <w:szCs w:val="22"/>
          <w:lang w:val="lt-LT"/>
        </w:rPr>
        <w:t>e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2012FF" w:rsidRPr="00B12D8C">
        <w:rPr>
          <w:rFonts w:ascii="Arial" w:hAnsi="Arial" w:cs="Arial"/>
          <w:sz w:val="22"/>
          <w:szCs w:val="22"/>
          <w:lang w:val="lt-LT"/>
        </w:rPr>
        <w:t>i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B12D8C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B12D8C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B12D8C">
        <w:rPr>
          <w:rFonts w:ascii="Arial" w:hAnsi="Arial" w:cs="Arial"/>
          <w:sz w:val="22"/>
          <w:szCs w:val="22"/>
          <w:lang w:val="lt-LT"/>
        </w:rPr>
        <w:t>Pirkimo b</w:t>
      </w:r>
      <w:r w:rsidRPr="00B12D8C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B12D8C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B12D8C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B12D8C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 w:rsidRPr="00B12D8C">
        <w:rPr>
          <w:rFonts w:ascii="Arial" w:hAnsi="Arial" w:cs="Arial"/>
          <w:sz w:val="22"/>
          <w:szCs w:val="22"/>
          <w:lang w:val="lt-LT"/>
        </w:rPr>
        <w:t>ą</w:t>
      </w:r>
      <w:r w:rsidR="004D3C22" w:rsidRPr="00B12D8C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B42D5" w:rsidRPr="00B12D8C">
        <w:rPr>
          <w:rFonts w:ascii="Arial" w:hAnsi="Arial" w:cs="Arial"/>
          <w:sz w:val="22"/>
          <w:szCs w:val="22"/>
          <w:lang w:val="lt-LT"/>
        </w:rPr>
        <w:t>ą</w:t>
      </w:r>
      <w:r w:rsidR="004D3C22" w:rsidRPr="00B12D8C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vadovaudamasi </w:t>
      </w:r>
      <w:r w:rsidR="001E1EDA" w:rsidRPr="00B12D8C">
        <w:rPr>
          <w:rStyle w:val="normaltextrun"/>
          <w:rFonts w:ascii="Arial" w:hAnsi="Arial" w:cs="Arial"/>
          <w:sz w:val="22"/>
          <w:szCs w:val="22"/>
          <w:lang w:val="lt-LT"/>
        </w:rPr>
        <w:t>Pirkimo b</w:t>
      </w:r>
      <w:r w:rsidR="00C65F10" w:rsidRPr="00B12D8C">
        <w:rPr>
          <w:rStyle w:val="normaltextrun"/>
          <w:rFonts w:ascii="Arial" w:hAnsi="Arial" w:cs="Arial"/>
          <w:sz w:val="22"/>
          <w:szCs w:val="22"/>
          <w:lang w:val="lt-LT"/>
        </w:rPr>
        <w:t xml:space="preserve">endrųjų sąlygų 3.1.4 punktu </w:t>
      </w:r>
      <w:r w:rsidR="00A620C7" w:rsidRPr="00B12D8C">
        <w:rPr>
          <w:rFonts w:ascii="Arial" w:hAnsi="Arial" w:cs="Arial"/>
          <w:sz w:val="22"/>
          <w:szCs w:val="22"/>
          <w:lang w:val="lt-LT"/>
        </w:rPr>
        <w:t>atsak</w:t>
      </w:r>
      <w:r w:rsidR="008672FD" w:rsidRPr="00B12D8C">
        <w:rPr>
          <w:rFonts w:ascii="Arial" w:hAnsi="Arial" w:cs="Arial"/>
          <w:sz w:val="22"/>
          <w:szCs w:val="22"/>
          <w:lang w:val="lt-LT"/>
        </w:rPr>
        <w:t>o</w:t>
      </w:r>
      <w:r w:rsidR="00A620C7" w:rsidRPr="00B12D8C">
        <w:rPr>
          <w:rFonts w:ascii="Arial" w:hAnsi="Arial" w:cs="Arial"/>
          <w:sz w:val="22"/>
          <w:szCs w:val="22"/>
          <w:lang w:val="lt-LT"/>
        </w:rPr>
        <w:t xml:space="preserve"> į suinteresuot</w:t>
      </w:r>
      <w:r w:rsidR="00981410" w:rsidRPr="00B12D8C">
        <w:rPr>
          <w:rFonts w:ascii="Arial" w:hAnsi="Arial" w:cs="Arial"/>
          <w:sz w:val="22"/>
          <w:szCs w:val="22"/>
          <w:lang w:val="lt-LT"/>
        </w:rPr>
        <w:t>o</w:t>
      </w:r>
      <w:r w:rsidR="00A620C7" w:rsidRPr="00B12D8C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81410" w:rsidRPr="00B12D8C">
        <w:rPr>
          <w:rFonts w:ascii="Arial" w:hAnsi="Arial" w:cs="Arial"/>
          <w:sz w:val="22"/>
          <w:szCs w:val="22"/>
          <w:lang w:val="lt-LT"/>
        </w:rPr>
        <w:t>o</w:t>
      </w:r>
      <w:r w:rsidR="00A620C7" w:rsidRPr="00B12D8C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2012FF" w:rsidRPr="00B12D8C">
        <w:rPr>
          <w:rFonts w:ascii="Arial" w:hAnsi="Arial" w:cs="Arial"/>
          <w:sz w:val="22"/>
          <w:szCs w:val="22"/>
          <w:lang w:val="lt-LT"/>
        </w:rPr>
        <w:t>us</w:t>
      </w:r>
      <w:r w:rsidR="00661F0A" w:rsidRPr="00B12D8C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B12D8C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B12D8C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B12D8C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B12D8C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B12D8C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B12D8C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B12D8C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B12D8C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B12D8C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F047AB" w:rsidRPr="00B12D8C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F047AB" w:rsidRPr="00B12D8C" w:rsidRDefault="00F047AB" w:rsidP="00F047A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2C69CF58" w:rsidR="00F047AB" w:rsidRPr="00B12D8C" w:rsidRDefault="00F047AB" w:rsidP="00F047A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2026-0</w:t>
            </w:r>
            <w:r w:rsidR="00981410" w:rsidRPr="00B12D8C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981410" w:rsidRPr="00B12D8C">
              <w:rPr>
                <w:rFonts w:ascii="Arial" w:hAnsi="Arial" w:cs="Arial"/>
                <w:sz w:val="22"/>
                <w:szCs w:val="22"/>
                <w:lang w:val="lt-LT"/>
              </w:rPr>
              <w:t>10</w:t>
            </w:r>
          </w:p>
        </w:tc>
        <w:tc>
          <w:tcPr>
            <w:tcW w:w="6507" w:type="dxa"/>
            <w:shd w:val="clear" w:color="auto" w:fill="auto"/>
          </w:tcPr>
          <w:p w14:paraId="027ECDA0" w14:textId="77777777" w:rsidR="00C018CE" w:rsidRPr="00B12D8C" w:rsidRDefault="00C018CE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techninėje specifikacijoje punkte 3.3 PIRKIMO OBJEKTUI KELIAMI TEISĖS AKTŲ, STANDARTŲ IR</w:t>
            </w:r>
          </w:p>
          <w:p w14:paraId="55A31A63" w14:textId="77777777" w:rsidR="00C018CE" w:rsidRPr="00B12D8C" w:rsidRDefault="00C018CE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UŽSAKOVO VIDAUS TEISĖS AKTUOSE KELIAMI REIKALAVIMAI:</w:t>
            </w:r>
          </w:p>
          <w:p w14:paraId="6D3828B2" w14:textId="77777777" w:rsidR="00C018CE" w:rsidRPr="00B12D8C" w:rsidRDefault="00C018CE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3.3.1. STR 2.01.01(1):2005 „Esminis statinio reikalavimas „Mechaninis atsparumas ir pastovumas“</w:t>
            </w:r>
          </w:p>
          <w:p w14:paraId="1E7E389D" w14:textId="77777777" w:rsidR="00C018CE" w:rsidRPr="00B12D8C" w:rsidRDefault="00C018CE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lastRenderedPageBreak/>
              <w:t xml:space="preserve">Kadangi durys yra remontuojamos šis reikalavimas durims negali būti taikomas ir taip pat </w:t>
            </w:r>
            <w:proofErr w:type="spellStart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negaliės</w:t>
            </w:r>
            <w:proofErr w:type="spellEnd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būti</w:t>
            </w:r>
          </w:p>
          <w:p w14:paraId="12A5310D" w14:textId="6B4EB3ED" w:rsidR="00F047AB" w:rsidRPr="00B12D8C" w:rsidRDefault="00C018CE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pateikti įrodantys dokumentai durų mechaniniam atsparumui ir pastovumui.</w:t>
            </w:r>
          </w:p>
        </w:tc>
        <w:tc>
          <w:tcPr>
            <w:tcW w:w="6235" w:type="dxa"/>
          </w:tcPr>
          <w:p w14:paraId="0714CB55" w14:textId="77777777" w:rsidR="00F22A49" w:rsidRPr="00B12D8C" w:rsidRDefault="00F22A49" w:rsidP="00F22A49">
            <w:pPr>
              <w:pStyle w:val="NormalWeb"/>
              <w:spacing w:line="3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C">
              <w:rPr>
                <w:rFonts w:ascii="Arial" w:hAnsi="Arial" w:cs="Arial"/>
                <w:sz w:val="22"/>
                <w:szCs w:val="22"/>
              </w:rPr>
              <w:lastRenderedPageBreak/>
              <w:t>Pažymime, kad techninės specifikacijos 3.3 punkte nurodyti teisės aktai, standartai ir kiti norminiai dokumentai taikomi tiek, kiek jie yra susiję su konkrečia pirkimo objekto dalimi ir atliekamais darbais.</w:t>
            </w:r>
          </w:p>
          <w:p w14:paraId="43C925D7" w14:textId="77777777" w:rsidR="00F22A49" w:rsidRPr="00B12D8C" w:rsidRDefault="00F22A49" w:rsidP="00F22A49">
            <w:pPr>
              <w:pStyle w:val="NormalWeb"/>
              <w:spacing w:line="3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C">
              <w:rPr>
                <w:rFonts w:ascii="Arial" w:hAnsi="Arial" w:cs="Arial"/>
                <w:sz w:val="22"/>
                <w:szCs w:val="22"/>
              </w:rPr>
              <w:lastRenderedPageBreak/>
              <w:t>Pirkimo objektą sudaro trijų medinių filinginių durų remontas, metalinių vartų remontas (įskaitant jų dažymą, netekčių atkūrimą bei vyrių remontą) ir vienų naujų metalinių durų pagaminimas bei įrengimas.</w:t>
            </w:r>
          </w:p>
          <w:p w14:paraId="7DB76235" w14:textId="47492B42" w:rsidR="00F22A49" w:rsidRPr="00B12D8C" w:rsidRDefault="00F22A49" w:rsidP="00F22A49">
            <w:pPr>
              <w:pStyle w:val="NormalWeb"/>
              <w:spacing w:line="3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C">
              <w:rPr>
                <w:rFonts w:ascii="Arial" w:hAnsi="Arial" w:cs="Arial"/>
                <w:sz w:val="22"/>
                <w:szCs w:val="22"/>
              </w:rPr>
              <w:t>Atsižvelgdama į tai, Perkančioji organizacija nereikalauja pateikti dokumentų, įrodančių remontuojamų medinių durų, remontuojamų metalinių vartų bei jų vyrių mechaninį atsparumą ir pastovumą pagal STR 2.01.01(1):2005 „Esminis statinio reikalavimas. Mechaninis atsparumas ir pastovumas“</w:t>
            </w:r>
            <w:r w:rsidR="00B7068F" w:rsidRPr="00B12D8C">
              <w:rPr>
                <w:rFonts w:ascii="Arial" w:hAnsi="Arial" w:cs="Arial"/>
                <w:sz w:val="22"/>
                <w:szCs w:val="22"/>
              </w:rPr>
              <w:t>, t</w:t>
            </w:r>
            <w:r w:rsidRPr="00B12D8C">
              <w:rPr>
                <w:rFonts w:ascii="Arial" w:hAnsi="Arial" w:cs="Arial"/>
                <w:sz w:val="22"/>
                <w:szCs w:val="22"/>
              </w:rPr>
              <w:t>ačiau naujai gaminamoms ir montuojamoms metalinėms durims turi būti užtikrinta atitiktis galiojantiems teisės aktų ir norminių dokumentų reikalavimams, taikomiems šio pobūdžio gaminiams.</w:t>
            </w:r>
          </w:p>
          <w:p w14:paraId="6657724C" w14:textId="7F3F769F" w:rsidR="00F047AB" w:rsidRPr="00B12D8C" w:rsidRDefault="00F22A49" w:rsidP="00F22A49">
            <w:pPr>
              <w:tabs>
                <w:tab w:val="left" w:pos="851"/>
              </w:tabs>
              <w:spacing w:line="20" w:lineRule="atLeas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Papildomų dokumentų, patvirtinančių remontuojamų durų ir vartų mechaninį atsparumą bei pastovumą, kartu su pasiūlymu teikti nereikia.</w:t>
            </w:r>
          </w:p>
        </w:tc>
      </w:tr>
      <w:tr w:rsidR="005F6A73" w:rsidRPr="00B12D8C" w14:paraId="7B8D3436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A23183A" w14:textId="77777777" w:rsidR="005F6A73" w:rsidRPr="00B12D8C" w:rsidRDefault="005F6A73" w:rsidP="00F047A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0F654F80" w14:textId="52AC27EF" w:rsidR="005F6A73" w:rsidRPr="00B12D8C" w:rsidRDefault="005F6A73" w:rsidP="00F047A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2026-0</w:t>
            </w:r>
            <w:r w:rsidR="00E3670A" w:rsidRPr="00B12D8C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E3670A" w:rsidRPr="00B12D8C">
              <w:rPr>
                <w:rFonts w:ascii="Arial" w:hAnsi="Arial" w:cs="Arial"/>
                <w:sz w:val="22"/>
                <w:szCs w:val="22"/>
                <w:lang w:val="lt-LT"/>
              </w:rPr>
              <w:t>10</w:t>
            </w:r>
          </w:p>
        </w:tc>
        <w:tc>
          <w:tcPr>
            <w:tcW w:w="6507" w:type="dxa"/>
            <w:shd w:val="clear" w:color="auto" w:fill="auto"/>
          </w:tcPr>
          <w:p w14:paraId="1F989DA2" w14:textId="77777777" w:rsidR="005379E2" w:rsidRPr="00B12D8C" w:rsidRDefault="005379E2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techninėje specifikacijoje punkte 3.3 PIRKIMO OBJEKTUI KELIAMI TEISĖS AKTŲ, STANDARTŲ IR</w:t>
            </w:r>
          </w:p>
          <w:p w14:paraId="3CE407F9" w14:textId="77777777" w:rsidR="005379E2" w:rsidRPr="00B12D8C" w:rsidRDefault="005379E2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UŽSAKOVO VIDAUS TEISĖS AKTUOSE KELIAMI REIKALAVIMAI:</w:t>
            </w:r>
          </w:p>
          <w:p w14:paraId="1312B72C" w14:textId="77777777" w:rsidR="005379E2" w:rsidRPr="00B12D8C" w:rsidRDefault="005379E2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3.3.1. STR 2.01.01(1):2005 „Esminis statinio reikalavimas „Mechaninis atsparumas ir pastovumas“</w:t>
            </w:r>
          </w:p>
          <w:p w14:paraId="5009D30C" w14:textId="77777777" w:rsidR="005379E2" w:rsidRPr="00B12D8C" w:rsidRDefault="005379E2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Ar </w:t>
            </w:r>
            <w:proofErr w:type="spellStart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pagamintom</w:t>
            </w:r>
            <w:proofErr w:type="spellEnd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naujom</w:t>
            </w:r>
            <w:proofErr w:type="spellEnd"/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durim bus reikalingi įrodantys dokumentai dėl durų mechaninio atsparumo ir</w:t>
            </w:r>
          </w:p>
          <w:p w14:paraId="3CA7A097" w14:textId="23F258D0" w:rsidR="005F6A73" w:rsidRPr="00B12D8C" w:rsidRDefault="005379E2" w:rsidP="00F22A4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pastovumo ?</w:t>
            </w:r>
          </w:p>
        </w:tc>
        <w:tc>
          <w:tcPr>
            <w:tcW w:w="6235" w:type="dxa"/>
          </w:tcPr>
          <w:p w14:paraId="05C89873" w14:textId="41AF9A08" w:rsidR="00EA3D33" w:rsidRPr="00B12D8C" w:rsidRDefault="00622F4B" w:rsidP="00964D7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 xml:space="preserve">Pažymime, kad techninės specifikacijos 3.3 punkte nurodyti teisės aktai, standartai ir kiti norminiai dokumentai taikomi tiek, kiek jie yra susiję su konkrečia pirkimo objekto dalimi ir atliekamais darbais. Perkančioji organizacija </w:t>
            </w:r>
            <w:r w:rsidR="00007C9B">
              <w:rPr>
                <w:rFonts w:ascii="Arial" w:hAnsi="Arial" w:cs="Arial"/>
                <w:sz w:val="22"/>
                <w:szCs w:val="22"/>
                <w:lang w:val="lt-LT"/>
              </w:rPr>
              <w:t xml:space="preserve">techninėje specifikacijoje </w:t>
            </w: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>nėra</w:t>
            </w:r>
            <w:r w:rsidR="00FD471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 xml:space="preserve">nurodžiusi, kad </w:t>
            </w:r>
            <w:r w:rsidR="00007C9B">
              <w:rPr>
                <w:rFonts w:ascii="Arial" w:hAnsi="Arial" w:cs="Arial"/>
                <w:sz w:val="22"/>
                <w:szCs w:val="22"/>
                <w:lang w:val="lt-LT"/>
              </w:rPr>
              <w:t>reikalauja</w:t>
            </w:r>
            <w:r w:rsidRPr="00B12D8C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pateikti</w:t>
            </w:r>
            <w:r w:rsidR="00964D78" w:rsidRPr="00B12D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3A09A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įrodančius dokumentus</w:t>
            </w:r>
            <w:r w:rsidR="00D82F8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,</w:t>
            </w:r>
            <w:r w:rsidR="00964D78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dėl </w:t>
            </w:r>
            <w:r w:rsidR="00B12D8C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naujai gaminamų </w:t>
            </w:r>
            <w:r w:rsidR="00964D78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durų mechaninio atsparumo ir pastovumo</w:t>
            </w:r>
            <w:r w:rsidR="00203DFD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,</w:t>
            </w:r>
            <w:r w:rsidR="00964D78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r w:rsidR="00203DFD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</w:t>
            </w:r>
            <w:r w:rsidR="00964D78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ačiau pažymėtina, jei minėtas STR ir (ar) kiti teisės aktų reikalavimai kelia tam tikrus durų</w:t>
            </w:r>
            <w:r w:rsidR="00D949F0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mechaninio atsparumo ir pastovumo reikalavimus </w:t>
            </w:r>
            <w:r w:rsidR="00203DFD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kaip pačiam pirkimo objekt</w:t>
            </w:r>
            <w:r w:rsidR="0007250C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ui, </w:t>
            </w:r>
            <w:r w:rsidR="00D949F0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šiuo atveju, Rangovo pareiga yra užtikrinti šių reikalavimų įgyvendinimą</w:t>
            </w:r>
            <w:r w:rsidR="005D563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ir pirkimo objekto atitikimą jiems</w:t>
            </w:r>
            <w:r w:rsidR="00D949F0" w:rsidRPr="00B12D8C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592F4F98" w14:textId="77777777" w:rsidR="004B08CD" w:rsidRPr="00B12D8C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B12D8C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B12D8C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B12D8C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B12D8C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B12D8C">
        <w:rPr>
          <w:rFonts w:ascii="Arial" w:hAnsi="Arial" w:cs="Arial"/>
          <w:sz w:val="22"/>
          <w:szCs w:val="22"/>
          <w:lang w:val="lt-LT"/>
        </w:rPr>
        <w:t> </w:t>
      </w:r>
      <w:r w:rsidR="00A76580" w:rsidRPr="00B12D8C">
        <w:rPr>
          <w:rFonts w:ascii="Arial" w:hAnsi="Arial" w:cs="Arial"/>
          <w:sz w:val="22"/>
          <w:szCs w:val="22"/>
          <w:lang w:val="lt-LT"/>
        </w:rPr>
        <w:t>6</w:t>
      </w:r>
      <w:r w:rsidRPr="00B12D8C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B12D8C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B12D8C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B12D8C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B12D8C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5A96" w14:textId="77777777" w:rsidR="007928CD" w:rsidRDefault="007928CD" w:rsidP="000C042A">
      <w:r>
        <w:separator/>
      </w:r>
    </w:p>
  </w:endnote>
  <w:endnote w:type="continuationSeparator" w:id="0">
    <w:p w14:paraId="77BEC60C" w14:textId="77777777" w:rsidR="007928CD" w:rsidRDefault="007928CD" w:rsidP="000C042A">
      <w:r>
        <w:continuationSeparator/>
      </w:r>
    </w:p>
  </w:endnote>
  <w:endnote w:type="continuationNotice" w:id="1">
    <w:p w14:paraId="37D642AA" w14:textId="77777777" w:rsidR="007928CD" w:rsidRDefault="00792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876F" w14:textId="77777777" w:rsidR="007928CD" w:rsidRDefault="007928CD" w:rsidP="000C042A">
      <w:r>
        <w:separator/>
      </w:r>
    </w:p>
  </w:footnote>
  <w:footnote w:type="continuationSeparator" w:id="0">
    <w:p w14:paraId="3B3F8835" w14:textId="77777777" w:rsidR="007928CD" w:rsidRDefault="007928CD" w:rsidP="000C042A">
      <w:r>
        <w:continuationSeparator/>
      </w:r>
    </w:p>
  </w:footnote>
  <w:footnote w:type="continuationNotice" w:id="1">
    <w:p w14:paraId="6877DA84" w14:textId="77777777" w:rsidR="007928CD" w:rsidRDefault="007928CD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5379E2">
        <w:rPr>
          <w:rFonts w:ascii="Arial" w:hAnsi="Arial" w:cs="Arial"/>
          <w:b/>
          <w:bCs/>
          <w:sz w:val="20"/>
          <w:szCs w:val="20"/>
          <w:lang w:val="lt-LT"/>
        </w:rPr>
        <w:t>Suinteresuoto (-ų) tiekėjo (-ų) klausimo / prašymo (-ų) paaiškinti / patikslinti Pirkimo dokumentus tekstas neredaguotas</w:t>
      </w:r>
      <w:r w:rsidRPr="00D51FC0">
        <w:rPr>
          <w:rFonts w:ascii="Arial" w:hAnsi="Arial" w:cs="Arial"/>
          <w:sz w:val="20"/>
          <w:szCs w:val="20"/>
          <w:lang w:val="lt-LT"/>
        </w:rPr>
        <w:t>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70A85"/>
    <w:multiLevelType w:val="multilevel"/>
    <w:tmpl w:val="0DD856E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30FEA"/>
    <w:multiLevelType w:val="hybridMultilevel"/>
    <w:tmpl w:val="34F89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684803"/>
    <w:multiLevelType w:val="hybridMultilevel"/>
    <w:tmpl w:val="D9CE51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9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9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567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07C9B"/>
    <w:rsid w:val="0001508B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250C"/>
    <w:rsid w:val="00077D85"/>
    <w:rsid w:val="000805E0"/>
    <w:rsid w:val="00080E3A"/>
    <w:rsid w:val="000879BC"/>
    <w:rsid w:val="00095965"/>
    <w:rsid w:val="000A0A77"/>
    <w:rsid w:val="000A6830"/>
    <w:rsid w:val="000A7B07"/>
    <w:rsid w:val="000B2B48"/>
    <w:rsid w:val="000B3951"/>
    <w:rsid w:val="000B3A11"/>
    <w:rsid w:val="000B5B87"/>
    <w:rsid w:val="000C042A"/>
    <w:rsid w:val="000D2B23"/>
    <w:rsid w:val="000E39CC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A97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12FF"/>
    <w:rsid w:val="00202805"/>
    <w:rsid w:val="00203DFD"/>
    <w:rsid w:val="00204FD0"/>
    <w:rsid w:val="00213A82"/>
    <w:rsid w:val="00223E90"/>
    <w:rsid w:val="00233FA7"/>
    <w:rsid w:val="00237338"/>
    <w:rsid w:val="00242D41"/>
    <w:rsid w:val="002447CA"/>
    <w:rsid w:val="00245461"/>
    <w:rsid w:val="00245F4B"/>
    <w:rsid w:val="00251438"/>
    <w:rsid w:val="00252037"/>
    <w:rsid w:val="0025233F"/>
    <w:rsid w:val="0025254A"/>
    <w:rsid w:val="00261485"/>
    <w:rsid w:val="0026183D"/>
    <w:rsid w:val="00263B46"/>
    <w:rsid w:val="00263D0D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B7A74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A09AF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0DDE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3FF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379E2"/>
    <w:rsid w:val="00540916"/>
    <w:rsid w:val="0054273F"/>
    <w:rsid w:val="00542AD3"/>
    <w:rsid w:val="005434D9"/>
    <w:rsid w:val="00551475"/>
    <w:rsid w:val="005532E8"/>
    <w:rsid w:val="00553941"/>
    <w:rsid w:val="00554D0E"/>
    <w:rsid w:val="0055549A"/>
    <w:rsid w:val="005577A4"/>
    <w:rsid w:val="00557AF8"/>
    <w:rsid w:val="0056072F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B580D"/>
    <w:rsid w:val="005C5CAF"/>
    <w:rsid w:val="005C6136"/>
    <w:rsid w:val="005D4602"/>
    <w:rsid w:val="005D5633"/>
    <w:rsid w:val="005E4648"/>
    <w:rsid w:val="005E5E42"/>
    <w:rsid w:val="005F6A73"/>
    <w:rsid w:val="00601732"/>
    <w:rsid w:val="006028AA"/>
    <w:rsid w:val="00602EE7"/>
    <w:rsid w:val="00603296"/>
    <w:rsid w:val="00615B76"/>
    <w:rsid w:val="00621664"/>
    <w:rsid w:val="006216B0"/>
    <w:rsid w:val="00622F4B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5380"/>
    <w:rsid w:val="006B6CCF"/>
    <w:rsid w:val="006B7754"/>
    <w:rsid w:val="006E1519"/>
    <w:rsid w:val="006E1D83"/>
    <w:rsid w:val="006E4C74"/>
    <w:rsid w:val="006F5458"/>
    <w:rsid w:val="006F7FC8"/>
    <w:rsid w:val="007159C6"/>
    <w:rsid w:val="00716492"/>
    <w:rsid w:val="00717101"/>
    <w:rsid w:val="00720AE8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28CD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7F775A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89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54D7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1CBE"/>
    <w:rsid w:val="00962AFF"/>
    <w:rsid w:val="009646BF"/>
    <w:rsid w:val="00964D78"/>
    <w:rsid w:val="00981410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35E"/>
    <w:rsid w:val="009E6BE8"/>
    <w:rsid w:val="009F24D6"/>
    <w:rsid w:val="009F3785"/>
    <w:rsid w:val="009F5CC3"/>
    <w:rsid w:val="009F697A"/>
    <w:rsid w:val="00A00AFD"/>
    <w:rsid w:val="00A12547"/>
    <w:rsid w:val="00A26D1C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0D0"/>
    <w:rsid w:val="00AA5251"/>
    <w:rsid w:val="00AA6204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12D8C"/>
    <w:rsid w:val="00B202C0"/>
    <w:rsid w:val="00B20E0B"/>
    <w:rsid w:val="00B22086"/>
    <w:rsid w:val="00B22E44"/>
    <w:rsid w:val="00B250C1"/>
    <w:rsid w:val="00B34902"/>
    <w:rsid w:val="00B40D31"/>
    <w:rsid w:val="00B7068F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96C1C"/>
    <w:rsid w:val="00BA2D93"/>
    <w:rsid w:val="00BA6BD8"/>
    <w:rsid w:val="00BB0F51"/>
    <w:rsid w:val="00BB3FAD"/>
    <w:rsid w:val="00BB7F10"/>
    <w:rsid w:val="00BC096E"/>
    <w:rsid w:val="00BC45F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18CE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8769F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557"/>
    <w:rsid w:val="00D63072"/>
    <w:rsid w:val="00D76C17"/>
    <w:rsid w:val="00D82F8E"/>
    <w:rsid w:val="00D837C0"/>
    <w:rsid w:val="00D84981"/>
    <w:rsid w:val="00D86DEB"/>
    <w:rsid w:val="00D86DF6"/>
    <w:rsid w:val="00D87F29"/>
    <w:rsid w:val="00D949F0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2641F"/>
    <w:rsid w:val="00E3670A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9630D"/>
    <w:rsid w:val="00EA2AF1"/>
    <w:rsid w:val="00EA3D33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C7AF0"/>
    <w:rsid w:val="00ED7554"/>
    <w:rsid w:val="00EE1FE3"/>
    <w:rsid w:val="00EE4745"/>
    <w:rsid w:val="00EE58F6"/>
    <w:rsid w:val="00EE6243"/>
    <w:rsid w:val="00EF4AC8"/>
    <w:rsid w:val="00F00F76"/>
    <w:rsid w:val="00F0293F"/>
    <w:rsid w:val="00F047AB"/>
    <w:rsid w:val="00F05791"/>
    <w:rsid w:val="00F1477B"/>
    <w:rsid w:val="00F214D7"/>
    <w:rsid w:val="00F22A49"/>
    <w:rsid w:val="00F23455"/>
    <w:rsid w:val="00F30BF8"/>
    <w:rsid w:val="00F327CC"/>
    <w:rsid w:val="00F36D34"/>
    <w:rsid w:val="00F45F86"/>
    <w:rsid w:val="00F4746F"/>
    <w:rsid w:val="00F55C06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23BA"/>
    <w:rsid w:val="00FC6D4C"/>
    <w:rsid w:val="00FD130E"/>
    <w:rsid w:val="00FD1580"/>
    <w:rsid w:val="00FD471E"/>
    <w:rsid w:val="00FD7476"/>
    <w:rsid w:val="00FE2227"/>
    <w:rsid w:val="00FE5964"/>
    <w:rsid w:val="00FE70DA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43E9E-803D-422C-B3AF-2D5EE3B21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3046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2026-04-24T10:20:00Z</dcterms:created>
  <dcterms:modified xsi:type="dcterms:W3CDTF">2026-07-10T08:52:00Z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