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p w14:paraId="01349BE2" w14:textId="4F79BEB2" w:rsidR="00F00705" w:rsidRPr="00F00705" w:rsidRDefault="00F00705" w:rsidP="00F00705">
          <w:pPr>
            <w:jc w:val="both"/>
            <w:rPr>
              <w:b/>
              <w:bCs/>
              <w:lang w:val="lt-LT"/>
            </w:rPr>
          </w:pPr>
          <w:r>
            <w:rPr>
              <w:b/>
              <w:bCs/>
              <w:lang w:val="lt-LT"/>
            </w:rPr>
            <w:t>P</w:t>
          </w:r>
          <w:r w:rsidRPr="00F00705">
            <w:rPr>
              <w:b/>
              <w:bCs/>
              <w:lang w:val="lt-LT"/>
            </w:rPr>
            <w:t xml:space="preserve">ASLAUGŲ PIRKIMO-PARDAVIMO SUTARTIES </w:t>
          </w:r>
          <w:r>
            <w:rPr>
              <w:b/>
              <w:bCs/>
              <w:lang w:val="lt-LT"/>
            </w:rPr>
            <w:t>BENDROSIOS</w:t>
          </w:r>
          <w:r w:rsidRPr="00F00705">
            <w:rPr>
              <w:b/>
              <w:bCs/>
              <w:lang w:val="lt-LT"/>
            </w:rPr>
            <w:t xml:space="preserve"> SĄLYGOS</w:t>
          </w:r>
        </w:p>
        <w:p w14:paraId="7FA48602" w14:textId="77777777" w:rsidR="00A01F8B" w:rsidRDefault="00A01F8B" w:rsidP="00F00705">
          <w:pPr>
            <w:jc w:val="both"/>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000000">
          <w:pPr>
            <w:rPr>
              <w:lang w:val="lt-LT"/>
            </w:rPr>
          </w:pPr>
        </w:p>
      </w:sdtContent>
    </w:sdt>
    <w:sdt>
      <w:sdtPr>
        <w:rPr>
          <w:rFonts w:asciiTheme="minorHAnsi" w:eastAsiaTheme="minorEastAsia" w:hAnsiTheme="minorHAnsi" w:cstheme="minorBidi"/>
          <w:b w:val="0"/>
          <w:bCs w:val="0"/>
          <w:color w:val="auto"/>
          <w:sz w:val="22"/>
          <w:szCs w:val="22"/>
          <w:lang w:val="lt-LT"/>
        </w:rPr>
        <w:id w:val="1489822413"/>
        <w:docPartObj>
          <w:docPartGallery w:val="Table of Contents"/>
          <w:docPartUnique/>
        </w:docPartObj>
      </w:sdtPr>
      <w:sdtEndPr>
        <w:rPr>
          <w:noProof/>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lang w:val="en-US"/>
            </w:rPr>
          </w:pPr>
          <w:hyperlink w:anchor="_Toc126263049" w:history="1">
            <w:r w:rsidRPr="00B47B9A">
              <w:rPr>
                <w:rStyle w:val="Hyperlink"/>
                <w:rFonts w:cstheme="minorHAnsi"/>
                <w:b w:val="0"/>
                <w:bCs w:val="0"/>
              </w:rPr>
              <w:t>2.</w:t>
            </w:r>
            <w:r w:rsidRPr="00B47B9A">
              <w:rPr>
                <w:rFonts w:eastAsiaTheme="minorEastAsia" w:cstheme="minorBidi"/>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lang w:val="en-US"/>
            </w:rPr>
          </w:pPr>
          <w:hyperlink w:anchor="_Toc126263050" w:history="1">
            <w:r w:rsidRPr="00B47B9A">
              <w:rPr>
                <w:rStyle w:val="Hyperlink"/>
                <w:rFonts w:cstheme="minorHAnsi"/>
                <w:b w:val="0"/>
                <w:bCs w:val="0"/>
              </w:rPr>
              <w:t>3.</w:t>
            </w:r>
            <w:r w:rsidRPr="00B47B9A">
              <w:rPr>
                <w:rFonts w:eastAsiaTheme="minorEastAsia" w:cstheme="minorBidi"/>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lang w:val="en-US"/>
            </w:rPr>
          </w:pPr>
          <w:hyperlink w:anchor="_Toc126263051" w:history="1">
            <w:r w:rsidRPr="00B47B9A">
              <w:rPr>
                <w:rStyle w:val="Hyperlink"/>
                <w:rFonts w:cstheme="minorHAnsi"/>
                <w:b w:val="0"/>
                <w:bCs w:val="0"/>
              </w:rPr>
              <w:t>4.</w:t>
            </w:r>
            <w:r w:rsidRPr="00B47B9A">
              <w:rPr>
                <w:rFonts w:eastAsiaTheme="minorEastAsia" w:cstheme="minorBidi"/>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lang w:val="en-US"/>
            </w:rPr>
          </w:pPr>
          <w:hyperlink w:anchor="_Toc126263052" w:history="1">
            <w:r w:rsidRPr="00B47B9A">
              <w:rPr>
                <w:rStyle w:val="Hyperlink"/>
                <w:rFonts w:cstheme="minorHAnsi"/>
                <w:b w:val="0"/>
                <w:bCs w:val="0"/>
              </w:rPr>
              <w:t>5.</w:t>
            </w:r>
            <w:r w:rsidRPr="00B47B9A">
              <w:rPr>
                <w:rFonts w:eastAsiaTheme="minorEastAsia" w:cstheme="minorBidi"/>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lang w:val="en-US"/>
            </w:rPr>
          </w:pPr>
          <w:hyperlink w:anchor="_Toc126263053" w:history="1">
            <w:r w:rsidRPr="00B47B9A">
              <w:rPr>
                <w:rStyle w:val="Hyperlink"/>
                <w:rFonts w:cstheme="minorHAnsi"/>
                <w:b w:val="0"/>
                <w:bCs w:val="0"/>
              </w:rPr>
              <w:t>6.</w:t>
            </w:r>
            <w:r w:rsidRPr="00B47B9A">
              <w:rPr>
                <w:rFonts w:eastAsiaTheme="minorEastAsia" w:cstheme="minorBidi"/>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lang w:val="en-US"/>
            </w:rPr>
          </w:pPr>
          <w:hyperlink w:anchor="_Toc126263054" w:history="1">
            <w:r w:rsidRPr="00B47B9A">
              <w:rPr>
                <w:rStyle w:val="Hyperlink"/>
                <w:rFonts w:cstheme="minorHAnsi"/>
                <w:b w:val="0"/>
                <w:bCs w:val="0"/>
              </w:rPr>
              <w:t>7.</w:t>
            </w:r>
            <w:r w:rsidRPr="00B47B9A">
              <w:rPr>
                <w:rFonts w:eastAsiaTheme="minorEastAsia" w:cstheme="minorBidi"/>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lang w:val="en-US"/>
            </w:rPr>
          </w:pPr>
          <w:hyperlink w:anchor="_Toc126263055" w:history="1">
            <w:r w:rsidRPr="00B47B9A">
              <w:rPr>
                <w:rStyle w:val="Hyperlink"/>
                <w:rFonts w:cstheme="minorHAnsi"/>
                <w:b w:val="0"/>
                <w:bCs w:val="0"/>
              </w:rPr>
              <w:t>8.</w:t>
            </w:r>
            <w:r w:rsidRPr="00B47B9A">
              <w:rPr>
                <w:rFonts w:eastAsiaTheme="minorEastAsia" w:cstheme="minorBidi"/>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lang w:val="en-US"/>
            </w:rPr>
          </w:pPr>
          <w:hyperlink w:anchor="_Toc126263056" w:history="1">
            <w:r w:rsidRPr="00B47B9A">
              <w:rPr>
                <w:rStyle w:val="Hyperlink"/>
                <w:rFonts w:cstheme="minorHAnsi"/>
                <w:b w:val="0"/>
                <w:bCs w:val="0"/>
              </w:rPr>
              <w:t>9.</w:t>
            </w:r>
            <w:r w:rsidRPr="00B47B9A">
              <w:rPr>
                <w:rFonts w:eastAsiaTheme="minorEastAsia" w:cstheme="minorBidi"/>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lang w:val="en-US"/>
            </w:rPr>
          </w:pPr>
          <w:hyperlink w:anchor="_Toc126263057" w:history="1">
            <w:r w:rsidRPr="00B47B9A">
              <w:rPr>
                <w:rStyle w:val="Hyperlink"/>
                <w:rFonts w:cstheme="minorHAnsi"/>
                <w:b w:val="0"/>
                <w:bCs w:val="0"/>
              </w:rPr>
              <w:t>10.</w:t>
            </w:r>
            <w:r w:rsidRPr="00B47B9A">
              <w:rPr>
                <w:rFonts w:eastAsiaTheme="minorEastAsia" w:cstheme="minorBidi"/>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lang w:val="en-US"/>
            </w:rPr>
          </w:pPr>
          <w:hyperlink w:anchor="_Toc126263058" w:history="1">
            <w:r w:rsidRPr="00B47B9A">
              <w:rPr>
                <w:rStyle w:val="Hyperlink"/>
                <w:rFonts w:ascii="Calibri" w:hAnsi="Calibri" w:cs="Calibri"/>
                <w:b w:val="0"/>
                <w:bCs w:val="0"/>
              </w:rPr>
              <w:t>11.</w:t>
            </w:r>
            <w:r w:rsidRPr="00B47B9A">
              <w:rPr>
                <w:rFonts w:eastAsiaTheme="minorEastAsia" w:cstheme="minorBidi"/>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lang w:val="en-US"/>
            </w:rPr>
          </w:pPr>
          <w:hyperlink w:anchor="_Toc126263059" w:history="1">
            <w:r w:rsidRPr="00B47B9A">
              <w:rPr>
                <w:rStyle w:val="Hyperlink"/>
                <w:rFonts w:cstheme="minorHAnsi"/>
                <w:b w:val="0"/>
                <w:bCs w:val="0"/>
              </w:rPr>
              <w:t>12.</w:t>
            </w:r>
            <w:r w:rsidRPr="00B47B9A">
              <w:rPr>
                <w:rFonts w:eastAsiaTheme="minorEastAsia" w:cstheme="minorBidi"/>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lang w:val="en-US"/>
            </w:rPr>
          </w:pPr>
          <w:hyperlink w:anchor="_Toc126263060" w:history="1">
            <w:r w:rsidRPr="00B47B9A">
              <w:rPr>
                <w:rStyle w:val="Hyperlink"/>
                <w:rFonts w:cstheme="minorHAnsi"/>
                <w:b w:val="0"/>
                <w:bCs w:val="0"/>
              </w:rPr>
              <w:t>13.</w:t>
            </w:r>
            <w:r w:rsidRPr="00B47B9A">
              <w:rPr>
                <w:rFonts w:eastAsiaTheme="minorEastAsia" w:cstheme="minorBidi"/>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lang w:val="en-US"/>
            </w:rPr>
          </w:pPr>
          <w:hyperlink w:anchor="_Toc126263062" w:history="1">
            <w:r w:rsidRPr="00B47B9A">
              <w:rPr>
                <w:rStyle w:val="Hyperlink"/>
                <w:rFonts w:cstheme="minorHAnsi"/>
                <w:b w:val="0"/>
                <w:bCs w:val="0"/>
              </w:rPr>
              <w:t>15.</w:t>
            </w:r>
            <w:r w:rsidRPr="00B47B9A">
              <w:rPr>
                <w:rFonts w:eastAsiaTheme="minorEastAsia" w:cstheme="minorBidi"/>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lang w:val="en-US"/>
            </w:rPr>
          </w:pPr>
          <w:hyperlink w:anchor="_Toc126263063" w:history="1">
            <w:r w:rsidRPr="00B47B9A">
              <w:rPr>
                <w:rStyle w:val="Hyperlink"/>
                <w:rFonts w:cstheme="minorHAnsi"/>
                <w:b w:val="0"/>
                <w:bCs w:val="0"/>
              </w:rPr>
              <w:t>16.</w:t>
            </w:r>
            <w:r w:rsidRPr="00B47B9A">
              <w:rPr>
                <w:rFonts w:eastAsiaTheme="minorEastAsia" w:cstheme="minorBidi"/>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lang w:val="en-US"/>
            </w:rPr>
          </w:pPr>
          <w:hyperlink w:anchor="_Toc126263064" w:history="1">
            <w:r w:rsidRPr="00B47B9A">
              <w:rPr>
                <w:rStyle w:val="Hyperlink"/>
                <w:rFonts w:cstheme="minorHAnsi"/>
                <w:b w:val="0"/>
                <w:bCs w:val="0"/>
              </w:rPr>
              <w:t>17.</w:t>
            </w:r>
            <w:r w:rsidRPr="00B47B9A">
              <w:rPr>
                <w:rFonts w:eastAsiaTheme="minorEastAsia" w:cstheme="minorBidi"/>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lang w:val="en-US"/>
            </w:rPr>
          </w:pPr>
          <w:hyperlink w:anchor="_Toc126263068" w:history="1">
            <w:r w:rsidRPr="00B47B9A">
              <w:rPr>
                <w:rStyle w:val="Hyperlink"/>
                <w:rFonts w:eastAsia="Times New Roman"/>
                <w:b w:val="0"/>
                <w:bCs w:val="0"/>
              </w:rPr>
              <w:t>21.</w:t>
            </w:r>
            <w:r w:rsidRPr="00B47B9A">
              <w:rPr>
                <w:rFonts w:eastAsiaTheme="minorEastAsia" w:cstheme="minorBidi"/>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69030922"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7C1129">
          <w:rPr>
            <w:rStyle w:val="Hyperlink"/>
            <w:color w:val="0070C0"/>
          </w:rPr>
          <w:t>https://viesiejipirkimai.lt</w:t>
        </w:r>
      </w:hyperlink>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F00705"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w:t>
      </w:r>
      <w:r w:rsidRPr="00F00705">
        <w:rPr>
          <w:lang w:val="lt-LT"/>
        </w:rPr>
        <w:t xml:space="preserve">straipsnyje nustatytus reikalavimus dėl kokybės vadybos sistemos ir (arba) aplinkos apsaugos vadybos sistemos standartų laikymosi, kurio forma prieinama interneto svetainėje </w:t>
      </w:r>
      <w:hyperlink r:id="rId13">
        <w:r w:rsidRPr="00F00705">
          <w:rPr>
            <w:rStyle w:val="Hyperlink"/>
            <w:color w:val="0070C0"/>
            <w:lang w:val="lt-LT"/>
          </w:rPr>
          <w:t>http://ebvpd.eviesiejipirkimai.lt/espd-web/</w:t>
        </w:r>
      </w:hyperlink>
      <w:r w:rsidRPr="00F00705">
        <w:rPr>
          <w:rStyle w:val="Hyperlink"/>
          <w:lang w:val="lt-LT"/>
        </w:rPr>
        <w:t>.</w:t>
      </w:r>
    </w:p>
    <w:p w14:paraId="573171FF" w14:textId="37CD2CEC" w:rsidR="00184B8C" w:rsidRPr="00F00705" w:rsidRDefault="00184B8C" w:rsidP="00184B8C">
      <w:pPr>
        <w:pStyle w:val="ListParagraph"/>
        <w:numPr>
          <w:ilvl w:val="1"/>
          <w:numId w:val="2"/>
        </w:numPr>
        <w:spacing w:line="20" w:lineRule="atLeast"/>
        <w:ind w:left="0" w:firstLine="567"/>
        <w:jc w:val="both"/>
        <w:rPr>
          <w:lang w:val="lt-LT"/>
        </w:rPr>
      </w:pPr>
      <w:r w:rsidRPr="00F00705">
        <w:rPr>
          <w:b/>
          <w:bCs/>
          <w:lang w:val="lt-LT"/>
        </w:rPr>
        <w:t xml:space="preserve">Įgaliotoji organizacija </w:t>
      </w:r>
      <w:r w:rsidRPr="00F00705">
        <w:rPr>
          <w:lang w:val="lt-LT"/>
        </w:rPr>
        <w:t>– pirkimams organizuoti, pirkimo procedūroms iki sutarties ar preliminariosios sutarties sudarymo atlikti, taip pat atlikto pirkimo procedūrų ataskaitai ar skelbimui apie sudarytą sutartį ar preliminariąją sutartį pateikti</w:t>
      </w:r>
      <w:r w:rsidRPr="00F00705">
        <w:rPr>
          <w:color w:val="00B050"/>
          <w:lang w:val="lt-LT"/>
        </w:rPr>
        <w:t xml:space="preserve"> </w:t>
      </w:r>
      <w:r w:rsidRPr="00F00705">
        <w:rPr>
          <w:lang w:val="lt-LT"/>
        </w:rPr>
        <w:t>perkančiosios organizacijos įgaliota organizacija</w:t>
      </w:r>
      <w:r w:rsidR="0E5C93FD" w:rsidRPr="00F00705">
        <w:rPr>
          <w:lang w:val="lt-LT"/>
        </w:rPr>
        <w:t>, nurodyta specialiosiose pirkimo sąlygose</w:t>
      </w:r>
      <w:r w:rsidRPr="00F00705">
        <w:rPr>
          <w:i/>
          <w:iCs/>
          <w:lang w:val="lt-LT"/>
        </w:rPr>
        <w:t xml:space="preserve">. </w:t>
      </w:r>
    </w:p>
    <w:p w14:paraId="1EEF1EAD" w14:textId="7967BE72" w:rsidR="00184B8C" w:rsidRPr="00F00705" w:rsidRDefault="00184B8C" w:rsidP="00184B8C">
      <w:pPr>
        <w:pStyle w:val="ListParagraph"/>
        <w:numPr>
          <w:ilvl w:val="1"/>
          <w:numId w:val="2"/>
        </w:numPr>
        <w:spacing w:line="20" w:lineRule="atLeast"/>
        <w:ind w:left="0" w:firstLine="567"/>
        <w:jc w:val="both"/>
        <w:rPr>
          <w:rFonts w:cstheme="minorHAnsi"/>
          <w:lang w:val="lt-LT"/>
        </w:rPr>
      </w:pPr>
      <w:r w:rsidRPr="00F00705">
        <w:rPr>
          <w:b/>
          <w:bCs/>
          <w:lang w:val="lt-LT"/>
        </w:rPr>
        <w:t xml:space="preserve">Komisija </w:t>
      </w:r>
      <w:r w:rsidRPr="00F00705">
        <w:rPr>
          <w:lang w:val="lt-LT"/>
        </w:rPr>
        <w:t xml:space="preserve">– </w:t>
      </w:r>
      <w:r w:rsidR="00C80104" w:rsidRPr="00F00705">
        <w:rPr>
          <w:lang w:val="lt-LT"/>
        </w:rPr>
        <w:t xml:space="preserve">Nuolatinė </w:t>
      </w:r>
      <w:r w:rsidRPr="00F00705">
        <w:rPr>
          <w:lang w:val="lt-LT"/>
        </w:rPr>
        <w:t>viešojo pirkimo komisija.</w:t>
      </w:r>
    </w:p>
    <w:p w14:paraId="5678A0EC" w14:textId="449D5804" w:rsidR="00184B8C" w:rsidRPr="00F00705" w:rsidRDefault="0066078A" w:rsidP="00184B8C">
      <w:pPr>
        <w:pStyle w:val="ListParagraph"/>
        <w:numPr>
          <w:ilvl w:val="1"/>
          <w:numId w:val="2"/>
        </w:numPr>
        <w:spacing w:line="20" w:lineRule="atLeast"/>
        <w:ind w:left="0" w:firstLine="567"/>
        <w:jc w:val="both"/>
        <w:rPr>
          <w:rFonts w:cstheme="minorHAnsi"/>
          <w:strike/>
          <w:lang w:val="lt-LT"/>
        </w:rPr>
      </w:pPr>
      <w:r w:rsidRPr="00F00705">
        <w:rPr>
          <w:b/>
          <w:bCs/>
          <w:lang w:val="lt-LT"/>
        </w:rPr>
        <w:t>Perkančioji organizacija</w:t>
      </w:r>
      <w:r w:rsidRPr="00F00705">
        <w:rPr>
          <w:lang w:val="lt-LT"/>
        </w:rPr>
        <w:t xml:space="preserve"> –</w:t>
      </w:r>
      <w:r w:rsidR="00904BFB" w:rsidRPr="00F00705">
        <w:rPr>
          <w:lang w:val="lt-LT"/>
        </w:rPr>
        <w:t xml:space="preserve"> </w:t>
      </w:r>
      <w:r w:rsidRPr="00F00705">
        <w:rPr>
          <w:lang w:val="lt-LT"/>
        </w:rPr>
        <w:t xml:space="preserve">specialiosiose </w:t>
      </w:r>
      <w:r w:rsidR="00904BFB" w:rsidRPr="00F00705">
        <w:rPr>
          <w:lang w:val="lt-LT"/>
        </w:rPr>
        <w:t xml:space="preserve">pirkimo </w:t>
      </w:r>
      <w:r w:rsidRPr="00F00705">
        <w:rPr>
          <w:lang w:val="lt-LT"/>
        </w:rPr>
        <w:t>sąlygose nurodyta perkančioji organizacija</w:t>
      </w:r>
      <w:r w:rsidR="00861937" w:rsidRPr="00F00705">
        <w:rPr>
          <w:lang w:val="lt-LT"/>
        </w:rPr>
        <w:t>.</w:t>
      </w:r>
    </w:p>
    <w:p w14:paraId="32D0EB81" w14:textId="613C8E12" w:rsidR="00184B8C" w:rsidRPr="00F00705" w:rsidRDefault="00184B8C" w:rsidP="009E70BF">
      <w:pPr>
        <w:pStyle w:val="ListParagraph"/>
        <w:numPr>
          <w:ilvl w:val="1"/>
          <w:numId w:val="2"/>
        </w:numPr>
        <w:spacing w:after="120" w:line="20" w:lineRule="atLeast"/>
        <w:ind w:firstLine="207"/>
        <w:jc w:val="both"/>
        <w:rPr>
          <w:lang w:val="lt-LT"/>
        </w:rPr>
      </w:pPr>
      <w:r w:rsidRPr="00F00705">
        <w:rPr>
          <w:b/>
          <w:lang w:val="lt-LT"/>
        </w:rPr>
        <w:t>Pirkimas</w:t>
      </w:r>
      <w:r w:rsidRPr="00F00705">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F00705">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6C8FAB90">
      <w:pPr>
        <w:pStyle w:val="ListParagraph"/>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w:t>
      </w:r>
      <w:r w:rsidR="00EF3E6C" w:rsidRPr="6C8FAB90">
        <w:rPr>
          <w:rFonts w:eastAsia="Calibri"/>
        </w:rPr>
        <w:t>s</w:t>
      </w:r>
      <w:proofErr w:type="spellEnd"/>
      <w:r w:rsidRPr="6C8FAB90">
        <w:rPr>
          <w:rFonts w:eastAsia="Calibri"/>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w:t>
      </w:r>
      <w:r w:rsidR="009E798F" w:rsidRPr="2F180F3F">
        <w:rPr>
          <w:lang w:val="lt-LT"/>
        </w:rPr>
        <w:lastRenderedPageBreak/>
        <w:t xml:space="preserve">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4825F0E" w:rsidR="00F42204" w:rsidRPr="0036054C" w:rsidRDefault="17694CBB" w:rsidP="00280E86">
      <w:pPr>
        <w:pStyle w:val="ListParagraph"/>
        <w:numPr>
          <w:ilvl w:val="1"/>
          <w:numId w:val="9"/>
        </w:numPr>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7C1129">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08855FAD" w:rsidR="00F42204" w:rsidRPr="0036054C" w:rsidRDefault="00F42204" w:rsidP="00280E86">
      <w:pPr>
        <w:pStyle w:val="ListParagraph"/>
        <w:numPr>
          <w:ilvl w:val="1"/>
          <w:numId w:val="9"/>
        </w:numPr>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7C1129">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FB41D2D" w:rsidR="00FC757D" w:rsidRDefault="0041281F" w:rsidP="002532C8">
      <w:pPr>
        <w:pStyle w:val="ListParagraph"/>
        <w:numPr>
          <w:ilvl w:val="1"/>
          <w:numId w:val="9"/>
        </w:numPr>
        <w:ind w:left="0" w:firstLine="567"/>
        <w:jc w:val="both"/>
        <w:rPr>
          <w:rFonts w:cstheme="minorHAnsi"/>
          <w:bCs/>
          <w:lang w:val="lt-LT"/>
        </w:rPr>
      </w:pPr>
      <w:r w:rsidRPr="0036054C">
        <w:rPr>
          <w:rFonts w:cstheme="minorHAnsi"/>
          <w:bCs/>
          <w:lang w:val="lt-LT"/>
        </w:rPr>
        <w:lastRenderedPageBreak/>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A3F04">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lastRenderedPageBreak/>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ind w:left="0" w:firstLine="567"/>
        <w:jc w:val="both"/>
        <w:rPr>
          <w:color w:val="000000"/>
          <w:lang w:val="lt-LT"/>
        </w:rPr>
      </w:pPr>
      <w:r>
        <w:rPr>
          <w:color w:val="000000"/>
          <w:lang w:val="lt-LT"/>
        </w:rPr>
        <w:lastRenderedPageBreak/>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7A3F04">
        <w:rPr>
          <w:lang w:val="lt-LT"/>
        </w:rPr>
        <w:t>(</w:t>
      </w:r>
    </w:p>
    <w:p w14:paraId="42E6168B" w14:textId="77777777" w:rsidR="005B08B2" w:rsidRPr="0036054C" w:rsidRDefault="005B08B2" w:rsidP="003E1948">
      <w:pPr>
        <w:pStyle w:val="ListParagraph"/>
        <w:numPr>
          <w:ilvl w:val="2"/>
          <w:numId w:val="9"/>
        </w:numPr>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line="20" w:lineRule="atLeast"/>
        <w:ind w:left="0" w:firstLine="567"/>
        <w:jc w:val="both"/>
        <w:rPr>
          <w:rStyle w:val="Emphasis"/>
          <w:rFonts w:cstheme="minorHAnsi"/>
          <w:bCs w:val="0"/>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 xml:space="preserve">asiūlymą elektroniniu parašu pasirašo EBVPD turintis </w:t>
      </w:r>
      <w:r w:rsidRPr="00E51A2A">
        <w:rPr>
          <w:rFonts w:eastAsia="Calibri"/>
          <w:lang w:val="lt-LT"/>
        </w:rPr>
        <w:lastRenderedPageBreak/>
        <w:t>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line="20" w:lineRule="atLeast"/>
        <w:ind w:left="0" w:firstLine="567"/>
        <w:jc w:val="both"/>
        <w:rPr>
          <w:rFonts w:cstheme="minorHAnsi"/>
          <w:lang w:val="lt-LT"/>
        </w:rPr>
      </w:pPr>
    </w:p>
    <w:p w14:paraId="739C519A" w14:textId="48734313" w:rsidR="0076192A" w:rsidRPr="007A3F04" w:rsidRDefault="0076192A" w:rsidP="007A3F04">
      <w:pPr>
        <w:spacing w:line="20" w:lineRule="atLeast"/>
        <w:jc w:val="both"/>
        <w:rPr>
          <w:rFonts w:cstheme="minorHAnsi"/>
          <w:i/>
          <w:iCs/>
          <w:color w:val="FF0000"/>
          <w:lang w:val="lt-LT"/>
        </w:rPr>
      </w:pP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val="0"/>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line="20" w:lineRule="atLeast"/>
        <w:ind w:left="0" w:firstLine="567"/>
        <w:jc w:val="both"/>
        <w:rPr>
          <w:rFonts w:cstheme="minorHAnsi"/>
          <w:lang w:val="lt-LT"/>
        </w:rPr>
      </w:pPr>
      <w:r w:rsidRPr="0036054C">
        <w:rPr>
          <w:rFonts w:cstheme="minorHAnsi"/>
          <w:lang w:val="lt-LT"/>
        </w:rPr>
        <w:lastRenderedPageBreak/>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val="0"/>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lastRenderedPageBreak/>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w:t>
      </w:r>
      <w:r w:rsidRPr="2E4BCC36">
        <w:rPr>
          <w:rFonts w:eastAsia="Arial"/>
          <w:color w:val="000000" w:themeColor="text1"/>
          <w:lang w:val="lt-LT"/>
        </w:rPr>
        <w:lastRenderedPageBreak/>
        <w:t xml:space="preserve">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A938173" w:rsidR="001F20C8" w:rsidRPr="00B0780B" w:rsidRDefault="001F20C8" w:rsidP="37164CC8">
      <w:pPr>
        <w:pStyle w:val="ListParagraph"/>
        <w:numPr>
          <w:ilvl w:val="1"/>
          <w:numId w:val="67"/>
        </w:numPr>
        <w:tabs>
          <w:tab w:val="left" w:pos="1276"/>
        </w:tabs>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7D9C2A9" w:rsidR="0017028B" w:rsidRPr="00211083" w:rsidRDefault="0017028B" w:rsidP="002A78CC">
      <w:pPr>
        <w:pStyle w:val="ListParagraph"/>
        <w:numPr>
          <w:ilvl w:val="2"/>
          <w:numId w:val="64"/>
        </w:numPr>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w:t>
      </w:r>
      <w:r w:rsidRPr="00211083">
        <w:rPr>
          <w:rFonts w:eastAsia="Times New Roman" w:cstheme="minorHAnsi"/>
          <w:color w:val="000000"/>
          <w:lang w:val="lt-LT"/>
        </w:rPr>
        <w:lastRenderedPageBreak/>
        <w:t xml:space="preserve">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w:t>
      </w:r>
      <w:r w:rsidRPr="2E4BCC36">
        <w:rPr>
          <w:lang w:val="lt-LT"/>
        </w:rPr>
        <w:lastRenderedPageBreak/>
        <w:t xml:space="preserve">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lastRenderedPageBreak/>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val="0"/>
          <w:bCs w:val="0"/>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lastRenderedPageBreak/>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7A3F04"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w:t>
      </w:r>
      <w:r w:rsidRPr="00A876C9">
        <w:rPr>
          <w:lang w:val="lt-LT"/>
        </w:rPr>
        <w:lastRenderedPageBreak/>
        <w:t xml:space="preserve">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val="0"/>
          <w:bCs w:val="0"/>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08970" w14:textId="77777777" w:rsidR="004E7401" w:rsidRDefault="004E7401" w:rsidP="00184B8C">
      <w:r>
        <w:separator/>
      </w:r>
    </w:p>
  </w:endnote>
  <w:endnote w:type="continuationSeparator" w:id="0">
    <w:p w14:paraId="1D6C1966" w14:textId="77777777" w:rsidR="004E7401" w:rsidRDefault="004E7401" w:rsidP="00184B8C">
      <w:r>
        <w:continuationSeparator/>
      </w:r>
    </w:p>
  </w:endnote>
  <w:endnote w:type="continuationNotice" w:id="1">
    <w:p w14:paraId="2D418679" w14:textId="77777777" w:rsidR="004E7401" w:rsidRDefault="004E74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E1CB29E" w:rsidR="007D26C7" w:rsidRPr="002218AC" w:rsidRDefault="007D26C7">
    <w:pPr>
      <w:pStyle w:val="Footer"/>
      <w:rPr>
        <w:lang w:val="lt-LT"/>
      </w:rPr>
    </w:pPr>
    <w:r w:rsidRPr="002218AC">
      <w:rPr>
        <w:lang w:val="lt-LT"/>
      </w:rPr>
      <w:t xml:space="preserve">Bendrosios sąlygos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17139" w14:textId="77777777" w:rsidR="004E7401" w:rsidRDefault="004E7401" w:rsidP="00184B8C">
      <w:r>
        <w:separator/>
      </w:r>
    </w:p>
  </w:footnote>
  <w:footnote w:type="continuationSeparator" w:id="0">
    <w:p w14:paraId="4F5F39DD" w14:textId="77777777" w:rsidR="004E7401" w:rsidRDefault="004E7401" w:rsidP="00184B8C">
      <w:r>
        <w:continuationSeparator/>
      </w:r>
    </w:p>
  </w:footnote>
  <w:footnote w:type="continuationNotice" w:id="1">
    <w:p w14:paraId="728797A5" w14:textId="77777777" w:rsidR="004E7401" w:rsidRDefault="004E7401"/>
  </w:footnote>
  <w:footnote w:id="2">
    <w:p w14:paraId="007E516C" w14:textId="746BE6EA" w:rsidR="0041281F" w:rsidRPr="00427C59" w:rsidRDefault="0041281F" w:rsidP="00E04D63">
      <w:pPr>
        <w:pStyle w:val="FootnoteText"/>
        <w:rPr>
          <w:lang w:val="lt-LT"/>
        </w:rPr>
      </w:pPr>
      <w:r w:rsidRPr="00427C59">
        <w:rPr>
          <w:rStyle w:val="FootnoteReference"/>
          <w:lang w:val="lt-LT"/>
        </w:rPr>
        <w:footnoteRef/>
      </w:r>
      <w:r w:rsidRPr="00427C59">
        <w:rPr>
          <w:lang w:val="lt-LT"/>
        </w:rPr>
        <w:t xml:space="preserve"> Instrukcija: </w:t>
      </w:r>
      <w:hyperlink r:id="rId1" w:history="1">
        <w:r w:rsidR="00E04D63" w:rsidRPr="00072B2A">
          <w:rPr>
            <w:rStyle w:val="Hyperlink"/>
          </w:rPr>
          <w:t>https://vpt.lrv.lt/lt/nauja-cvp-is-aktuali-nuo-2024-12-01/metodine-medziaga-instrukcijos/tiekejamsnaujaCVPIS</w:t>
        </w:r>
      </w:hyperlink>
      <w:r w:rsidR="00E04D63" w:rsidRPr="00E04D63">
        <w:t>/</w:t>
      </w:r>
    </w:p>
    <w:p w14:paraId="50105DE5" w14:textId="157496B2" w:rsidR="0041281F" w:rsidRPr="00427C59" w:rsidRDefault="0041281F" w:rsidP="00E04D63">
      <w:pPr>
        <w:pStyle w:val="FootnoteText"/>
        <w:rPr>
          <w:lang w:val="lt-LT"/>
        </w:rPr>
      </w:pPr>
    </w:p>
  </w:footnote>
  <w:footnote w:id="3">
    <w:p w14:paraId="0A3005BE" w14:textId="1CDB5E97" w:rsidR="00801E8B" w:rsidRPr="00427C59" w:rsidRDefault="0017028B" w:rsidP="00801E8B">
      <w:pPr>
        <w:pStyle w:val="FootnoteText"/>
        <w:rPr>
          <w:lang w:val="lt-LT"/>
        </w:rPr>
      </w:pPr>
      <w:r w:rsidRPr="00427C59">
        <w:rPr>
          <w:rStyle w:val="FootnoteReference"/>
          <w:lang w:val="lt-LT"/>
        </w:rPr>
        <w:footnoteRef/>
      </w:r>
      <w:r w:rsidRPr="00427C59">
        <w:rPr>
          <w:lang w:val="lt-LT"/>
        </w:rPr>
        <w:t xml:space="preserve"> </w:t>
      </w:r>
      <w:hyperlink r:id="rId2" w:history="1">
        <w:r w:rsidR="00F5058C" w:rsidRPr="00072B2A">
          <w:rPr>
            <w:rStyle w:val="Hyperlink"/>
            <w:lang w:val="lt-LT"/>
          </w:rPr>
          <w:t>https://vpt.lrv.lt/uploads/vpt/documents/files/uzssisfravimo%20instrukcija(1).pdf</w:t>
        </w:r>
      </w:hyperlink>
    </w:p>
    <w:p w14:paraId="05A78CD8" w14:textId="1F3A39F0" w:rsidR="0017028B" w:rsidRPr="00427C59" w:rsidRDefault="0017028B" w:rsidP="0017028B">
      <w:pPr>
        <w:pStyle w:val="FootnoteText"/>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567887583">
    <w:abstractNumId w:val="65"/>
  </w:num>
  <w:num w:numId="2" w16cid:durableId="458915469">
    <w:abstractNumId w:val="27"/>
  </w:num>
  <w:num w:numId="3" w16cid:durableId="1918440128">
    <w:abstractNumId w:val="19"/>
  </w:num>
  <w:num w:numId="4" w16cid:durableId="2077899748">
    <w:abstractNumId w:val="40"/>
  </w:num>
  <w:num w:numId="5" w16cid:durableId="149256453">
    <w:abstractNumId w:val="14"/>
  </w:num>
  <w:num w:numId="6" w16cid:durableId="1864247311">
    <w:abstractNumId w:val="4"/>
  </w:num>
  <w:num w:numId="7" w16cid:durableId="35550986">
    <w:abstractNumId w:val="44"/>
  </w:num>
  <w:num w:numId="8" w16cid:durableId="555750251">
    <w:abstractNumId w:val="33"/>
  </w:num>
  <w:num w:numId="9" w16cid:durableId="24140251">
    <w:abstractNumId w:val="31"/>
  </w:num>
  <w:num w:numId="10" w16cid:durableId="585189663">
    <w:abstractNumId w:val="38"/>
  </w:num>
  <w:num w:numId="11" w16cid:durableId="1462766376">
    <w:abstractNumId w:val="15"/>
  </w:num>
  <w:num w:numId="12" w16cid:durableId="628046495">
    <w:abstractNumId w:val="56"/>
  </w:num>
  <w:num w:numId="13" w16cid:durableId="2083915420">
    <w:abstractNumId w:val="28"/>
  </w:num>
  <w:num w:numId="14" w16cid:durableId="1510372037">
    <w:abstractNumId w:val="1"/>
  </w:num>
  <w:num w:numId="15" w16cid:durableId="541132309">
    <w:abstractNumId w:val="7"/>
  </w:num>
  <w:num w:numId="16" w16cid:durableId="594902781">
    <w:abstractNumId w:val="46"/>
  </w:num>
  <w:num w:numId="17" w16cid:durableId="1110973504">
    <w:abstractNumId w:val="61"/>
  </w:num>
  <w:num w:numId="18" w16cid:durableId="680085545">
    <w:abstractNumId w:val="54"/>
  </w:num>
  <w:num w:numId="19" w16cid:durableId="1986087304">
    <w:abstractNumId w:val="6"/>
  </w:num>
  <w:num w:numId="20" w16cid:durableId="1172064490">
    <w:abstractNumId w:val="50"/>
  </w:num>
  <w:num w:numId="21" w16cid:durableId="204492032">
    <w:abstractNumId w:val="43"/>
  </w:num>
  <w:num w:numId="22" w16cid:durableId="516576109">
    <w:abstractNumId w:val="21"/>
  </w:num>
  <w:num w:numId="23" w16cid:durableId="915438602">
    <w:abstractNumId w:val="18"/>
  </w:num>
  <w:num w:numId="24" w16cid:durableId="197814770">
    <w:abstractNumId w:val="45"/>
  </w:num>
  <w:num w:numId="25" w16cid:durableId="697659975">
    <w:abstractNumId w:val="49"/>
  </w:num>
  <w:num w:numId="26" w16cid:durableId="650404487">
    <w:abstractNumId w:val="68"/>
  </w:num>
  <w:num w:numId="27" w16cid:durableId="1033961999">
    <w:abstractNumId w:val="51"/>
  </w:num>
  <w:num w:numId="28" w16cid:durableId="1783650182">
    <w:abstractNumId w:val="58"/>
  </w:num>
  <w:num w:numId="29" w16cid:durableId="2003510071">
    <w:abstractNumId w:val="13"/>
  </w:num>
  <w:num w:numId="30" w16cid:durableId="1819223141">
    <w:abstractNumId w:val="70"/>
  </w:num>
  <w:num w:numId="31" w16cid:durableId="1471944773">
    <w:abstractNumId w:val="20"/>
  </w:num>
  <w:num w:numId="32" w16cid:durableId="987628582">
    <w:abstractNumId w:val="60"/>
  </w:num>
  <w:num w:numId="33" w16cid:durableId="1844853183">
    <w:abstractNumId w:val="36"/>
  </w:num>
  <w:num w:numId="34" w16cid:durableId="1233276372">
    <w:abstractNumId w:val="67"/>
  </w:num>
  <w:num w:numId="35" w16cid:durableId="2073892473">
    <w:abstractNumId w:val="17"/>
  </w:num>
  <w:num w:numId="36" w16cid:durableId="1234002846">
    <w:abstractNumId w:val="24"/>
  </w:num>
  <w:num w:numId="37" w16cid:durableId="962809526">
    <w:abstractNumId w:val="25"/>
  </w:num>
  <w:num w:numId="38" w16cid:durableId="630208986">
    <w:abstractNumId w:val="2"/>
  </w:num>
  <w:num w:numId="39" w16cid:durableId="2023584837">
    <w:abstractNumId w:val="5"/>
  </w:num>
  <w:num w:numId="40" w16cid:durableId="765729013">
    <w:abstractNumId w:val="8"/>
  </w:num>
  <w:num w:numId="41" w16cid:durableId="174200218">
    <w:abstractNumId w:val="55"/>
  </w:num>
  <w:num w:numId="42" w16cid:durableId="377095530">
    <w:abstractNumId w:val="32"/>
  </w:num>
  <w:num w:numId="43" w16cid:durableId="167134019">
    <w:abstractNumId w:val="9"/>
  </w:num>
  <w:num w:numId="44" w16cid:durableId="1390808126">
    <w:abstractNumId w:val="52"/>
  </w:num>
  <w:num w:numId="45" w16cid:durableId="14112322">
    <w:abstractNumId w:val="0"/>
  </w:num>
  <w:num w:numId="46" w16cid:durableId="1784106675">
    <w:abstractNumId w:val="29"/>
  </w:num>
  <w:num w:numId="47" w16cid:durableId="1751851968">
    <w:abstractNumId w:val="63"/>
  </w:num>
  <w:num w:numId="48" w16cid:durableId="1868328331">
    <w:abstractNumId w:val="16"/>
  </w:num>
  <w:num w:numId="49" w16cid:durableId="1299649052">
    <w:abstractNumId w:val="10"/>
  </w:num>
  <w:num w:numId="50" w16cid:durableId="1596858761">
    <w:abstractNumId w:val="66"/>
  </w:num>
  <w:num w:numId="51" w16cid:durableId="1192767840">
    <w:abstractNumId w:val="39"/>
  </w:num>
  <w:num w:numId="52" w16cid:durableId="1942757850">
    <w:abstractNumId w:val="69"/>
  </w:num>
  <w:num w:numId="53" w16cid:durableId="630089657">
    <w:abstractNumId w:val="3"/>
  </w:num>
  <w:num w:numId="54" w16cid:durableId="1241790168">
    <w:abstractNumId w:val="62"/>
  </w:num>
  <w:num w:numId="55" w16cid:durableId="2069453110">
    <w:abstractNumId w:val="22"/>
  </w:num>
  <w:num w:numId="56" w16cid:durableId="281501234">
    <w:abstractNumId w:val="57"/>
  </w:num>
  <w:num w:numId="57" w16cid:durableId="398989594">
    <w:abstractNumId w:val="72"/>
  </w:num>
  <w:num w:numId="58" w16cid:durableId="1508130011">
    <w:abstractNumId w:val="53"/>
  </w:num>
  <w:num w:numId="59" w16cid:durableId="484781537">
    <w:abstractNumId w:val="59"/>
  </w:num>
  <w:num w:numId="60" w16cid:durableId="2137025884">
    <w:abstractNumId w:val="11"/>
  </w:num>
  <w:num w:numId="61" w16cid:durableId="395931227">
    <w:abstractNumId w:val="42"/>
  </w:num>
  <w:num w:numId="62" w16cid:durableId="1251350918">
    <w:abstractNumId w:val="71"/>
  </w:num>
  <w:num w:numId="63" w16cid:durableId="308829001">
    <w:abstractNumId w:val="41"/>
  </w:num>
  <w:num w:numId="64" w16cid:durableId="1860851009">
    <w:abstractNumId w:val="12"/>
  </w:num>
  <w:num w:numId="65" w16cid:durableId="574900726">
    <w:abstractNumId w:val="30"/>
  </w:num>
  <w:num w:numId="66" w16cid:durableId="1912961347">
    <w:abstractNumId w:val="34"/>
  </w:num>
  <w:num w:numId="67" w16cid:durableId="1731466651">
    <w:abstractNumId w:val="23"/>
  </w:num>
  <w:num w:numId="68" w16cid:durableId="2082679205">
    <w:abstractNumId w:val="48"/>
  </w:num>
  <w:num w:numId="69" w16cid:durableId="1866096927">
    <w:abstractNumId w:val="26"/>
  </w:num>
  <w:num w:numId="70" w16cid:durableId="1965504840">
    <w:abstractNumId w:val="35"/>
  </w:num>
  <w:num w:numId="71" w16cid:durableId="455375384">
    <w:abstractNumId w:val="37"/>
  </w:num>
  <w:num w:numId="72" w16cid:durableId="1275747441">
    <w:abstractNumId w:val="47"/>
  </w:num>
  <w:num w:numId="73" w16cid:durableId="1450978198">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06F71"/>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3A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B89"/>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160"/>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3855"/>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401"/>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305"/>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1F97"/>
    <w:rsid w:val="007A20E9"/>
    <w:rsid w:val="007A289C"/>
    <w:rsid w:val="007A3A73"/>
    <w:rsid w:val="007A3F04"/>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1FB3"/>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14F"/>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0A38"/>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476B"/>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104"/>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0F08"/>
    <w:rsid w:val="00C92329"/>
    <w:rsid w:val="00C92E1D"/>
    <w:rsid w:val="00C93038"/>
    <w:rsid w:val="00C9487D"/>
    <w:rsid w:val="00C9684E"/>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7B0"/>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0E79"/>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705"/>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305"/>
  </w:style>
  <w:style w:type="paragraph" w:styleId="Heading1">
    <w:name w:val="heading 1"/>
    <w:basedOn w:val="Normal"/>
    <w:next w:val="Normal"/>
    <w:link w:val="Heading1Char"/>
    <w:uiPriority w:val="9"/>
    <w:qFormat/>
    <w:rsid w:val="005E1305"/>
    <w:pPr>
      <w:pBdr>
        <w:bottom w:val="single" w:sz="12" w:space="1" w:color="2F5496" w:themeColor="accent1" w:themeShade="BF"/>
      </w:pBdr>
      <w:spacing w:before="600" w:after="80"/>
      <w:ind w:firstLine="0"/>
      <w:outlineLvl w:val="0"/>
    </w:pPr>
    <w:rPr>
      <w:rFonts w:asciiTheme="majorHAnsi" w:eastAsiaTheme="majorEastAsia" w:hAnsiTheme="majorHAnsi" w:cstheme="majorBidi"/>
      <w:b/>
      <w:bCs/>
      <w:color w:val="2F5496" w:themeColor="accent1" w:themeShade="BF"/>
      <w:sz w:val="24"/>
      <w:szCs w:val="24"/>
    </w:rPr>
  </w:style>
  <w:style w:type="paragraph" w:styleId="Heading2">
    <w:name w:val="heading 2"/>
    <w:basedOn w:val="Normal"/>
    <w:next w:val="Normal"/>
    <w:link w:val="Heading2Char"/>
    <w:uiPriority w:val="9"/>
    <w:semiHidden/>
    <w:unhideWhenUsed/>
    <w:qFormat/>
    <w:rsid w:val="005E1305"/>
    <w:pPr>
      <w:pBdr>
        <w:bottom w:val="single" w:sz="8" w:space="1" w:color="4472C4" w:themeColor="accent1"/>
      </w:pBdr>
      <w:spacing w:before="200" w:after="80"/>
      <w:ind w:firstLine="0"/>
      <w:outlineLvl w:val="1"/>
    </w:pPr>
    <w:rPr>
      <w:rFonts w:asciiTheme="majorHAnsi" w:eastAsiaTheme="majorEastAsia" w:hAnsiTheme="majorHAnsi" w:cstheme="majorBidi"/>
      <w:color w:val="2F5496" w:themeColor="accent1" w:themeShade="BF"/>
      <w:sz w:val="24"/>
      <w:szCs w:val="24"/>
    </w:rPr>
  </w:style>
  <w:style w:type="paragraph" w:styleId="Heading3">
    <w:name w:val="heading 3"/>
    <w:basedOn w:val="Normal"/>
    <w:next w:val="Normal"/>
    <w:link w:val="Heading3Char"/>
    <w:uiPriority w:val="9"/>
    <w:semiHidden/>
    <w:unhideWhenUsed/>
    <w:qFormat/>
    <w:rsid w:val="005E1305"/>
    <w:pPr>
      <w:pBdr>
        <w:bottom w:val="single" w:sz="4" w:space="1" w:color="8EAADB" w:themeColor="accent1" w:themeTint="99"/>
      </w:pBdr>
      <w:spacing w:before="200" w:after="80"/>
      <w:ind w:firstLine="0"/>
      <w:outlineLvl w:val="2"/>
    </w:pPr>
    <w:rPr>
      <w:rFonts w:asciiTheme="majorHAnsi" w:eastAsiaTheme="majorEastAsia" w:hAnsiTheme="majorHAnsi" w:cstheme="majorBidi"/>
      <w:color w:val="4472C4" w:themeColor="accent1"/>
      <w:sz w:val="24"/>
      <w:szCs w:val="24"/>
    </w:rPr>
  </w:style>
  <w:style w:type="paragraph" w:styleId="Heading4">
    <w:name w:val="heading 4"/>
    <w:basedOn w:val="Normal"/>
    <w:next w:val="Normal"/>
    <w:link w:val="Heading4Char"/>
    <w:uiPriority w:val="9"/>
    <w:semiHidden/>
    <w:unhideWhenUsed/>
    <w:qFormat/>
    <w:rsid w:val="005E1305"/>
    <w:pPr>
      <w:pBdr>
        <w:bottom w:val="single" w:sz="4" w:space="2" w:color="B4C6E7" w:themeColor="accent1" w:themeTint="66"/>
      </w:pBdr>
      <w:spacing w:before="200" w:after="80"/>
      <w:ind w:firstLine="0"/>
      <w:outlineLvl w:val="3"/>
    </w:pPr>
    <w:rPr>
      <w:rFonts w:asciiTheme="majorHAnsi" w:eastAsiaTheme="majorEastAsia" w:hAnsiTheme="majorHAnsi" w:cstheme="majorBidi"/>
      <w:i/>
      <w:iCs/>
      <w:color w:val="4472C4" w:themeColor="accent1"/>
      <w:sz w:val="24"/>
      <w:szCs w:val="24"/>
    </w:rPr>
  </w:style>
  <w:style w:type="paragraph" w:styleId="Heading5">
    <w:name w:val="heading 5"/>
    <w:basedOn w:val="Normal"/>
    <w:next w:val="Normal"/>
    <w:link w:val="Heading5Char"/>
    <w:uiPriority w:val="9"/>
    <w:semiHidden/>
    <w:unhideWhenUsed/>
    <w:qFormat/>
    <w:rsid w:val="005E1305"/>
    <w:pPr>
      <w:spacing w:before="200" w:after="80"/>
      <w:ind w:firstLine="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5E1305"/>
    <w:pPr>
      <w:spacing w:before="280" w:after="100"/>
      <w:ind w:firstLine="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5E1305"/>
    <w:pPr>
      <w:spacing w:before="320" w:after="100"/>
      <w:ind w:firstLine="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5E1305"/>
    <w:pPr>
      <w:spacing w:before="320" w:after="100"/>
      <w:ind w:firstLine="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5E1305"/>
    <w:pPr>
      <w:spacing w:before="320" w:after="100"/>
      <w:ind w:firstLine="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pPr>
  </w:style>
  <w:style w:type="character" w:customStyle="1" w:styleId="FooterChar">
    <w:name w:val="Footer Char"/>
    <w:basedOn w:val="DefaultParagraphFont"/>
    <w:link w:val="Footer"/>
    <w:uiPriority w:val="99"/>
    <w:rsid w:val="00184B8C"/>
    <w:rPr>
      <w:lang w:val="lt-LT"/>
    </w:rPr>
  </w:style>
  <w:style w:type="paragraph" w:styleId="NoSpacing">
    <w:name w:val="No Spacing"/>
    <w:basedOn w:val="Normal"/>
    <w:link w:val="NoSpacingChar"/>
    <w:uiPriority w:val="1"/>
    <w:qFormat/>
    <w:rsid w:val="005E1305"/>
    <w:pPr>
      <w:ind w:firstLine="0"/>
    </w:pPr>
  </w:style>
  <w:style w:type="character" w:customStyle="1" w:styleId="NoSpacingChar">
    <w:name w:val="No Spacing Char"/>
    <w:basedOn w:val="DefaultParagraphFont"/>
    <w:link w:val="NoSpacing"/>
    <w:uiPriority w:val="1"/>
    <w:rsid w:val="005E1305"/>
  </w:style>
  <w:style w:type="character" w:customStyle="1" w:styleId="Heading1Char">
    <w:name w:val="Heading 1 Char"/>
    <w:basedOn w:val="DefaultParagraphFont"/>
    <w:link w:val="Heading1"/>
    <w:uiPriority w:val="9"/>
    <w:rsid w:val="005E1305"/>
    <w:rPr>
      <w:rFonts w:asciiTheme="majorHAnsi" w:eastAsiaTheme="majorEastAsia" w:hAnsiTheme="majorHAnsi" w:cstheme="majorBidi"/>
      <w:b/>
      <w:bCs/>
      <w:color w:val="2F5496" w:themeColor="accent1" w:themeShade="BF"/>
      <w:sz w:val="24"/>
      <w:szCs w:val="24"/>
    </w:rPr>
  </w:style>
  <w:style w:type="paragraph" w:styleId="TOCHeading">
    <w:name w:val="TOC Heading"/>
    <w:basedOn w:val="Heading1"/>
    <w:next w:val="Normal"/>
    <w:uiPriority w:val="39"/>
    <w:unhideWhenUsed/>
    <w:qFormat/>
    <w:rsid w:val="005E1305"/>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E1305"/>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uiPriority w:val="20"/>
    <w:qFormat/>
    <w:rsid w:val="005E1305"/>
    <w:rPr>
      <w:b/>
      <w:bCs/>
      <w:i/>
      <w:iCs/>
      <w:color w:val="5A5A5A" w:themeColor="text1" w:themeTint="A5"/>
    </w:rPr>
  </w:style>
  <w:style w:type="paragraph" w:customStyle="1" w:styleId="Body2">
    <w:name w:val="Body 2"/>
    <w:rsid w:val="004F6A9A"/>
    <w:pPr>
      <w:suppressAutoHyphens/>
      <w:spacing w:after="40"/>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5E1305"/>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semiHidden/>
    <w:rsid w:val="005E1305"/>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5E1305"/>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5E1305"/>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5E1305"/>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5E1305"/>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5E1305"/>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5E1305"/>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5E1305"/>
    <w:rPr>
      <w:b/>
      <w:bCs/>
      <w:sz w:val="18"/>
      <w:szCs w:val="18"/>
    </w:rPr>
  </w:style>
  <w:style w:type="paragraph" w:styleId="Title">
    <w:name w:val="Title"/>
    <w:basedOn w:val="Normal"/>
    <w:next w:val="Normal"/>
    <w:link w:val="TitleChar"/>
    <w:uiPriority w:val="10"/>
    <w:qFormat/>
    <w:rsid w:val="005E1305"/>
    <w:pPr>
      <w:pBdr>
        <w:top w:val="single" w:sz="8" w:space="10" w:color="A1B8E1" w:themeColor="accent1" w:themeTint="7F"/>
        <w:bottom w:val="single" w:sz="24" w:space="15" w:color="A5A5A5" w:themeColor="accent3"/>
      </w:pBdr>
      <w:ind w:firstLine="0"/>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5E1305"/>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5E1305"/>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5E1305"/>
    <w:rPr>
      <w:i/>
      <w:iCs/>
      <w:sz w:val="24"/>
      <w:szCs w:val="24"/>
    </w:rPr>
  </w:style>
  <w:style w:type="character" w:styleId="Strong">
    <w:name w:val="Strong"/>
    <w:basedOn w:val="DefaultParagraphFont"/>
    <w:uiPriority w:val="22"/>
    <w:qFormat/>
    <w:rsid w:val="005E1305"/>
    <w:rPr>
      <w:b/>
      <w:bCs/>
      <w:spacing w:val="0"/>
    </w:rPr>
  </w:style>
  <w:style w:type="paragraph" w:styleId="Quote">
    <w:name w:val="Quote"/>
    <w:basedOn w:val="Normal"/>
    <w:next w:val="Normal"/>
    <w:link w:val="QuoteChar"/>
    <w:uiPriority w:val="29"/>
    <w:qFormat/>
    <w:rsid w:val="005E1305"/>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5E1305"/>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5E1305"/>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5E1305"/>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5E1305"/>
    <w:rPr>
      <w:i/>
      <w:iCs/>
      <w:color w:val="5A5A5A" w:themeColor="text1" w:themeTint="A5"/>
    </w:rPr>
  </w:style>
  <w:style w:type="character" w:styleId="IntenseEmphasis">
    <w:name w:val="Intense Emphasis"/>
    <w:uiPriority w:val="21"/>
    <w:qFormat/>
    <w:rsid w:val="005E1305"/>
    <w:rPr>
      <w:b/>
      <w:bCs/>
      <w:i/>
      <w:iCs/>
      <w:color w:val="4472C4" w:themeColor="accent1"/>
      <w:sz w:val="22"/>
      <w:szCs w:val="22"/>
    </w:rPr>
  </w:style>
  <w:style w:type="character" w:styleId="SubtleReference">
    <w:name w:val="Subtle Reference"/>
    <w:uiPriority w:val="31"/>
    <w:qFormat/>
    <w:rsid w:val="005E1305"/>
    <w:rPr>
      <w:color w:val="auto"/>
      <w:u w:val="single" w:color="A5A5A5" w:themeColor="accent3"/>
    </w:rPr>
  </w:style>
  <w:style w:type="character" w:styleId="IntenseReference">
    <w:name w:val="Intense Reference"/>
    <w:basedOn w:val="DefaultParagraphFont"/>
    <w:uiPriority w:val="32"/>
    <w:qFormat/>
    <w:rsid w:val="005E1305"/>
    <w:rPr>
      <w:b/>
      <w:bCs/>
      <w:color w:val="7B7B7B" w:themeColor="accent3" w:themeShade="BF"/>
      <w:u w:val="single" w:color="A5A5A5" w:themeColor="accent3"/>
    </w:rPr>
  </w:style>
  <w:style w:type="character" w:styleId="BookTitle">
    <w:name w:val="Book Title"/>
    <w:basedOn w:val="DefaultParagraphFont"/>
    <w:uiPriority w:val="33"/>
    <w:qFormat/>
    <w:rsid w:val="005E1305"/>
    <w:rPr>
      <w:rFonts w:asciiTheme="majorHAnsi" w:eastAsiaTheme="majorEastAsia" w:hAnsiTheme="majorHAnsi" w:cstheme="majorBidi"/>
      <w:b/>
      <w:bCs/>
      <w:i/>
      <w:iCs/>
      <w:color w:val="auto"/>
    </w:rPr>
  </w:style>
  <w:style w:type="table" w:styleId="TableGrid">
    <w:name w:val="Table Grid"/>
    <w:basedOn w:val="TableNormal"/>
    <w:uiPriority w:val="59"/>
    <w:rsid w:val="00DC30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style>
  <w:style w:type="paragraph" w:styleId="NormalWeb">
    <w:name w:val="Normal (Web)"/>
    <w:basedOn w:val="Normal"/>
    <w:uiPriority w:val="99"/>
    <w:semiHidden/>
    <w:unhideWhenUsed/>
    <w:rsid w:val="00660F2D"/>
    <w:pPr>
      <w:spacing w:before="100" w:beforeAutospacing="1" w:after="100" w:afterAutospacing="1"/>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7" ma:contentTypeDescription="Kurkite naują dokumentą." ma:contentTypeScope="" ma:versionID="7ea0c96ba3eac6548c3ad3cb73dd83f2">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3d816cedbddb221517970b84913efeff"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0e84bf1-8243-4edb-bbec-32ed2d0750c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423F65-FB60-47B4-901E-5E7FFB503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C4E00F-6F15-4EFB-B146-294B93D6BB09}">
  <ds:schemaRefs>
    <ds:schemaRef ds:uri="http://schemas.openxmlformats.org/officeDocument/2006/bibliography"/>
  </ds:schemaRefs>
</ds:datastoreItem>
</file>

<file path=customXml/itemProps4.xml><?xml version="1.0" encoding="utf-8"?>
<ds:datastoreItem xmlns:ds="http://schemas.openxmlformats.org/officeDocument/2006/customXml" ds:itemID="{60205261-692E-4710-A14B-C175AB6AAA7D}">
  <ds:schemaRefs>
    <ds:schemaRef ds:uri="http://schemas.microsoft.com/office/2006/metadata/properties"/>
    <ds:schemaRef ds:uri="http://schemas.microsoft.com/office/infopath/2007/PartnerControls"/>
    <ds:schemaRef ds:uri="70e84bf1-8243-4edb-bbec-32ed2d0750cb"/>
  </ds:schemaRefs>
</ds:datastoreItem>
</file>

<file path=customXml/itemProps5.xml><?xml version="1.0" encoding="utf-8"?>
<ds:datastoreItem xmlns:ds="http://schemas.openxmlformats.org/officeDocument/2006/customXml" ds:itemID="{22712E68-58FE-4DD0-AAE8-E67E062CDC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7574</Words>
  <Characters>55139</Characters>
  <Application>Microsoft Office Word</Application>
  <DocSecurity>0</DocSecurity>
  <Lines>725</Lines>
  <Paragraphs>277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atviro konkurso bendrosios sąlygos</vt:lpstr>
    </vt:vector>
  </TitlesOfParts>
  <Manager/>
  <Company/>
  <LinksUpToDate>false</LinksUpToDate>
  <CharactersWithSpaces>62436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2026-07-08T09:26:00Z</dcterms:created>
  <dcterms:modified xsi:type="dcterms:W3CDTF">2026-07-08T09:26:00Z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MediaServiceImageTags">
    <vt:lpwstr/>
  </property>
</Properties>
</file>