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DB60FB8"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F7634D">
            <w:rPr>
              <w:rFonts w:ascii="Arial" w:hAnsi="Arial" w:cs="Arial"/>
              <w:b/>
              <w:bCs/>
              <w:iCs/>
              <w:sz w:val="22"/>
              <w:szCs w:val="22"/>
              <w:lang w:eastAsia="lt-LT"/>
            </w:rPr>
            <w:t>33263 TRAUKINIŲ PERĖJIMO AIKŠTELIŲ ATSARGINĖS DALYS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BodyText"/>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56172ADB" w:rsidR="00092D40" w:rsidRPr="00757BB0" w:rsidRDefault="00092D40" w:rsidP="0020619E">
            <w:pPr>
              <w:pStyle w:val="BodyText"/>
              <w:rPr>
                <w:rFonts w:ascii="Arial" w:hAnsi="Arial" w:cs="Arial"/>
                <w:sz w:val="20"/>
                <w:szCs w:val="20"/>
              </w:rPr>
            </w:pPr>
            <w:r w:rsidRPr="00757BB0">
              <w:rPr>
                <w:rFonts w:ascii="Arial" w:hAnsi="Arial" w:cs="Arial"/>
                <w:sz w:val="20"/>
                <w:szCs w:val="20"/>
              </w:rPr>
              <w:t xml:space="preserve">I pirkimo objekto dalis </w:t>
            </w:r>
            <w:r w:rsidR="00FC6D9D" w:rsidRPr="00757BB0">
              <w:rPr>
                <w:rFonts w:ascii="Arial" w:hAnsi="Arial" w:cs="Arial"/>
                <w:sz w:val="20"/>
                <w:szCs w:val="20"/>
              </w:rPr>
              <w:t>–</w:t>
            </w:r>
            <w:r w:rsidRPr="00757BB0">
              <w:rPr>
                <w:rFonts w:ascii="Arial" w:hAnsi="Arial" w:cs="Arial"/>
                <w:sz w:val="20"/>
                <w:szCs w:val="20"/>
              </w:rPr>
              <w:t xml:space="preserve"> </w:t>
            </w:r>
            <w:r w:rsidR="005C0A68" w:rsidRPr="00757BB0">
              <w:rPr>
                <w:rFonts w:ascii="Arial" w:hAnsi="Arial"/>
                <w:bCs/>
                <w:color w:val="000000"/>
                <w:sz w:val="20"/>
                <w:szCs w:val="20"/>
              </w:rPr>
              <w:t>Dyzelinių traukinių PESA 730ML perėjimo aikštelių dal</w:t>
            </w:r>
            <w:r w:rsidR="005C0A68" w:rsidRPr="00757BB0">
              <w:rPr>
                <w:rFonts w:ascii="Arial" w:hAnsi="Arial"/>
                <w:bCs/>
                <w:color w:val="000000"/>
                <w:sz w:val="20"/>
                <w:szCs w:val="20"/>
              </w:rPr>
              <w:t>y</w:t>
            </w:r>
            <w:r w:rsidR="005C0A68" w:rsidRPr="00757BB0">
              <w:rPr>
                <w:rFonts w:ascii="Arial" w:hAnsi="Arial"/>
                <w:bCs/>
                <w:color w:val="000000"/>
                <w:sz w:val="20"/>
                <w:szCs w:val="20"/>
              </w:rPr>
              <w:t>s</w:t>
            </w:r>
          </w:p>
        </w:tc>
        <w:sdt>
          <w:sdtPr>
            <w:rPr>
              <w:rFonts w:ascii="Arial" w:hAnsi="Arial" w:cs="Arial"/>
              <w:sz w:val="20"/>
              <w:szCs w:val="20"/>
            </w:rPr>
            <w:id w:val="-740403973"/>
            <w14:checkbox>
              <w14:checked w14:val="0"/>
              <w14:checkedState w14:val="2612" w14:font="MS Gothic"/>
              <w14:uncheckedState w14:val="2610" w14:font="MS Gothic"/>
            </w14:checkbox>
          </w:sdtPr>
          <w:sdtContent>
            <w:tc>
              <w:tcPr>
                <w:tcW w:w="7229" w:type="dxa"/>
              </w:tcPr>
              <w:p w14:paraId="36139F03"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445A5450" w:rsidR="00092D40" w:rsidRPr="00757BB0" w:rsidRDefault="00092D40" w:rsidP="0020619E">
            <w:pPr>
              <w:pStyle w:val="BodyText"/>
              <w:rPr>
                <w:rFonts w:ascii="Arial" w:hAnsi="Arial" w:cs="Arial"/>
                <w:sz w:val="20"/>
                <w:szCs w:val="20"/>
              </w:rPr>
            </w:pPr>
            <w:r w:rsidRPr="00757BB0">
              <w:rPr>
                <w:rFonts w:ascii="Arial" w:hAnsi="Arial" w:cs="Arial"/>
                <w:sz w:val="20"/>
                <w:szCs w:val="20"/>
              </w:rPr>
              <w:t xml:space="preserve">II pirkimo objekto dalis </w:t>
            </w:r>
            <w:r w:rsidR="00FC6D9D" w:rsidRPr="00757BB0">
              <w:rPr>
                <w:rFonts w:ascii="Arial" w:hAnsi="Arial" w:cs="Arial"/>
                <w:sz w:val="20"/>
                <w:szCs w:val="20"/>
              </w:rPr>
              <w:t>–</w:t>
            </w:r>
            <w:r w:rsidRPr="00757BB0">
              <w:rPr>
                <w:rFonts w:ascii="Arial" w:hAnsi="Arial" w:cs="Arial"/>
                <w:sz w:val="20"/>
                <w:szCs w:val="20"/>
              </w:rPr>
              <w:t xml:space="preserve"> </w:t>
            </w:r>
            <w:r w:rsidR="008C1039" w:rsidRPr="00757BB0">
              <w:rPr>
                <w:rFonts w:ascii="Arial" w:hAnsi="Arial"/>
                <w:bCs/>
                <w:color w:val="000000"/>
                <w:sz w:val="20"/>
                <w:szCs w:val="20"/>
              </w:rPr>
              <w:t>Dyzelinių traukinių PESA 630MiL perėjimo aikštelių daly</w:t>
            </w:r>
            <w:r w:rsidR="00757BB0">
              <w:rPr>
                <w:rFonts w:ascii="Arial" w:hAnsi="Arial"/>
                <w:bCs/>
                <w:color w:val="000000"/>
                <w:sz w:val="20"/>
                <w:szCs w:val="20"/>
              </w:rPr>
              <w:t>s</w:t>
            </w:r>
          </w:p>
        </w:tc>
        <w:sdt>
          <w:sdtPr>
            <w:rPr>
              <w:rFonts w:ascii="Arial" w:hAnsi="Arial" w:cs="Arial"/>
              <w:sz w:val="20"/>
              <w:szCs w:val="20"/>
            </w:rPr>
            <w:id w:val="1701350573"/>
            <w14:checkbox>
              <w14:checked w14:val="0"/>
              <w14:checkedState w14:val="2612" w14:font="MS Gothic"/>
              <w14:uncheckedState w14:val="2610" w14:font="MS Gothic"/>
            </w14:checkbox>
          </w:sdtPr>
          <w:sdtContent>
            <w:tc>
              <w:tcPr>
                <w:tcW w:w="7229" w:type="dxa"/>
              </w:tcPr>
              <w:p w14:paraId="3D08D2BD"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34E032EC" w14:textId="77777777" w:rsidTr="00796EF5">
        <w:trPr>
          <w:trHeight w:val="395"/>
        </w:trPr>
        <w:tc>
          <w:tcPr>
            <w:tcW w:w="7508" w:type="dxa"/>
          </w:tcPr>
          <w:p w14:paraId="2F6942A5" w14:textId="36FFDE93" w:rsidR="00092D40" w:rsidRPr="00757BB0" w:rsidRDefault="00092D40" w:rsidP="0020619E">
            <w:pPr>
              <w:pStyle w:val="BodyText"/>
              <w:rPr>
                <w:rFonts w:ascii="Arial" w:hAnsi="Arial" w:cs="Arial"/>
                <w:sz w:val="20"/>
                <w:szCs w:val="20"/>
              </w:rPr>
            </w:pPr>
            <w:r w:rsidRPr="00757BB0">
              <w:rPr>
                <w:rFonts w:ascii="Arial" w:hAnsi="Arial" w:cs="Arial"/>
                <w:sz w:val="20"/>
                <w:szCs w:val="20"/>
              </w:rPr>
              <w:t xml:space="preserve">III pirkimo objekto dalis </w:t>
            </w:r>
            <w:r w:rsidR="00FC6D9D" w:rsidRPr="00757BB0">
              <w:rPr>
                <w:rFonts w:ascii="Arial" w:hAnsi="Arial" w:cs="Arial"/>
                <w:sz w:val="20"/>
                <w:szCs w:val="20"/>
              </w:rPr>
              <w:t>–</w:t>
            </w:r>
            <w:r w:rsidRPr="00757BB0">
              <w:rPr>
                <w:rFonts w:ascii="Arial" w:hAnsi="Arial" w:cs="Arial"/>
                <w:sz w:val="20"/>
                <w:szCs w:val="20"/>
              </w:rPr>
              <w:t xml:space="preserve"> </w:t>
            </w:r>
            <w:r w:rsidR="00757BB0" w:rsidRPr="00757BB0">
              <w:rPr>
                <w:rFonts w:ascii="Arial" w:hAnsi="Arial"/>
                <w:bCs/>
                <w:color w:val="000000"/>
                <w:sz w:val="20"/>
                <w:szCs w:val="20"/>
              </w:rPr>
              <w:t>Elektrinių traukinių EJ575 perėjimo aikštelių dalys</w:t>
            </w:r>
          </w:p>
        </w:tc>
        <w:sdt>
          <w:sdtPr>
            <w:rPr>
              <w:rFonts w:ascii="Arial" w:hAnsi="Arial" w:cs="Arial"/>
              <w:sz w:val="20"/>
              <w:szCs w:val="20"/>
            </w:rPr>
            <w:id w:val="974729721"/>
            <w14:checkbox>
              <w14:checked w14:val="0"/>
              <w14:checkedState w14:val="2612" w14:font="MS Gothic"/>
              <w14:uncheckedState w14:val="2610" w14:font="MS Gothic"/>
            </w14:checkbox>
          </w:sdtPr>
          <w:sdtContent>
            <w:tc>
              <w:tcPr>
                <w:tcW w:w="7229" w:type="dxa"/>
              </w:tcPr>
              <w:p w14:paraId="742E7234"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lastRenderedPageBreak/>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F7634D"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F7634D">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F7634D">
        <w:rPr>
          <w:rFonts w:ascii="Arial" w:eastAsia="Aptos" w:hAnsi="Arial" w:cs="Arial"/>
          <w:noProof/>
          <w:kern w:val="2"/>
          <w:sz w:val="20"/>
          <w:szCs w:val="20"/>
          <w14:ligatures w14:val="standardContextual"/>
        </w:rPr>
        <w:t xml:space="preserve"> su tinklalapyje </w:t>
      </w:r>
      <w:hyperlink r:id="rId12" w:history="1">
        <w:r w:rsidRPr="00F7634D">
          <w:rPr>
            <w:rFonts w:ascii="Arial" w:eastAsia="Aptos" w:hAnsi="Arial" w:cs="Arial"/>
            <w:noProof/>
            <w:color w:val="467886"/>
            <w:kern w:val="2"/>
            <w:sz w:val="20"/>
            <w:szCs w:val="20"/>
            <w:u w:val="single"/>
            <w14:ligatures w14:val="standardContextual"/>
          </w:rPr>
          <w:t>www.ltg.lt</w:t>
        </w:r>
      </w:hyperlink>
      <w:r w:rsidRPr="00F7634D">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F7634D">
          <w:rPr>
            <w:rFonts w:ascii="Arial" w:eastAsia="Aptos" w:hAnsi="Arial" w:cs="Arial"/>
            <w:noProof/>
            <w:color w:val="467886"/>
            <w:kern w:val="2"/>
            <w:sz w:val="20"/>
            <w:szCs w:val="20"/>
            <w:u w:val="single"/>
            <w14:ligatures w14:val="standardContextual"/>
          </w:rPr>
          <w:t>Sankcijų įgyvendinimo ir kontrolės politika</w:t>
        </w:r>
      </w:hyperlink>
      <w:r w:rsidRPr="00F7634D">
        <w:rPr>
          <w:rFonts w:ascii="Arial" w:eastAsia="Aptos" w:hAnsi="Arial" w:cs="Arial"/>
          <w:noProof/>
          <w:kern w:val="2"/>
          <w:sz w:val="20"/>
          <w:szCs w:val="20"/>
          <w14:ligatures w14:val="standardContextual"/>
        </w:rPr>
        <w:t xml:space="preserve">, </w:t>
      </w:r>
      <w:hyperlink r:id="rId14" w:tooltip="https://ltg.lt/apie-mus/korupcijos-prevencija/" w:history="1">
        <w:r w:rsidRPr="00F7634D">
          <w:rPr>
            <w:rFonts w:ascii="Arial" w:eastAsia="Aptos" w:hAnsi="Arial" w:cs="Arial"/>
            <w:noProof/>
            <w:color w:val="467886"/>
            <w:kern w:val="2"/>
            <w:sz w:val="20"/>
            <w:szCs w:val="20"/>
            <w:u w:val="single"/>
            <w14:ligatures w14:val="standardContextual"/>
          </w:rPr>
          <w:t>Atsparumo korupcijai politika</w:t>
        </w:r>
      </w:hyperlink>
      <w:r w:rsidRPr="00F7634D">
        <w:rPr>
          <w:rFonts w:ascii="Arial" w:eastAsia="Aptos" w:hAnsi="Arial" w:cs="Arial"/>
          <w:noProof/>
          <w:kern w:val="2"/>
          <w:sz w:val="20"/>
          <w:szCs w:val="20"/>
          <w14:ligatures w14:val="standardContextual"/>
        </w:rPr>
        <w:t xml:space="preserve">, </w:t>
      </w:r>
      <w:hyperlink r:id="rId15" w:tooltip="https://ltg.lt/apie-mus/valdymas/vidaus-teises-aktai/" w:history="1">
        <w:r w:rsidRPr="00F7634D">
          <w:rPr>
            <w:rFonts w:ascii="Arial" w:eastAsia="Aptos" w:hAnsi="Arial" w:cs="Arial"/>
            <w:noProof/>
            <w:color w:val="467886"/>
            <w:kern w:val="2"/>
            <w:sz w:val="20"/>
            <w:szCs w:val="20"/>
            <w:u w:val="single"/>
            <w14:ligatures w14:val="standardContextual"/>
          </w:rPr>
          <w:t>Nacionalinio saugumo atitikties politika</w:t>
        </w:r>
      </w:hyperlink>
      <w:r w:rsidRPr="00F7634D">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C0963" w14:textId="77777777" w:rsidR="00D73EF3" w:rsidRDefault="00D73EF3" w:rsidP="0043350F">
      <w:r>
        <w:separator/>
      </w:r>
    </w:p>
  </w:endnote>
  <w:endnote w:type="continuationSeparator" w:id="0">
    <w:p w14:paraId="71520FFF" w14:textId="77777777" w:rsidR="00D73EF3" w:rsidRDefault="00D73EF3" w:rsidP="0043350F">
      <w:r>
        <w:continuationSeparator/>
      </w:r>
    </w:p>
  </w:endnote>
  <w:endnote w:type="continuationNotice" w:id="1">
    <w:p w14:paraId="564F4EA6" w14:textId="77777777" w:rsidR="00D73EF3" w:rsidRDefault="00D73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FA47" w14:textId="77777777" w:rsidR="00D73EF3" w:rsidRDefault="00D73EF3" w:rsidP="0043350F">
      <w:r>
        <w:separator/>
      </w:r>
    </w:p>
  </w:footnote>
  <w:footnote w:type="continuationSeparator" w:id="0">
    <w:p w14:paraId="48F12394" w14:textId="77777777" w:rsidR="00D73EF3" w:rsidRDefault="00D73EF3" w:rsidP="0043350F">
      <w:r>
        <w:continuationSeparator/>
      </w:r>
    </w:p>
  </w:footnote>
  <w:footnote w:type="continuationNotice" w:id="1">
    <w:p w14:paraId="12E5140D" w14:textId="77777777" w:rsidR="00D73EF3" w:rsidRDefault="00D73EF3"/>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79D"/>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0A68"/>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BB0"/>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39"/>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73EF3"/>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634D"/>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60949"/>
    <w:rsid w:val="002C04BF"/>
    <w:rsid w:val="00301A4D"/>
    <w:rsid w:val="003B7134"/>
    <w:rsid w:val="003C793F"/>
    <w:rsid w:val="0041779D"/>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3763</Words>
  <Characters>2145</Characters>
  <Application>Microsoft Office Word</Application>
  <DocSecurity>0</DocSecurity>
  <Lines>17</Lines>
  <Paragraphs>11</Paragraphs>
  <ScaleCrop>false</ScaleCrop>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2026-06-01T07:54:00Z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