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w:t>
      </w:r>
      <w:proofErr w:type="spellStart"/>
      <w:r w:rsidR="0049302D">
        <w:rPr>
          <w:rFonts w:ascii="Times New Roman" w:eastAsia="NSimSun" w:hAnsi="Times New Roman" w:cs="Times New Roman"/>
          <w:kern w:val="3"/>
          <w:lang w:eastAsia="zh-CN" w:bidi="hi-IN"/>
          <w14:ligatures w14:val="none"/>
        </w:rPr>
        <w:t>Šabanovo</w:t>
      </w:r>
      <w:proofErr w:type="spellEnd"/>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2CF131D1"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Pr="009555D3">
        <w:rPr>
          <w:rFonts w:ascii="Times New Roman" w:eastAsia="Calibri" w:hAnsi="Times New Roman" w:cs="Times New Roman"/>
          <w:color w:val="156082" w:themeColor="accent1"/>
          <w:kern w:val="0"/>
          <w14:ligatures w14:val="none"/>
        </w:rPr>
        <w:t xml:space="preserve">3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33DDBF93"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r w:rsidR="00753FAA">
        <w:rPr>
          <w:rFonts w:ascii="Times New Roman" w:eastAsia="Times New Roman" w:hAnsi="Times New Roman" w:cs="Times New Roman"/>
          <w:iCs/>
          <w:kern w:val="0"/>
          <w14:ligatures w14:val="none"/>
        </w:rPr>
        <w:t xml:space="preserve"> </w:t>
      </w:r>
      <w:r w:rsidR="00753FAA" w:rsidRPr="00753FAA">
        <w:rPr>
          <w:rFonts w:ascii="Times New Roman" w:eastAsia="Times New Roman" w:hAnsi="Times New Roman" w:cs="Times New Roman"/>
          <w:iCs/>
          <w:color w:val="156082" w:themeColor="accent1"/>
          <w:kern w:val="0"/>
          <w14:ligatures w14:val="none"/>
        </w:rPr>
        <w:t>(nurodyti kokios konkrečiai paslaugos suteikiamos – kokie mokymai)</w:t>
      </w:r>
      <w:r w:rsidR="00CB4E5D">
        <w:rPr>
          <w:rFonts w:ascii="Times New Roman" w:eastAsia="Times New Roman" w:hAnsi="Times New Roman" w:cs="Times New Roman"/>
          <w:iCs/>
          <w:color w:val="156082" w:themeColor="accent1"/>
          <w:kern w:val="0"/>
          <w14:ligatures w14:val="none"/>
        </w:rPr>
        <w:t xml:space="preserve">, </w:t>
      </w:r>
    </w:p>
    <w:p w14:paraId="10E49720" w14:textId="40308DBE" w:rsidR="00E6172C" w:rsidRPr="00092C15" w:rsidRDefault="00E6172C"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A379E7">
        <w:rPr>
          <w:rFonts w:ascii="Times New Roman" w:eastAsia="Times New Roman" w:hAnsi="Times New Roman" w:cs="Times New Roman"/>
          <w:iCs/>
          <w:kern w:val="0"/>
          <w14:ligatures w14:val="none"/>
        </w:rPr>
        <w:t xml:space="preserve">, </w:t>
      </w:r>
      <w:r w:rsidR="00181760">
        <w:rPr>
          <w:rFonts w:ascii="Times New Roman" w:eastAsia="Times New Roman" w:hAnsi="Times New Roman" w:cs="Times New Roman"/>
          <w:iCs/>
          <w:kern w:val="0"/>
          <w14:ligatures w14:val="none"/>
        </w:rPr>
        <w:t>(</w:t>
      </w:r>
      <w:r w:rsidR="00181760" w:rsidRPr="00092C15">
        <w:rPr>
          <w:rFonts w:ascii="Times New Roman" w:eastAsia="Times New Roman" w:hAnsi="Times New Roman" w:cs="Times New Roman"/>
          <w:iCs/>
          <w:color w:val="E97132" w:themeColor="accent2"/>
          <w:kern w:val="0"/>
          <w14:ligatures w14:val="none"/>
        </w:rPr>
        <w:t xml:space="preserve">jei </w:t>
      </w:r>
      <w:r w:rsidR="00092C15" w:rsidRPr="00092C15">
        <w:rPr>
          <w:rFonts w:ascii="Times New Roman" w:eastAsia="Times New Roman" w:hAnsi="Times New Roman" w:cs="Times New Roman"/>
          <w:iCs/>
          <w:color w:val="E97132" w:themeColor="accent2"/>
          <w:kern w:val="0"/>
          <w14:ligatures w14:val="none"/>
        </w:rPr>
        <w:t xml:space="preserve">tai </w:t>
      </w:r>
      <w:r w:rsidR="00CF6921" w:rsidRPr="00092C15">
        <w:rPr>
          <w:rFonts w:ascii="Times New Roman" w:eastAsia="Times New Roman" w:hAnsi="Times New Roman" w:cs="Times New Roman"/>
          <w:iCs/>
          <w:color w:val="E97132" w:themeColor="accent2"/>
          <w:kern w:val="0"/>
          <w14:ligatures w14:val="none"/>
        </w:rPr>
        <w:t xml:space="preserve">dalyvavimas projekto veikloje, kuri yra finansuojama iš 2021 – 2027 m. Europos Sąjungos fondų investicijos programų ir / ar Ekonomikos gaivinimo ir atsparumo didinimo plano „Naujos kartos Lietuva“ lėšų </w:t>
      </w:r>
      <w:r w:rsidR="00023F44">
        <w:rPr>
          <w:rFonts w:ascii="Times New Roman" w:eastAsia="Times New Roman" w:hAnsi="Times New Roman" w:cs="Times New Roman"/>
          <w:iCs/>
          <w:color w:val="E97132" w:themeColor="accent2"/>
          <w:kern w:val="0"/>
          <w14:ligatures w14:val="none"/>
        </w:rPr>
        <w:t xml:space="preserve">ar </w:t>
      </w:r>
      <w:r w:rsidR="00D35C56">
        <w:rPr>
          <w:rFonts w:ascii="Times New Roman" w:eastAsia="Times New Roman" w:hAnsi="Times New Roman" w:cs="Times New Roman"/>
          <w:iCs/>
          <w:color w:val="E97132" w:themeColor="accent2"/>
          <w:kern w:val="0"/>
          <w14:ligatures w14:val="none"/>
        </w:rPr>
        <w:t>kito</w:t>
      </w:r>
      <w:r w:rsidR="003803BE">
        <w:rPr>
          <w:rFonts w:ascii="Times New Roman" w:eastAsia="Times New Roman" w:hAnsi="Times New Roman" w:cs="Times New Roman"/>
          <w:iCs/>
          <w:color w:val="E97132" w:themeColor="accent2"/>
          <w:kern w:val="0"/>
          <w14:ligatures w14:val="none"/>
        </w:rPr>
        <w:t xml:space="preserve">s </w:t>
      </w:r>
      <w:r w:rsidR="00CF6921" w:rsidRPr="00092C15">
        <w:rPr>
          <w:rFonts w:ascii="Times New Roman" w:eastAsia="Times New Roman" w:hAnsi="Times New Roman" w:cs="Times New Roman"/>
          <w:iCs/>
          <w:color w:val="E97132" w:themeColor="accent2"/>
          <w:kern w:val="0"/>
          <w14:ligatures w14:val="none"/>
        </w:rPr>
        <w:t>Europos Sąjungos fondų lėšo</w:t>
      </w:r>
      <w:r w:rsidR="00E8322C">
        <w:rPr>
          <w:rFonts w:ascii="Times New Roman" w:eastAsia="Times New Roman" w:hAnsi="Times New Roman" w:cs="Times New Roman"/>
          <w:iCs/>
          <w:color w:val="E97132" w:themeColor="accent2"/>
          <w:kern w:val="0"/>
          <w14:ligatures w14:val="none"/>
        </w:rPr>
        <w:t>mis finansuojamos programos</w:t>
      </w:r>
      <w:r w:rsidR="00CF6921" w:rsidRPr="00092C15">
        <w:rPr>
          <w:rFonts w:ascii="Times New Roman" w:eastAsia="Times New Roman" w:hAnsi="Times New Roman" w:cs="Times New Roman"/>
          <w:iCs/>
          <w:color w:val="E97132" w:themeColor="accent2"/>
          <w:kern w:val="0"/>
          <w14:ligatures w14:val="none"/>
        </w:rPr>
        <w:t>).</w:t>
      </w:r>
      <w:r w:rsidR="00DF5321">
        <w:rPr>
          <w:rFonts w:ascii="Times New Roman" w:eastAsia="Times New Roman" w:hAnsi="Times New Roman" w:cs="Times New Roman"/>
          <w:iCs/>
          <w:kern w:val="0"/>
          <w14:ligatures w14:val="none"/>
        </w:rPr>
        <w:t xml:space="preserve"> </w:t>
      </w:r>
      <w:r w:rsidR="00DF5321" w:rsidRPr="00DF5321">
        <w:rPr>
          <w:rFonts w:ascii="Times New Roman" w:hAnsi="Times New Roman" w:cs="Times New Roman"/>
          <w:color w:val="156082" w:themeColor="accent1"/>
        </w:rPr>
        <w:t xml:space="preserve">arba </w:t>
      </w:r>
      <w:r w:rsidR="00C35824">
        <w:rPr>
          <w:rFonts w:ascii="Times New Roman" w:hAnsi="Times New Roman" w:cs="Times New Roman"/>
          <w:color w:val="156082" w:themeColor="accent1"/>
        </w:rPr>
        <w:t xml:space="preserve">Reglamento </w:t>
      </w:r>
      <w:r w:rsidR="00C35824" w:rsidRPr="00C35824">
        <w:rPr>
          <w:rFonts w:ascii="Times New Roman" w:hAnsi="Times New Roman" w:cs="Times New Roman"/>
          <w:color w:val="156082" w:themeColor="accent1"/>
        </w:rPr>
        <w:t>6 straipsnio 1 dalies e punktas (viešojo intereso užtikrinimas)</w:t>
      </w:r>
      <w:r w:rsidR="00092C15">
        <w:rPr>
          <w:rFonts w:ascii="Times New Roman" w:hAnsi="Times New Roman" w:cs="Times New Roman"/>
          <w:color w:val="156082" w:themeColor="accent1"/>
        </w:rPr>
        <w:t xml:space="preserve">. </w:t>
      </w:r>
      <w:r w:rsidR="00092C15" w:rsidRPr="00092C15">
        <w:rPr>
          <w:rFonts w:ascii="Times New Roman" w:hAnsi="Times New Roman" w:cs="Times New Roman"/>
          <w:color w:val="E97132" w:themeColor="accent2"/>
        </w:rPr>
        <w:t>(</w:t>
      </w:r>
      <w:r w:rsidR="00C35824" w:rsidRPr="00092C15">
        <w:rPr>
          <w:rFonts w:ascii="Times New Roman" w:hAnsi="Times New Roman" w:cs="Times New Roman"/>
          <w:color w:val="E97132" w:themeColor="accent2"/>
        </w:rPr>
        <w:t>jei mokymai yra NŠA nuostatuose įtvirtinta funkcija</w:t>
      </w:r>
      <w:r w:rsidR="00092C15" w:rsidRPr="00092C15">
        <w:rPr>
          <w:rFonts w:ascii="Times New Roman" w:hAnsi="Times New Roman" w:cs="Times New Roman"/>
          <w:color w:val="E97132" w:themeColor="accent2"/>
        </w:rPr>
        <w:t>)</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1C2C3114"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lastRenderedPageBreak/>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7A729C">
        <w:rPr>
          <w:rFonts w:ascii="Times New Roman" w:eastAsia="Times New Roman" w:hAnsi="Times New Roman" w:cs="Times New Roman"/>
          <w:color w:val="156082" w:themeColor="accent1"/>
          <w:kern w:val="0"/>
          <w14:ligatures w14:val="none"/>
        </w:rPr>
        <w:t>Techninėj</w:t>
      </w:r>
      <w:r w:rsidR="00D729C9">
        <w:rPr>
          <w:rFonts w:ascii="Times New Roman" w:eastAsia="Times New Roman" w:hAnsi="Times New Roman" w:cs="Times New Roman"/>
          <w:color w:val="156082" w:themeColor="accent1"/>
          <w:kern w:val="0"/>
          <w14:ligatures w14:val="none"/>
        </w:rPr>
        <w:t>e specifikacijoje ir(ar) Paslaugų sutartyje nurodyti duomenys</w:t>
      </w:r>
      <w:r w:rsidRPr="00094320">
        <w:rPr>
          <w:rFonts w:ascii="Times New Roman" w:eastAsia="Times New Roman" w:hAnsi="Times New Roman" w:cs="Times New Roman"/>
          <w:color w:val="156082" w:themeColor="accent1"/>
          <w:kern w:val="0"/>
          <w14:ligatures w14:val="none"/>
        </w:rPr>
        <w:t>).</w:t>
      </w:r>
    </w:p>
    <w:p w14:paraId="710E2C51" w14:textId="77777777" w:rsidR="00A314C0" w:rsidRPr="00A314C0" w:rsidRDefault="00A314C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t>Duomenų tvarkytojui pavedama šiame Susitarime nurodytus asmens duomenis tvarkyti tik šiais veiksmais:</w:t>
      </w:r>
    </w:p>
    <w:p w14:paraId="3E00EAA1" w14:textId="63E1C62D" w:rsidR="00A314C0"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surinkti iš duomenų subjektų (ir (ar) gauti iš Duomenų valdytojo, jeigu taikoma);</w:t>
      </w:r>
    </w:p>
    <w:p w14:paraId="305CC3CA" w14:textId="0DFB53BF" w:rsidR="0065795C"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Sraopastraipa"/>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Sraopastraipa"/>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nepasitelkti</w:t>
      </w:r>
      <w:r w:rsidRPr="00AB1C17">
        <w:rPr>
          <w:rFonts w:ascii="Times New Roman" w:eastAsia="Times New Roman" w:hAnsi="Times New Roman" w:cs="Times New Roman"/>
          <w:iCs/>
          <w:kern w:val="0"/>
          <w14:ligatures w14:val="none"/>
        </w:rPr>
        <w:t xml:space="preserve">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kern w:val="0"/>
          <w14:ligatures w14:val="none"/>
        </w:rPr>
        <w:t>subtvarkytojams</w:t>
      </w:r>
      <w:proofErr w:type="spellEnd"/>
      <w:r w:rsidRPr="00AB1C17">
        <w:rPr>
          <w:rFonts w:ascii="Times New Roman" w:eastAsia="Times New Roman" w:hAnsi="Times New Roman" w:cs="Times New Roman"/>
          <w:iCs/>
          <w:kern w:val="0"/>
          <w14:ligatures w14:val="none"/>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w:t>
      </w:r>
      <w:r w:rsidRPr="00AB1C17">
        <w:rPr>
          <w:rFonts w:ascii="Times New Roman" w:eastAsia="Times New Roman" w:hAnsi="Times New Roman" w:cs="Times New Roman"/>
          <w:iCs/>
          <w:kern w:val="0"/>
          <w14:ligatures w14:val="none"/>
        </w:rPr>
        <w:lastRenderedPageBreak/>
        <w:t xml:space="preserve">rašytinio Duomenų valdytojo sutikimo. Duomenų tvarkytojas užtikrina, kad </w:t>
      </w:r>
      <w:proofErr w:type="spellStart"/>
      <w:r w:rsidRPr="00AB1C17">
        <w:rPr>
          <w:rFonts w:ascii="Times New Roman" w:eastAsia="Times New Roman" w:hAnsi="Times New Roman" w:cs="Times New Roman"/>
          <w:iCs/>
          <w:kern w:val="0"/>
          <w14:ligatures w14:val="none"/>
        </w:rPr>
        <w:t>subtvarkytojui</w:t>
      </w:r>
      <w:proofErr w:type="spellEnd"/>
      <w:r w:rsidRPr="00AB1C17">
        <w:rPr>
          <w:rFonts w:ascii="Times New Roman" w:eastAsia="Times New Roman" w:hAnsi="Times New Roman" w:cs="Times New Roman"/>
          <w:iCs/>
          <w:kern w:val="0"/>
          <w14:ligatures w14:val="none"/>
        </w:rPr>
        <w:t xml:space="preserve"> būtų nustatytos ne mažesnės asmens duomenų apsaugos pareigos, ir atsako už </w:t>
      </w:r>
      <w:proofErr w:type="spellStart"/>
      <w:r w:rsidRPr="00AB1C17">
        <w:rPr>
          <w:rFonts w:ascii="Times New Roman" w:eastAsia="Times New Roman" w:hAnsi="Times New Roman" w:cs="Times New Roman"/>
          <w:iCs/>
          <w:kern w:val="0"/>
          <w14:ligatures w14:val="none"/>
        </w:rPr>
        <w:t>subtvarkytojo</w:t>
      </w:r>
      <w:proofErr w:type="spellEnd"/>
      <w:r w:rsidRPr="00AB1C17">
        <w:rPr>
          <w:rFonts w:ascii="Times New Roman" w:eastAsia="Times New Roman" w:hAnsi="Times New Roman" w:cs="Times New Roman"/>
          <w:iCs/>
          <w:kern w:val="0"/>
          <w14:ligatures w14:val="none"/>
        </w:rPr>
        <w:t xml:space="preserve">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echninėje specifikacijoje nustatytu būdu. Po perdavimo Duomenų tvarkytojas ištrina (sunaikina)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Sraopastraipa"/>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w:t>
      </w:r>
      <w:r w:rsidR="003A62DD">
        <w:rPr>
          <w:rFonts w:ascii="Times New Roman" w:eastAsia="Times New Roman" w:hAnsi="Times New Roman" w:cs="Times New Roman"/>
          <w:iCs/>
          <w:kern w:val="0"/>
          <w14:ligatures w14:val="none"/>
        </w:rPr>
        <w:lastRenderedPageBreak/>
        <w:t>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Direktorius Simonas </w:t>
            </w:r>
            <w:proofErr w:type="spellStart"/>
            <w:r w:rsidRPr="005B5646">
              <w:rPr>
                <w:rFonts w:ascii="Times New Roman" w:eastAsia="NSimSun" w:hAnsi="Times New Roman" w:cs="Times New Roman"/>
                <w:kern w:val="3"/>
                <w:lang w:eastAsia="zh-CN" w:bidi="hi-IN"/>
                <w14:ligatures w14:val="none"/>
              </w:rPr>
              <w:t>Šabanovas</w:t>
            </w:r>
            <w:proofErr w:type="spellEnd"/>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9713" w14:textId="77777777" w:rsidR="00280488" w:rsidRDefault="00280488" w:rsidP="00D0593C">
      <w:pPr>
        <w:spacing w:after="0" w:line="240" w:lineRule="auto"/>
      </w:pPr>
      <w:r>
        <w:separator/>
      </w:r>
    </w:p>
  </w:endnote>
  <w:endnote w:type="continuationSeparator" w:id="0">
    <w:p w14:paraId="6D4CBBAD" w14:textId="77777777" w:rsidR="00280488" w:rsidRDefault="00280488"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F083" w14:textId="77777777" w:rsidR="00280488" w:rsidRDefault="00280488" w:rsidP="00D0593C">
      <w:pPr>
        <w:spacing w:after="0" w:line="240" w:lineRule="auto"/>
      </w:pPr>
      <w:r>
        <w:separator/>
      </w:r>
    </w:p>
  </w:footnote>
  <w:footnote w:type="continuationSeparator" w:id="0">
    <w:p w14:paraId="1BC531DE" w14:textId="77777777" w:rsidR="00280488" w:rsidRDefault="00280488"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4505833">
    <w:abstractNumId w:val="3"/>
  </w:num>
  <w:num w:numId="2" w16cid:durableId="768890912">
    <w:abstractNumId w:val="0"/>
  </w:num>
  <w:num w:numId="3" w16cid:durableId="1546672315">
    <w:abstractNumId w:val="2"/>
  </w:num>
  <w:num w:numId="4" w16cid:durableId="1974939984">
    <w:abstractNumId w:val="5"/>
  </w:num>
  <w:num w:numId="5" w16cid:durableId="165680404">
    <w:abstractNumId w:val="4"/>
  </w:num>
  <w:num w:numId="6" w16cid:durableId="1498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03DE4"/>
    <w:rsid w:val="00023F44"/>
    <w:rsid w:val="000448E9"/>
    <w:rsid w:val="00062A94"/>
    <w:rsid w:val="000817C3"/>
    <w:rsid w:val="00092C15"/>
    <w:rsid w:val="00094320"/>
    <w:rsid w:val="000977CD"/>
    <w:rsid w:val="000D0A2F"/>
    <w:rsid w:val="000D5CBD"/>
    <w:rsid w:val="000E28B7"/>
    <w:rsid w:val="00101963"/>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80488"/>
    <w:rsid w:val="00297174"/>
    <w:rsid w:val="002B0587"/>
    <w:rsid w:val="002E4B35"/>
    <w:rsid w:val="002F0D1E"/>
    <w:rsid w:val="00300CBA"/>
    <w:rsid w:val="0031544B"/>
    <w:rsid w:val="00341292"/>
    <w:rsid w:val="003555A4"/>
    <w:rsid w:val="003622FB"/>
    <w:rsid w:val="0036247D"/>
    <w:rsid w:val="003723A8"/>
    <w:rsid w:val="003803BE"/>
    <w:rsid w:val="00387A3E"/>
    <w:rsid w:val="003A231A"/>
    <w:rsid w:val="003A62DD"/>
    <w:rsid w:val="003C5596"/>
    <w:rsid w:val="003E0751"/>
    <w:rsid w:val="003E44C7"/>
    <w:rsid w:val="0041498B"/>
    <w:rsid w:val="00417CA8"/>
    <w:rsid w:val="00486A5B"/>
    <w:rsid w:val="00486E05"/>
    <w:rsid w:val="0049190D"/>
    <w:rsid w:val="0049302D"/>
    <w:rsid w:val="004963A7"/>
    <w:rsid w:val="004B09DC"/>
    <w:rsid w:val="004D0325"/>
    <w:rsid w:val="004F0E7D"/>
    <w:rsid w:val="005125DD"/>
    <w:rsid w:val="00521BB3"/>
    <w:rsid w:val="0058430C"/>
    <w:rsid w:val="005933C1"/>
    <w:rsid w:val="005B13CD"/>
    <w:rsid w:val="005C56E7"/>
    <w:rsid w:val="005E1E2B"/>
    <w:rsid w:val="0060121A"/>
    <w:rsid w:val="0060498C"/>
    <w:rsid w:val="0065795C"/>
    <w:rsid w:val="00684C74"/>
    <w:rsid w:val="00696458"/>
    <w:rsid w:val="006972D0"/>
    <w:rsid w:val="006E41DA"/>
    <w:rsid w:val="007452D5"/>
    <w:rsid w:val="00745D8A"/>
    <w:rsid w:val="00753FAA"/>
    <w:rsid w:val="007655DF"/>
    <w:rsid w:val="00781D8A"/>
    <w:rsid w:val="0079074F"/>
    <w:rsid w:val="0079108D"/>
    <w:rsid w:val="00792018"/>
    <w:rsid w:val="007A729C"/>
    <w:rsid w:val="007B6AA0"/>
    <w:rsid w:val="007C3EB2"/>
    <w:rsid w:val="007E4A99"/>
    <w:rsid w:val="00815E6D"/>
    <w:rsid w:val="00823054"/>
    <w:rsid w:val="00850FEE"/>
    <w:rsid w:val="0087663C"/>
    <w:rsid w:val="008A5B95"/>
    <w:rsid w:val="008B52B9"/>
    <w:rsid w:val="008E5C29"/>
    <w:rsid w:val="008E667C"/>
    <w:rsid w:val="009555D3"/>
    <w:rsid w:val="0096709A"/>
    <w:rsid w:val="009738C9"/>
    <w:rsid w:val="00981D77"/>
    <w:rsid w:val="009940B7"/>
    <w:rsid w:val="0099488F"/>
    <w:rsid w:val="009A0E95"/>
    <w:rsid w:val="009A5CC6"/>
    <w:rsid w:val="009B3CC8"/>
    <w:rsid w:val="009C083E"/>
    <w:rsid w:val="009C0B05"/>
    <w:rsid w:val="009D022A"/>
    <w:rsid w:val="009E13BB"/>
    <w:rsid w:val="00A218DF"/>
    <w:rsid w:val="00A26F34"/>
    <w:rsid w:val="00A314C0"/>
    <w:rsid w:val="00A379E7"/>
    <w:rsid w:val="00A603BF"/>
    <w:rsid w:val="00A64786"/>
    <w:rsid w:val="00A715A8"/>
    <w:rsid w:val="00A800C9"/>
    <w:rsid w:val="00A84681"/>
    <w:rsid w:val="00A858D3"/>
    <w:rsid w:val="00A90A93"/>
    <w:rsid w:val="00A92CF1"/>
    <w:rsid w:val="00A94AC4"/>
    <w:rsid w:val="00AA48C6"/>
    <w:rsid w:val="00AB0675"/>
    <w:rsid w:val="00AB1C17"/>
    <w:rsid w:val="00AC7898"/>
    <w:rsid w:val="00AF01D7"/>
    <w:rsid w:val="00AF7391"/>
    <w:rsid w:val="00B07A42"/>
    <w:rsid w:val="00B14BAF"/>
    <w:rsid w:val="00B75F35"/>
    <w:rsid w:val="00B80B65"/>
    <w:rsid w:val="00B90401"/>
    <w:rsid w:val="00B945EC"/>
    <w:rsid w:val="00B96839"/>
    <w:rsid w:val="00BA4232"/>
    <w:rsid w:val="00BC63E3"/>
    <w:rsid w:val="00BE130F"/>
    <w:rsid w:val="00C121BA"/>
    <w:rsid w:val="00C124F1"/>
    <w:rsid w:val="00C35824"/>
    <w:rsid w:val="00C37835"/>
    <w:rsid w:val="00CB05B8"/>
    <w:rsid w:val="00CB4E5D"/>
    <w:rsid w:val="00CF2340"/>
    <w:rsid w:val="00CF6921"/>
    <w:rsid w:val="00D0593C"/>
    <w:rsid w:val="00D122D4"/>
    <w:rsid w:val="00D23010"/>
    <w:rsid w:val="00D35A74"/>
    <w:rsid w:val="00D35C56"/>
    <w:rsid w:val="00D35CAB"/>
    <w:rsid w:val="00D507E7"/>
    <w:rsid w:val="00D727EB"/>
    <w:rsid w:val="00D729C9"/>
    <w:rsid w:val="00D86DA0"/>
    <w:rsid w:val="00D87AC4"/>
    <w:rsid w:val="00D95BA0"/>
    <w:rsid w:val="00DA6D20"/>
    <w:rsid w:val="00DB4979"/>
    <w:rsid w:val="00DE1C83"/>
    <w:rsid w:val="00DF5321"/>
    <w:rsid w:val="00E46F4E"/>
    <w:rsid w:val="00E473BE"/>
    <w:rsid w:val="00E6172C"/>
    <w:rsid w:val="00E66255"/>
    <w:rsid w:val="00E7541D"/>
    <w:rsid w:val="00E8322C"/>
    <w:rsid w:val="00EC6282"/>
    <w:rsid w:val="00EE47DE"/>
    <w:rsid w:val="00EE5389"/>
    <w:rsid w:val="00EF0FA0"/>
    <w:rsid w:val="00F141A7"/>
    <w:rsid w:val="00F264A9"/>
    <w:rsid w:val="00F50721"/>
    <w:rsid w:val="00F64DAB"/>
    <w:rsid w:val="00F67481"/>
    <w:rsid w:val="00F70ED1"/>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 w:type="character" w:styleId="Komentaronuoroda">
    <w:name w:val="annotation reference"/>
    <w:basedOn w:val="Numatytasispastraiposriftas"/>
    <w:uiPriority w:val="99"/>
    <w:semiHidden/>
    <w:unhideWhenUsed/>
    <w:rsid w:val="002279F0"/>
    <w:rPr>
      <w:sz w:val="16"/>
      <w:szCs w:val="16"/>
    </w:rPr>
  </w:style>
  <w:style w:type="paragraph" w:styleId="Komentarotekstas">
    <w:name w:val="annotation text"/>
    <w:basedOn w:val="prastasis"/>
    <w:link w:val="KomentarotekstasDiagrama"/>
    <w:uiPriority w:val="99"/>
    <w:unhideWhenUsed/>
    <w:rsid w:val="00227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9F0"/>
    <w:rPr>
      <w:sz w:val="20"/>
      <w:szCs w:val="20"/>
    </w:rPr>
  </w:style>
  <w:style w:type="paragraph" w:styleId="Komentarotema">
    <w:name w:val="annotation subject"/>
    <w:basedOn w:val="Komentarotekstas"/>
    <w:next w:val="Komentarotekstas"/>
    <w:link w:val="KomentarotemaDiagrama"/>
    <w:uiPriority w:val="99"/>
    <w:semiHidden/>
    <w:unhideWhenUsed/>
    <w:rsid w:val="002279F0"/>
    <w:rPr>
      <w:b/>
      <w:bCs/>
    </w:rPr>
  </w:style>
  <w:style w:type="character" w:customStyle="1" w:styleId="KomentarotemaDiagrama">
    <w:name w:val="Komentaro tema Diagrama"/>
    <w:basedOn w:val="KomentarotekstasDiagrama"/>
    <w:link w:val="Komentarotema"/>
    <w:uiPriority w:val="99"/>
    <w:semiHidden/>
    <w:rsid w:val="00227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1127</Words>
  <Characters>8079</Characters>
  <Application>Microsoft Office Word</Application>
  <DocSecurity>0</DocSecurity>
  <Lines>179</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2026-01-19T10:54:00Z</dcterms:created>
  <dc:creator>Irvita Dubakienė</dc:creator>
  <cp:lastModifiedBy>Irvita Dubakienė</cp:lastModifiedBy>
  <dcterms:modified xsi:type="dcterms:W3CDTF">2026-02-11T06:27:00Z</dcterms:modified>
  <cp:revision>63</cp:revision>
</cp:coreProperties>
</file>