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660F67CD" w14:textId="77777777" w:rsidR="00F85502" w:rsidRPr="00F85502" w:rsidRDefault="00F85502" w:rsidP="005A62C9">
      <w:pPr>
        <w:tabs>
          <w:tab w:val="left" w:pos="567"/>
          <w:tab w:val="left" w:pos="709"/>
          <w:tab w:val="left" w:pos="1276"/>
        </w:tabs>
        <w:spacing w:after="0" w:line="240" w:lineRule="auto"/>
        <w:ind w:firstLine="426"/>
        <w:jc w:val="center"/>
        <w:rPr>
          <w:rFonts w:cs="Times New Roman"/>
          <w:b/>
          <w:bCs/>
          <w:color w:val="333333"/>
          <w:szCs w:val="24"/>
          <w:shd w:val="clear" w:color="auto" w:fill="FFFFFF"/>
        </w:rPr>
      </w:pPr>
      <w:r>
        <w:br/>
      </w:r>
      <w:r w:rsidRPr="00F85502">
        <w:rPr>
          <w:rFonts w:cs="Times New Roman"/>
          <w:b/>
          <w:bCs/>
          <w:color w:val="333333"/>
          <w:szCs w:val="24"/>
          <w:shd w:val="clear" w:color="auto" w:fill="FFFFFF"/>
        </w:rPr>
        <w:t>Reguliuojama vonia asmenims su negalia</w:t>
      </w:r>
    </w:p>
    <w:p w14:paraId="71A63A8A" w14:textId="064A28E4"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6C34F5F0"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F85502">
        <w:br/>
      </w:r>
      <w:r w:rsidR="00F85502" w:rsidRPr="00F85502">
        <w:rPr>
          <w:rFonts w:cs="Times New Roman"/>
          <w:szCs w:val="24"/>
          <w:shd w:val="clear" w:color="auto" w:fill="FFFFFF"/>
        </w:rPr>
        <w:t>Reguliuojam</w:t>
      </w:r>
      <w:r w:rsidR="00F85502" w:rsidRPr="00F85502">
        <w:rPr>
          <w:rFonts w:cs="Times New Roman"/>
          <w:szCs w:val="24"/>
          <w:shd w:val="clear" w:color="auto" w:fill="FFFFFF"/>
        </w:rPr>
        <w:t>ą</w:t>
      </w:r>
      <w:r w:rsidR="00F85502" w:rsidRPr="00F85502">
        <w:rPr>
          <w:rFonts w:cs="Times New Roman"/>
          <w:szCs w:val="24"/>
          <w:shd w:val="clear" w:color="auto" w:fill="FFFFFF"/>
        </w:rPr>
        <w:t xml:space="preserve"> voni</w:t>
      </w:r>
      <w:r w:rsidR="00F85502" w:rsidRPr="00F85502">
        <w:rPr>
          <w:rFonts w:cs="Times New Roman"/>
          <w:szCs w:val="24"/>
          <w:shd w:val="clear" w:color="auto" w:fill="FFFFFF"/>
        </w:rPr>
        <w:t>ą</w:t>
      </w:r>
      <w:r w:rsidR="00F85502" w:rsidRPr="00F85502">
        <w:rPr>
          <w:rFonts w:cs="Times New Roman"/>
          <w:szCs w:val="24"/>
          <w:shd w:val="clear" w:color="auto" w:fill="FFFFFF"/>
        </w:rPr>
        <w:t xml:space="preserve"> asmenims su negalia</w:t>
      </w:r>
      <w:r w:rsidR="00F85502" w:rsidRPr="00F85502">
        <w:rPr>
          <w:rFonts w:cs="Times New Roman"/>
          <w:szCs w:val="24"/>
          <w:shd w:val="clear" w:color="auto" w:fill="FFFFFF"/>
        </w:rPr>
        <w:t>, 1 vnt.</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1EBC3FD8"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0655D8">
        <w:rPr>
          <w:bCs/>
          <w:szCs w:val="24"/>
          <w:highlight w:val="yellow"/>
        </w:rPr>
        <w:t>4.4.4</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70C72D2B"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skaidomas </w:t>
      </w:r>
      <w:r w:rsidR="003E7B68">
        <w:t xml:space="preserve">nėra skaidomas į </w:t>
      </w:r>
      <w:r w:rsidR="00C43018">
        <w:t>dalis</w:t>
      </w:r>
      <w:r w:rsidRPr="0020594C">
        <w:t xml:space="preserve">, todėl tiekėjai </w:t>
      </w:r>
      <w:r w:rsidR="003E7B68">
        <w:t>teikia</w:t>
      </w:r>
      <w:r w:rsidRPr="0020594C">
        <w:t xml:space="preserve"> pasiūlymą dėl visos pirkimo apimties, nurodytos šiuose </w:t>
      </w:r>
      <w:r w:rsidR="000C6B70" w:rsidRPr="0020594C">
        <w:t>pirkimo</w:t>
      </w:r>
      <w:r w:rsidRPr="0020594C">
        <w:t xml:space="preserve"> dokumentuose</w:t>
      </w:r>
      <w:r w:rsidR="003E7B68">
        <w:t xml:space="preserve">. </w:t>
      </w:r>
      <w:r w:rsidR="007473A6" w:rsidRPr="0020594C">
        <w:rPr>
          <w:iCs/>
        </w:rPr>
        <w:t>Alternatyvūs pasiūlymai negalimi.</w:t>
      </w:r>
    </w:p>
    <w:p w14:paraId="413562A2" w14:textId="627828B3"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3E7B68" w:rsidRPr="00F85502">
        <w:rPr>
          <w:rFonts w:cs="Times New Roman"/>
          <w:szCs w:val="24"/>
          <w:shd w:val="clear" w:color="auto" w:fill="FFFFFF"/>
        </w:rPr>
        <w:t>Reguliuojam</w:t>
      </w:r>
      <w:r w:rsidR="003E7B68">
        <w:rPr>
          <w:rFonts w:cs="Times New Roman"/>
          <w:szCs w:val="24"/>
          <w:shd w:val="clear" w:color="auto" w:fill="FFFFFF"/>
        </w:rPr>
        <w:t>a</w:t>
      </w:r>
      <w:r w:rsidR="003E7B68" w:rsidRPr="00F85502">
        <w:rPr>
          <w:rFonts w:cs="Times New Roman"/>
          <w:szCs w:val="24"/>
          <w:shd w:val="clear" w:color="auto" w:fill="FFFFFF"/>
        </w:rPr>
        <w:t xml:space="preserve"> voni</w:t>
      </w:r>
      <w:r w:rsidR="003E7B68">
        <w:rPr>
          <w:rFonts w:cs="Times New Roman"/>
          <w:szCs w:val="24"/>
          <w:shd w:val="clear" w:color="auto" w:fill="FFFFFF"/>
        </w:rPr>
        <w:t>a</w:t>
      </w:r>
      <w:r w:rsidR="003E7B68" w:rsidRPr="00F85502">
        <w:rPr>
          <w:rFonts w:cs="Times New Roman"/>
          <w:szCs w:val="24"/>
          <w:shd w:val="clear" w:color="auto" w:fill="FFFFFF"/>
        </w:rPr>
        <w:t xml:space="preserve"> asmenims su negalia, 1 vnt.</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648FBDCF"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E74FA5" w:rsidRPr="00F13EFB">
        <w:rPr>
          <w:szCs w:val="24"/>
        </w:rPr>
        <w:t xml:space="preserve"> </w:t>
      </w:r>
      <w:r>
        <w:rPr>
          <w:szCs w:val="24"/>
        </w:rPr>
        <w:t>12</w:t>
      </w:r>
      <w:r w:rsidR="00164390" w:rsidRPr="00F13EFB">
        <w:rPr>
          <w:szCs w:val="24"/>
        </w:rPr>
        <w:t xml:space="preserve"> mėn</w:t>
      </w:r>
      <w:r w:rsidR="00CB57E6" w:rsidRPr="00E74FA5">
        <w:t>.</w:t>
      </w:r>
      <w:r>
        <w:t xml:space="preserve">, </w:t>
      </w:r>
      <w:r w:rsidR="00CB57E6" w:rsidRPr="0020594C">
        <w:t xml:space="preserve">pratęsimas </w:t>
      </w:r>
      <w:r w:rsidR="00CB57E6" w:rsidRPr="001B29B4">
        <w:t>nenumatomas.</w:t>
      </w:r>
    </w:p>
    <w:p w14:paraId="1B5BDB17" w14:textId="5C75C38D"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3E7B68">
        <w:rPr>
          <w:rFonts w:cs="Times New Roman"/>
          <w:b/>
          <w:bCs/>
          <w:szCs w:val="24"/>
        </w:rPr>
        <w:t>11570,25</w:t>
      </w:r>
      <w:r w:rsidR="008D07FB">
        <w:rPr>
          <w:rFonts w:cs="Times New Roman"/>
          <w:b/>
          <w:bCs/>
          <w:szCs w:val="24"/>
        </w:rPr>
        <w:t xml:space="preserve"> </w:t>
      </w:r>
      <w:r w:rsidR="00164390" w:rsidRPr="001B29B4">
        <w:rPr>
          <w:rFonts w:cs="Times New Roman"/>
          <w:b/>
          <w:bCs/>
          <w:szCs w:val="24"/>
        </w:rPr>
        <w:t xml:space="preserve">Eur </w:t>
      </w:r>
      <w:r w:rsidR="00A6144E">
        <w:rPr>
          <w:rFonts w:cs="Times New Roman"/>
          <w:b/>
          <w:bCs/>
          <w:szCs w:val="24"/>
        </w:rPr>
        <w:t>be</w:t>
      </w:r>
      <w:r w:rsidR="008D07FB">
        <w:rPr>
          <w:rFonts w:cs="Times New Roman"/>
          <w:b/>
          <w:bCs/>
          <w:szCs w:val="24"/>
        </w:rPr>
        <w:t xml:space="preserve"> </w:t>
      </w:r>
      <w:r w:rsidRPr="001B29B4">
        <w:rPr>
          <w:rFonts w:cs="Times New Roman"/>
          <w:b/>
          <w:bCs/>
          <w:szCs w:val="24"/>
        </w:rPr>
        <w:t>PVM</w:t>
      </w:r>
      <w:r w:rsidR="00E05FEF">
        <w:rPr>
          <w:rFonts w:cs="Times New Roman"/>
          <w:b/>
          <w:bCs/>
          <w:szCs w:val="24"/>
        </w:rPr>
        <w:t xml:space="preserve"> </w:t>
      </w:r>
      <w:r w:rsidR="00E05FEF" w:rsidRPr="00E05FEF">
        <w:rPr>
          <w:rFonts w:cs="Times New Roman"/>
          <w:szCs w:val="24"/>
        </w:rPr>
        <w:t>( taikomas 21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A84A116" w14:textId="77777777" w:rsidR="001B29B4" w:rsidRPr="0020594C" w:rsidRDefault="001B29B4" w:rsidP="00350561">
      <w:pPr>
        <w:tabs>
          <w:tab w:val="left" w:pos="340"/>
          <w:tab w:val="left" w:pos="567"/>
          <w:tab w:val="left" w:pos="709"/>
          <w:tab w:val="left" w:pos="993"/>
          <w:tab w:val="left" w:pos="1276"/>
        </w:tabs>
        <w:spacing w:after="0" w:line="240" w:lineRule="auto"/>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lastRenderedPageBreak/>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 xml:space="preserve">erkančiosios organizacijos nurodytą terminą, kuris negali būti trumpesnis kaip 5 darbo dienos, </w:t>
      </w:r>
      <w:r w:rsidRPr="0020594C">
        <w:rPr>
          <w:szCs w:val="24"/>
        </w:rPr>
        <w:lastRenderedPageBreak/>
        <w:t>nepateikia tokių įrodymų arba pateikia netinkamus įrodymus, laikoma, kad tokia informacija yra nekonfidenciali.</w:t>
      </w:r>
    </w:p>
    <w:p w14:paraId="093C9B9E" w14:textId="32129C67"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225C677B"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w:t>
      </w:r>
      <w:r w:rsidR="005D1354">
        <w:rPr>
          <w:szCs w:val="24"/>
          <w:lang w:val="en-US"/>
        </w:rPr>
        <w:t>@</w:t>
      </w:r>
      <w:r w:rsidR="001D02E8">
        <w:rPr>
          <w:szCs w:val="24"/>
        </w:rPr>
        <w:t>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lastRenderedPageBreak/>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lastRenderedPageBreak/>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2EFD1169" w14:textId="77777777" w:rsidR="00350561" w:rsidRDefault="00C3751E" w:rsidP="00350561">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21E387D8" w14:textId="7C85751D" w:rsidR="00350561" w:rsidRPr="00350561" w:rsidRDefault="00350561" w:rsidP="00350561">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350561">
        <w:rPr>
          <w:szCs w:val="24"/>
        </w:rPr>
        <w:t xml:space="preserve">Perkančiosios organizacijos neatmesti pasiūlymai vertinami pagal </w:t>
      </w:r>
      <w:r w:rsidR="00730E32" w:rsidRPr="00730E32">
        <w:rPr>
          <w:b/>
          <w:bCs/>
        </w:rPr>
        <w:t>mažiausios kainos</w:t>
      </w:r>
      <w:r w:rsidR="00730E32">
        <w:t xml:space="preserve"> kriterijų. Techninėje specifikacijoje nustatyti kokybės bei socialiniai reikalavimai yra privalomi ir turi būti įvykdyti</w:t>
      </w:r>
      <w:r w:rsidR="00730E32">
        <w:t xml:space="preserve"> (</w:t>
      </w:r>
      <w:r w:rsidRPr="00350561">
        <w:rPr>
          <w:szCs w:val="24"/>
        </w:rPr>
        <w:t xml:space="preserve"> kokybė- socialinis kriterijus-prieinamumo ir tinkamumo visiems naudotojams reikalavimai- užtikrinama, kad gamin</w:t>
      </w:r>
      <w:r w:rsidR="00C9055A">
        <w:rPr>
          <w:szCs w:val="24"/>
        </w:rPr>
        <w:t>ys</w:t>
      </w:r>
      <w:r w:rsidRPr="00350561">
        <w:rPr>
          <w:szCs w:val="24"/>
        </w:rPr>
        <w:t xml:space="preserve"> bus prieinam</w:t>
      </w:r>
      <w:r w:rsidR="00C9055A">
        <w:rPr>
          <w:szCs w:val="24"/>
        </w:rPr>
        <w:t>as</w:t>
      </w:r>
      <w:r w:rsidRPr="00350561">
        <w:rPr>
          <w:szCs w:val="24"/>
        </w:rPr>
        <w:t xml:space="preserve"> ir tinkam</w:t>
      </w:r>
      <w:r w:rsidR="00C9055A">
        <w:rPr>
          <w:szCs w:val="24"/>
        </w:rPr>
        <w:t>as</w:t>
      </w:r>
      <w:r w:rsidRPr="00350561">
        <w:rPr>
          <w:szCs w:val="24"/>
        </w:rPr>
        <w:t xml:space="preserve"> visiems žmonėms, </w:t>
      </w:r>
      <w:r w:rsidR="00E05FEF" w:rsidRPr="00E05FEF">
        <w:rPr>
          <w:szCs w:val="24"/>
        </w:rPr>
        <w:t>tiek asmenims su negalia, tiek kitiems, funkcinių sutrikimų turintiems asmenims</w:t>
      </w:r>
      <w:r w:rsidR="00E05FEF">
        <w:rPr>
          <w:szCs w:val="24"/>
        </w:rPr>
        <w:t xml:space="preserve">, </w:t>
      </w:r>
      <w:r w:rsidRPr="00350561">
        <w:rPr>
          <w:szCs w:val="24"/>
        </w:rPr>
        <w:t xml:space="preserve">kriterijus nustatomas kaip techninės specifikacijos ir sutarties vykdymo sąlyga. </w:t>
      </w:r>
      <w:r w:rsidRPr="00C9055A">
        <w:rPr>
          <w:b/>
          <w:bCs/>
          <w:i/>
          <w:iCs/>
          <w:szCs w:val="24"/>
        </w:rPr>
        <w:t xml:space="preserve">Gaminio naudojimas </w:t>
      </w:r>
      <w:r w:rsidR="00C9055A">
        <w:rPr>
          <w:b/>
          <w:bCs/>
          <w:i/>
          <w:iCs/>
          <w:szCs w:val="24"/>
        </w:rPr>
        <w:t>paprastas</w:t>
      </w:r>
      <w:r w:rsidRPr="00C9055A">
        <w:rPr>
          <w:b/>
          <w:bCs/>
          <w:i/>
          <w:iCs/>
          <w:szCs w:val="24"/>
        </w:rPr>
        <w:t xml:space="preserve">, </w:t>
      </w:r>
      <w:r w:rsidR="00C9055A" w:rsidRPr="00C9055A">
        <w:rPr>
          <w:b/>
          <w:bCs/>
          <w:i/>
          <w:iCs/>
          <w:szCs w:val="24"/>
        </w:rPr>
        <w:t>gaminys ergonomiškas, pritaikomas pagal individualius naudotojo poreikius.</w:t>
      </w:r>
      <w:r w:rsidRPr="00C9055A">
        <w:rPr>
          <w:b/>
          <w:bCs/>
          <w:i/>
          <w:iCs/>
          <w:szCs w:val="24"/>
        </w:rPr>
        <w:t xml:space="preserve"> Pateikti laisvos formos tiekėjo deklaraciją</w:t>
      </w:r>
      <w:r w:rsidR="00730E32">
        <w:rPr>
          <w:b/>
          <w:bCs/>
          <w:i/>
          <w:iCs/>
          <w:szCs w:val="24"/>
        </w:rPr>
        <w:t>).</w:t>
      </w:r>
    </w:p>
    <w:p w14:paraId="74B8DDC0" w14:textId="0EC30CC3" w:rsidR="00C3751E" w:rsidRPr="00C3751E" w:rsidRDefault="00C3751E" w:rsidP="00C3751E">
      <w:pPr>
        <w:pStyle w:val="ListParagraph"/>
        <w:widowControl w:val="0"/>
        <w:numPr>
          <w:ilvl w:val="0"/>
          <w:numId w:val="47"/>
        </w:numPr>
        <w:tabs>
          <w:tab w:val="left" w:pos="0"/>
          <w:tab w:val="left" w:pos="340"/>
          <w:tab w:val="left" w:pos="993"/>
          <w:tab w:val="left" w:pos="1210"/>
        </w:tabs>
        <w:spacing w:after="0" w:line="240" w:lineRule="auto"/>
        <w:ind w:left="0" w:firstLine="426"/>
        <w:jc w:val="both"/>
        <w:rPr>
          <w:szCs w:val="24"/>
        </w:rPr>
      </w:pPr>
      <w:r w:rsidRPr="00C3751E">
        <w:rPr>
          <w:szCs w:val="24"/>
        </w:rPr>
        <w:t xml:space="preserve">Perkančioji organizacija gali nuspręsti derėtis dėl </w:t>
      </w:r>
      <w:r w:rsidRPr="00A6144E">
        <w:rPr>
          <w:b/>
          <w:bCs/>
          <w:i/>
          <w:iCs/>
          <w:szCs w:val="24"/>
        </w:rPr>
        <w:t>p</w:t>
      </w:r>
      <w:r w:rsidR="00A6144E" w:rsidRPr="00A6144E">
        <w:rPr>
          <w:b/>
          <w:bCs/>
          <w:i/>
          <w:iCs/>
          <w:szCs w:val="24"/>
        </w:rPr>
        <w:t>rekių</w:t>
      </w:r>
      <w:r w:rsidR="00A6144E">
        <w:rPr>
          <w:szCs w:val="24"/>
        </w:rPr>
        <w:t xml:space="preserve"> </w:t>
      </w:r>
      <w:r w:rsidRPr="00C3751E">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191D788F" w:rsidR="00C3751E" w:rsidRDefault="00C3751E" w:rsidP="00C3751E">
      <w:pPr>
        <w:numPr>
          <w:ilvl w:val="0"/>
          <w:numId w:val="47"/>
        </w:numPr>
        <w:tabs>
          <w:tab w:val="left" w:pos="0"/>
          <w:tab w:val="left" w:pos="340"/>
        </w:tabs>
        <w:spacing w:after="0" w:line="240" w:lineRule="auto"/>
        <w:ind w:left="0" w:firstLine="426"/>
        <w:jc w:val="both"/>
        <w:rPr>
          <w:szCs w:val="24"/>
        </w:rPr>
      </w:pPr>
      <w:r>
        <w:rPr>
          <w:szCs w:val="24"/>
        </w:rPr>
        <w:t xml:space="preserve">Iškilus klausimams dėl pasiūlymo turinio ir </w:t>
      </w:r>
      <w:r w:rsidR="001D02E8">
        <w:rPr>
          <w:szCs w:val="24"/>
        </w:rPr>
        <w:t>Organizatoriui</w:t>
      </w:r>
      <w:r>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12BD6853"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lastRenderedPageBreak/>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w:t>
      </w:r>
      <w:r w:rsidRPr="0020594C">
        <w:rPr>
          <w:szCs w:val="24"/>
        </w:rPr>
        <w:lastRenderedPageBreak/>
        <w:t xml:space="preserve">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2C5E" w14:textId="77777777" w:rsidR="003216AB" w:rsidRDefault="003216AB">
      <w:r>
        <w:separator/>
      </w:r>
    </w:p>
  </w:endnote>
  <w:endnote w:type="continuationSeparator" w:id="0">
    <w:p w14:paraId="00B6F02B" w14:textId="77777777" w:rsidR="003216AB" w:rsidRDefault="0032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D9EC" w14:textId="77777777" w:rsidR="003216AB" w:rsidRDefault="003216AB">
      <w:r>
        <w:separator/>
      </w:r>
    </w:p>
  </w:footnote>
  <w:footnote w:type="continuationSeparator" w:id="0">
    <w:p w14:paraId="6C96E32B" w14:textId="77777777" w:rsidR="003216AB" w:rsidRDefault="0032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8"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0"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6"/>
  </w:num>
  <w:num w:numId="7" w16cid:durableId="764032641">
    <w:abstractNumId w:val="17"/>
  </w:num>
  <w:num w:numId="8" w16cid:durableId="888229927">
    <w:abstractNumId w:val="20"/>
  </w:num>
  <w:num w:numId="9" w16cid:durableId="1593321333">
    <w:abstractNumId w:val="25"/>
  </w:num>
  <w:num w:numId="10" w16cid:durableId="646328065">
    <w:abstractNumId w:val="42"/>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29"/>
  </w:num>
  <w:num w:numId="21" w16cid:durableId="81996431">
    <w:abstractNumId w:val="8"/>
  </w:num>
  <w:num w:numId="22" w16cid:durableId="281151816">
    <w:abstractNumId w:val="21"/>
  </w:num>
  <w:num w:numId="23" w16cid:durableId="554776949">
    <w:abstractNumId w:val="34"/>
  </w:num>
  <w:num w:numId="24" w16cid:durableId="2086150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0"/>
  </w:num>
  <w:num w:numId="26" w16cid:durableId="795023663">
    <w:abstractNumId w:val="24"/>
  </w:num>
  <w:num w:numId="27" w16cid:durableId="1500148424">
    <w:abstractNumId w:val="34"/>
  </w:num>
  <w:num w:numId="28" w16cid:durableId="128672488">
    <w:abstractNumId w:val="3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2"/>
  </w:num>
  <w:num w:numId="30" w16cid:durableId="2139646338">
    <w:abstractNumId w:val="27"/>
  </w:num>
  <w:num w:numId="31" w16cid:durableId="287123850">
    <w:abstractNumId w:val="37"/>
  </w:num>
  <w:num w:numId="32" w16cid:durableId="1467158551">
    <w:abstractNumId w:val="22"/>
  </w:num>
  <w:num w:numId="33" w16cid:durableId="1623027427">
    <w:abstractNumId w:val="19"/>
  </w:num>
  <w:num w:numId="34" w16cid:durableId="390887870">
    <w:abstractNumId w:val="31"/>
  </w:num>
  <w:num w:numId="35" w16cid:durableId="2011592356">
    <w:abstractNumId w:val="36"/>
  </w:num>
  <w:num w:numId="36" w16cid:durableId="1737849269">
    <w:abstractNumId w:val="38"/>
  </w:num>
  <w:num w:numId="37" w16cid:durableId="1369794442">
    <w:abstractNumId w:val="5"/>
  </w:num>
  <w:num w:numId="38" w16cid:durableId="54201109">
    <w:abstractNumId w:val="30"/>
  </w:num>
  <w:num w:numId="39" w16cid:durableId="37437308">
    <w:abstractNumId w:val="41"/>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8"/>
  </w:num>
  <w:num w:numId="44" w16cid:durableId="893196015">
    <w:abstractNumId w:val="35"/>
  </w:num>
  <w:num w:numId="45" w16cid:durableId="220093861">
    <w:abstractNumId w:val="11"/>
  </w:num>
  <w:num w:numId="46" w16cid:durableId="21248008">
    <w:abstractNumId w:val="6"/>
  </w:num>
  <w:num w:numId="47" w16cid:durableId="128474065">
    <w:abstractNumId w:val="9"/>
  </w:num>
  <w:num w:numId="48" w16cid:durableId="1300452566">
    <w:abstractNumId w:val="33"/>
  </w:num>
  <w:num w:numId="49" w16cid:durableId="1915966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6AB"/>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0561"/>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E7B68"/>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354"/>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4AB0"/>
    <w:rsid w:val="00726C1D"/>
    <w:rsid w:val="007270A9"/>
    <w:rsid w:val="00727589"/>
    <w:rsid w:val="00730827"/>
    <w:rsid w:val="00730E32"/>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5A"/>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9B6"/>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5FEF"/>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502"/>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4953</Words>
  <Characters>28238</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Stanislava Kubickienė</cp:lastModifiedBy>
  <cp:revision>6</cp:revision>
  <cp:lastPrinted>2025-07-29T05:47:00Z</cp:lastPrinted>
  <dcterms:created xsi:type="dcterms:W3CDTF">2026-07-07T06:17:00Z</dcterms:created>
  <dcterms:modified xsi:type="dcterms:W3CDTF">2026-07-07T06:56:00Z</dcterms:modified>
</cp:coreProperties>
</file>